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2DB63" w14:textId="5175C72C" w:rsidR="007F70C3" w:rsidRDefault="00D57274" w:rsidP="00461CBC">
      <w:pPr>
        <w:jc w:val="center"/>
        <w:rPr>
          <w:rFonts w:cs="Times New Roman"/>
          <w:b/>
          <w:bCs/>
          <w:i/>
          <w:color w:val="FF0000"/>
          <w:sz w:val="56"/>
          <w:szCs w:val="56"/>
        </w:rPr>
      </w:pPr>
      <w:r w:rsidRPr="00F34C7D">
        <w:rPr>
          <w:noProof/>
        </w:rPr>
        <w:drawing>
          <wp:inline distT="0" distB="0" distL="0" distR="0" wp14:anchorId="2E66C345" wp14:editId="375DF134">
            <wp:extent cx="1432560" cy="1432560"/>
            <wp:effectExtent l="0" t="0" r="0" b="0"/>
            <wp:docPr id="2" name="Obraz 2"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clipart&#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9FD8D30" w14:textId="6F1E5FEC" w:rsidR="00D67D8E" w:rsidRDefault="00D67D8E" w:rsidP="00461CBC">
      <w:pPr>
        <w:jc w:val="center"/>
        <w:rPr>
          <w:rFonts w:cs="Times New Roman"/>
          <w:b/>
          <w:bCs/>
          <w:i/>
          <w:color w:val="FF0000"/>
          <w:sz w:val="56"/>
          <w:szCs w:val="56"/>
        </w:rPr>
      </w:pPr>
    </w:p>
    <w:p w14:paraId="02A383C2" w14:textId="56025695" w:rsidR="00D67D8E" w:rsidRDefault="00D67D8E" w:rsidP="00461CBC">
      <w:pPr>
        <w:jc w:val="center"/>
        <w:rPr>
          <w:rFonts w:cs="Times New Roman"/>
          <w:b/>
          <w:bCs/>
          <w:i/>
          <w:color w:val="FF0000"/>
          <w:sz w:val="56"/>
          <w:szCs w:val="56"/>
        </w:rPr>
      </w:pPr>
    </w:p>
    <w:p w14:paraId="4E5E5889" w14:textId="1477697F" w:rsidR="007F70C3" w:rsidRDefault="007F70C3" w:rsidP="00461CBC">
      <w:pPr>
        <w:jc w:val="center"/>
        <w:rPr>
          <w:rFonts w:cs="Times New Roman"/>
          <w:b/>
          <w:bCs/>
          <w:i/>
          <w:color w:val="FF0000"/>
          <w:sz w:val="56"/>
          <w:szCs w:val="56"/>
        </w:rPr>
      </w:pPr>
    </w:p>
    <w:p w14:paraId="395C61A5" w14:textId="4D86A812" w:rsidR="00461CBC" w:rsidRPr="00257739" w:rsidRDefault="00F82900" w:rsidP="00461CBC">
      <w:pPr>
        <w:jc w:val="center"/>
        <w:rPr>
          <w:rFonts w:cs="Times New Roman"/>
          <w:b/>
          <w:bCs/>
          <w:i/>
          <w:iCs/>
          <w:color w:val="FF0000"/>
          <w:sz w:val="56"/>
          <w:szCs w:val="56"/>
        </w:rPr>
      </w:pPr>
      <w:r>
        <w:rPr>
          <w:rFonts w:cs="Times New Roman"/>
          <w:b/>
          <w:bCs/>
          <w:i/>
          <w:iCs/>
          <w:color w:val="FF0000"/>
          <w:sz w:val="56"/>
          <w:szCs w:val="56"/>
        </w:rPr>
        <w:t>PROJEKT</w:t>
      </w:r>
    </w:p>
    <w:p w14:paraId="76908A7B" w14:textId="77777777" w:rsidR="00F67B53" w:rsidRPr="00F67B53" w:rsidRDefault="00F67B53" w:rsidP="00F67B53">
      <w:pPr>
        <w:jc w:val="center"/>
        <w:rPr>
          <w:rFonts w:cs="Times New Roman"/>
          <w:b/>
          <w:bCs/>
          <w:sz w:val="56"/>
          <w:szCs w:val="56"/>
        </w:rPr>
      </w:pPr>
      <w:r w:rsidRPr="00F67B53">
        <w:rPr>
          <w:rFonts w:cs="Times New Roman"/>
          <w:b/>
          <w:bCs/>
          <w:sz w:val="56"/>
          <w:szCs w:val="56"/>
        </w:rPr>
        <w:t>INSTRUKCJA</w:t>
      </w:r>
    </w:p>
    <w:p w14:paraId="221D97C8" w14:textId="77777777" w:rsidR="00F67B53" w:rsidRPr="00F67B53" w:rsidRDefault="00F67B53" w:rsidP="00F67B53">
      <w:pPr>
        <w:jc w:val="center"/>
        <w:rPr>
          <w:rFonts w:cs="Times New Roman"/>
          <w:b/>
          <w:bCs/>
          <w:sz w:val="56"/>
          <w:szCs w:val="56"/>
        </w:rPr>
      </w:pPr>
      <w:r w:rsidRPr="00F67B53">
        <w:rPr>
          <w:rFonts w:cs="Times New Roman"/>
          <w:b/>
          <w:bCs/>
          <w:sz w:val="56"/>
          <w:szCs w:val="56"/>
        </w:rPr>
        <w:t>RUCHU I EKSPLOATACJI</w:t>
      </w:r>
    </w:p>
    <w:p w14:paraId="64549A50" w14:textId="77777777" w:rsidR="00F67B53" w:rsidRPr="00F67B53" w:rsidRDefault="00F67B53" w:rsidP="00F67B53">
      <w:pPr>
        <w:jc w:val="center"/>
        <w:rPr>
          <w:rFonts w:cs="Times New Roman"/>
          <w:b/>
          <w:bCs/>
          <w:sz w:val="56"/>
          <w:szCs w:val="56"/>
        </w:rPr>
      </w:pPr>
      <w:r w:rsidRPr="00F67B53">
        <w:rPr>
          <w:rFonts w:cs="Times New Roman"/>
          <w:b/>
          <w:bCs/>
          <w:sz w:val="56"/>
          <w:szCs w:val="56"/>
        </w:rPr>
        <w:t>SIECI DYSTRYBUCYJNEJ</w:t>
      </w:r>
    </w:p>
    <w:p w14:paraId="1CB0D3EB" w14:textId="77777777" w:rsidR="00F67B53" w:rsidRPr="00F67B53" w:rsidRDefault="00F67B53" w:rsidP="00F67B53">
      <w:pPr>
        <w:spacing w:line="360" w:lineRule="auto"/>
        <w:jc w:val="center"/>
        <w:rPr>
          <w:rFonts w:cs="Times New Roman"/>
          <w:b/>
          <w:bCs/>
          <w:sz w:val="48"/>
          <w:szCs w:val="48"/>
        </w:rPr>
      </w:pPr>
    </w:p>
    <w:p w14:paraId="1ABCA32D" w14:textId="77777777" w:rsidR="00644906" w:rsidRDefault="00644906" w:rsidP="00F67B53">
      <w:pPr>
        <w:spacing w:line="360" w:lineRule="auto"/>
        <w:rPr>
          <w:rFonts w:cs="Times New Roman"/>
          <w:b/>
          <w:bCs/>
          <w:i/>
          <w:iCs/>
          <w:sz w:val="28"/>
          <w:szCs w:val="28"/>
        </w:rPr>
      </w:pPr>
    </w:p>
    <w:p w14:paraId="3D3FAD83" w14:textId="1CFA9AC0" w:rsidR="00644906" w:rsidRDefault="00644906" w:rsidP="00F67B53">
      <w:pPr>
        <w:spacing w:line="360" w:lineRule="auto"/>
        <w:rPr>
          <w:rFonts w:cs="Times New Roman"/>
          <w:b/>
          <w:bCs/>
          <w:i/>
          <w:iCs/>
          <w:sz w:val="28"/>
          <w:szCs w:val="28"/>
        </w:rPr>
      </w:pPr>
    </w:p>
    <w:p w14:paraId="550F836D" w14:textId="4F31D7F8" w:rsidR="00D67D8E" w:rsidRDefault="00D67D8E" w:rsidP="00F67B53">
      <w:pPr>
        <w:spacing w:line="360" w:lineRule="auto"/>
        <w:rPr>
          <w:rFonts w:cs="Times New Roman"/>
          <w:b/>
          <w:bCs/>
          <w:i/>
          <w:iCs/>
          <w:sz w:val="28"/>
          <w:szCs w:val="28"/>
        </w:rPr>
      </w:pPr>
    </w:p>
    <w:p w14:paraId="46372A19" w14:textId="4D56D53A" w:rsidR="00D67D8E" w:rsidRDefault="00D67D8E" w:rsidP="00F67B53">
      <w:pPr>
        <w:spacing w:line="360" w:lineRule="auto"/>
        <w:rPr>
          <w:rFonts w:cs="Times New Roman"/>
          <w:b/>
          <w:bCs/>
          <w:i/>
          <w:iCs/>
          <w:sz w:val="28"/>
          <w:szCs w:val="28"/>
        </w:rPr>
      </w:pPr>
    </w:p>
    <w:p w14:paraId="173EEB3D" w14:textId="63D33C7A" w:rsidR="00D67D8E" w:rsidRDefault="00D67D8E" w:rsidP="00F67B53">
      <w:pPr>
        <w:spacing w:line="360" w:lineRule="auto"/>
        <w:rPr>
          <w:rFonts w:cs="Times New Roman"/>
          <w:b/>
          <w:bCs/>
          <w:i/>
          <w:iCs/>
          <w:sz w:val="28"/>
          <w:szCs w:val="28"/>
        </w:rPr>
      </w:pPr>
    </w:p>
    <w:p w14:paraId="39C412CD" w14:textId="32120D54" w:rsidR="00D67D8E" w:rsidRDefault="00D67D8E" w:rsidP="00F67B53">
      <w:pPr>
        <w:spacing w:line="360" w:lineRule="auto"/>
        <w:rPr>
          <w:rFonts w:cs="Times New Roman"/>
          <w:b/>
          <w:bCs/>
          <w:i/>
          <w:iCs/>
          <w:sz w:val="28"/>
          <w:szCs w:val="28"/>
        </w:rPr>
      </w:pPr>
    </w:p>
    <w:p w14:paraId="79961499" w14:textId="0DA11D8F" w:rsidR="00D67D8E" w:rsidRDefault="00D67D8E" w:rsidP="00F67B53">
      <w:pPr>
        <w:spacing w:line="360" w:lineRule="auto"/>
        <w:rPr>
          <w:rFonts w:cs="Times New Roman"/>
          <w:b/>
          <w:bCs/>
          <w:i/>
          <w:iCs/>
          <w:sz w:val="28"/>
          <w:szCs w:val="28"/>
        </w:rPr>
      </w:pPr>
    </w:p>
    <w:p w14:paraId="78F7A0AE" w14:textId="4EDC3A15" w:rsidR="00D67D8E" w:rsidRDefault="00D67D8E" w:rsidP="00F67B53">
      <w:pPr>
        <w:spacing w:line="360" w:lineRule="auto"/>
        <w:rPr>
          <w:rFonts w:cs="Times New Roman"/>
          <w:b/>
          <w:bCs/>
          <w:i/>
          <w:iCs/>
          <w:sz w:val="28"/>
          <w:szCs w:val="28"/>
        </w:rPr>
      </w:pPr>
    </w:p>
    <w:p w14:paraId="71AD0FAB" w14:textId="173EFD5F" w:rsidR="00D67D8E" w:rsidRDefault="00D67D8E" w:rsidP="00F67B53">
      <w:pPr>
        <w:spacing w:line="360" w:lineRule="auto"/>
        <w:rPr>
          <w:rFonts w:cs="Times New Roman"/>
          <w:b/>
          <w:bCs/>
          <w:i/>
          <w:iCs/>
          <w:sz w:val="28"/>
          <w:szCs w:val="28"/>
        </w:rPr>
      </w:pPr>
    </w:p>
    <w:p w14:paraId="668AEEDD" w14:textId="77777777" w:rsidR="00D67D8E" w:rsidRDefault="00D67D8E" w:rsidP="00F67B53">
      <w:pPr>
        <w:spacing w:line="360" w:lineRule="auto"/>
        <w:rPr>
          <w:rFonts w:cs="Times New Roman"/>
          <w:b/>
          <w:bCs/>
          <w:i/>
          <w:iCs/>
          <w:sz w:val="28"/>
          <w:szCs w:val="28"/>
        </w:rPr>
      </w:pPr>
    </w:p>
    <w:p w14:paraId="4EF03D0D" w14:textId="77777777" w:rsidR="00644906" w:rsidRDefault="00644906" w:rsidP="00F67B53">
      <w:pPr>
        <w:spacing w:line="360" w:lineRule="auto"/>
        <w:rPr>
          <w:rFonts w:cs="Times New Roman"/>
          <w:b/>
          <w:bCs/>
          <w:i/>
          <w:iCs/>
          <w:sz w:val="28"/>
          <w:szCs w:val="28"/>
        </w:rPr>
      </w:pPr>
    </w:p>
    <w:p w14:paraId="1A9F47EA" w14:textId="77777777" w:rsidR="00E31953" w:rsidRDefault="00E31953" w:rsidP="00E31953">
      <w:pPr>
        <w:rPr>
          <w:rFonts w:cs="Times New Roman"/>
          <w:bCs/>
          <w:i/>
          <w:iCs/>
          <w:color w:val="000000"/>
          <w:sz w:val="28"/>
          <w:szCs w:val="28"/>
        </w:rPr>
      </w:pPr>
      <w:r>
        <w:rPr>
          <w:rFonts w:cs="Times New Roman"/>
          <w:b/>
          <w:bCs/>
          <w:i/>
          <w:iCs/>
          <w:color w:val="000000"/>
          <w:sz w:val="28"/>
          <w:szCs w:val="28"/>
        </w:rPr>
        <w:t xml:space="preserve">Tekst zatwierdzony przez:                                         </w:t>
      </w:r>
      <w:r>
        <w:rPr>
          <w:rFonts w:cs="Times New Roman"/>
          <w:bCs/>
          <w:i/>
          <w:iCs/>
          <w:color w:val="000000"/>
          <w:sz w:val="28"/>
          <w:szCs w:val="28"/>
        </w:rPr>
        <w:t>………………………………</w:t>
      </w:r>
    </w:p>
    <w:p w14:paraId="6B969D6B" w14:textId="77777777" w:rsidR="00E31953" w:rsidRDefault="00E31953" w:rsidP="00E31953">
      <w:pPr>
        <w:spacing w:line="360" w:lineRule="auto"/>
        <w:rPr>
          <w:rFonts w:cs="Times New Roman"/>
          <w:bCs/>
          <w:i/>
          <w:iCs/>
          <w:color w:val="000000"/>
          <w:sz w:val="16"/>
          <w:szCs w:val="16"/>
        </w:rPr>
      </w:pPr>
      <w:r>
        <w:rPr>
          <w:rFonts w:cs="Times New Roman"/>
          <w:bCs/>
          <w:i/>
          <w:iCs/>
          <w:color w:val="000000"/>
          <w:sz w:val="28"/>
          <w:szCs w:val="28"/>
        </w:rPr>
        <w:tab/>
      </w:r>
      <w:r>
        <w:rPr>
          <w:rFonts w:cs="Times New Roman"/>
          <w:bCs/>
          <w:i/>
          <w:iCs/>
          <w:color w:val="000000"/>
          <w:sz w:val="28"/>
          <w:szCs w:val="28"/>
        </w:rPr>
        <w:tab/>
      </w:r>
      <w:r>
        <w:rPr>
          <w:rFonts w:cs="Times New Roman"/>
          <w:bCs/>
          <w:i/>
          <w:iCs/>
          <w:color w:val="000000"/>
          <w:sz w:val="28"/>
          <w:szCs w:val="28"/>
        </w:rPr>
        <w:tab/>
      </w:r>
      <w:r>
        <w:rPr>
          <w:rFonts w:cs="Times New Roman"/>
          <w:bCs/>
          <w:i/>
          <w:iCs/>
          <w:color w:val="000000"/>
          <w:sz w:val="28"/>
          <w:szCs w:val="28"/>
        </w:rPr>
        <w:tab/>
      </w:r>
      <w:r>
        <w:rPr>
          <w:rFonts w:cs="Times New Roman"/>
          <w:bCs/>
          <w:i/>
          <w:iCs/>
          <w:color w:val="000000"/>
          <w:sz w:val="28"/>
          <w:szCs w:val="28"/>
        </w:rPr>
        <w:tab/>
      </w:r>
      <w:r>
        <w:rPr>
          <w:rFonts w:cs="Times New Roman"/>
          <w:bCs/>
          <w:i/>
          <w:iCs/>
          <w:color w:val="000000"/>
          <w:sz w:val="28"/>
          <w:szCs w:val="28"/>
        </w:rPr>
        <w:tab/>
      </w:r>
      <w:r>
        <w:rPr>
          <w:rFonts w:cs="Times New Roman"/>
          <w:bCs/>
          <w:i/>
          <w:iCs/>
          <w:color w:val="000000"/>
          <w:sz w:val="28"/>
          <w:szCs w:val="28"/>
        </w:rPr>
        <w:tab/>
        <w:t xml:space="preserve"> </w:t>
      </w:r>
      <w:r>
        <w:rPr>
          <w:rFonts w:cs="Times New Roman"/>
          <w:bCs/>
          <w:i/>
          <w:iCs/>
          <w:color w:val="000000"/>
          <w:sz w:val="28"/>
          <w:szCs w:val="28"/>
        </w:rPr>
        <w:tab/>
      </w:r>
      <w:r>
        <w:rPr>
          <w:rFonts w:cs="Times New Roman"/>
          <w:bCs/>
          <w:i/>
          <w:iCs/>
          <w:color w:val="000000"/>
          <w:sz w:val="16"/>
          <w:szCs w:val="16"/>
        </w:rPr>
        <w:t xml:space="preserve">     Podpis i pieczęć osób zatwierdzających</w:t>
      </w:r>
    </w:p>
    <w:p w14:paraId="0C2201AB" w14:textId="77777777" w:rsidR="00E31953" w:rsidRDefault="00E31953" w:rsidP="00E31953">
      <w:pPr>
        <w:pStyle w:val="Tekstpodstawowy"/>
        <w:spacing w:before="5"/>
        <w:rPr>
          <w:i/>
          <w:sz w:val="34"/>
        </w:rPr>
      </w:pPr>
    </w:p>
    <w:p w14:paraId="35DB03B0" w14:textId="77777777" w:rsidR="00321BD3" w:rsidRDefault="00321BD3" w:rsidP="00E31953">
      <w:pPr>
        <w:pStyle w:val="Tekstpodstawowy"/>
        <w:spacing w:before="5"/>
        <w:rPr>
          <w:i/>
          <w:sz w:val="34"/>
        </w:rPr>
      </w:pPr>
    </w:p>
    <w:p w14:paraId="0FA6B0E6" w14:textId="0FAC65DF" w:rsidR="00E31953" w:rsidRDefault="00E31953" w:rsidP="00E31953">
      <w:pPr>
        <w:spacing w:line="0" w:lineRule="atLeast"/>
        <w:ind w:right="-3"/>
        <w:rPr>
          <w:rFonts w:cs="Times New Roman"/>
          <w:color w:val="000000"/>
          <w:szCs w:val="24"/>
        </w:rPr>
      </w:pPr>
      <w:r>
        <w:rPr>
          <w:rFonts w:cs="Times New Roman"/>
          <w:color w:val="000000"/>
          <w:szCs w:val="24"/>
        </w:rPr>
        <w:t xml:space="preserve">Data zatwierdzenia: </w:t>
      </w:r>
      <w:r w:rsidR="00321BD3">
        <w:rPr>
          <w:rFonts w:cs="Times New Roman"/>
          <w:color w:val="000000"/>
          <w:szCs w:val="24"/>
        </w:rPr>
        <w:t>……………………………………………</w:t>
      </w:r>
      <w:r>
        <w:rPr>
          <w:rFonts w:cs="Times New Roman"/>
          <w:color w:val="000000"/>
          <w:szCs w:val="24"/>
        </w:rPr>
        <w:t xml:space="preserve"> r.</w:t>
      </w:r>
    </w:p>
    <w:p w14:paraId="531A3B60" w14:textId="77777777" w:rsidR="00321BD3" w:rsidRDefault="00321BD3" w:rsidP="00E31953">
      <w:pPr>
        <w:spacing w:line="0" w:lineRule="atLeast"/>
        <w:ind w:right="-3"/>
        <w:rPr>
          <w:rFonts w:cs="Times New Roman"/>
          <w:color w:val="000000"/>
          <w:szCs w:val="24"/>
        </w:rPr>
      </w:pPr>
    </w:p>
    <w:p w14:paraId="0E095C3F" w14:textId="77777777" w:rsidR="00321BD3" w:rsidRDefault="00321BD3" w:rsidP="00E31953">
      <w:pPr>
        <w:spacing w:line="0" w:lineRule="atLeast"/>
        <w:ind w:right="-3"/>
        <w:rPr>
          <w:rFonts w:cs="Times New Roman"/>
          <w:color w:val="000000"/>
          <w:szCs w:val="24"/>
        </w:rPr>
      </w:pPr>
    </w:p>
    <w:p w14:paraId="7DB4A059" w14:textId="047D98EB" w:rsidR="005F2806" w:rsidRPr="00A813FB" w:rsidRDefault="005F2806" w:rsidP="005F2806">
      <w:pPr>
        <w:spacing w:line="360" w:lineRule="auto"/>
        <w:jc w:val="both"/>
        <w:rPr>
          <w:rFonts w:cs="Times New Roman"/>
          <w:b/>
          <w:bCs/>
          <w:i/>
          <w:iCs/>
          <w:sz w:val="28"/>
          <w:szCs w:val="28"/>
        </w:rPr>
      </w:pPr>
      <w:r>
        <w:rPr>
          <w:rFonts w:cs="Times New Roman"/>
          <w:b/>
          <w:bCs/>
          <w:i/>
          <w:iCs/>
          <w:sz w:val="28"/>
          <w:szCs w:val="28"/>
        </w:rPr>
        <w:t xml:space="preserve">IRiESD </w:t>
      </w:r>
      <w:r w:rsidRPr="00A813FB">
        <w:rPr>
          <w:rFonts w:cs="Times New Roman"/>
          <w:b/>
          <w:bCs/>
          <w:i/>
          <w:iCs/>
          <w:sz w:val="28"/>
          <w:szCs w:val="28"/>
        </w:rPr>
        <w:t>uwzględnia zapisy wynikające:</w:t>
      </w:r>
    </w:p>
    <w:p w14:paraId="15787411" w14:textId="77777777" w:rsidR="005F2806" w:rsidRPr="002E5CDD" w:rsidRDefault="005F2806">
      <w:pPr>
        <w:numPr>
          <w:ilvl w:val="0"/>
          <w:numId w:val="224"/>
        </w:numPr>
        <w:spacing w:line="360" w:lineRule="auto"/>
        <w:jc w:val="both"/>
        <w:rPr>
          <w:i/>
          <w:sz w:val="22"/>
          <w:szCs w:val="22"/>
        </w:rPr>
      </w:pPr>
      <w:r w:rsidRPr="002E5CDD">
        <w:rPr>
          <w:i/>
          <w:sz w:val="22"/>
          <w:szCs w:val="22"/>
        </w:rPr>
        <w:t xml:space="preserve">ze zmiany IRiESP zatwierdzonej decyzją Prezesa URE z dnia 22.10.2018 r. </w:t>
      </w:r>
      <w:r w:rsidRPr="002E5CDD">
        <w:rPr>
          <w:i/>
          <w:sz w:val="22"/>
          <w:szCs w:val="22"/>
        </w:rPr>
        <w:br/>
        <w:t>(Karta aktualizacji IRiESP nr CB/19/2018),</w:t>
      </w:r>
    </w:p>
    <w:p w14:paraId="49095BDC" w14:textId="77777777" w:rsidR="005F2806" w:rsidRPr="002E5CDD" w:rsidRDefault="005F2806">
      <w:pPr>
        <w:numPr>
          <w:ilvl w:val="0"/>
          <w:numId w:val="224"/>
        </w:numPr>
        <w:spacing w:line="360" w:lineRule="auto"/>
        <w:jc w:val="both"/>
        <w:rPr>
          <w:rFonts w:cs="Times New Roman"/>
          <w:bCs/>
          <w:i/>
          <w:iCs/>
          <w:sz w:val="22"/>
          <w:szCs w:val="22"/>
        </w:rPr>
      </w:pPr>
      <w:r w:rsidRPr="002E5CDD">
        <w:rPr>
          <w:rFonts w:eastAsia="Times New Roman"/>
          <w:i/>
          <w:sz w:val="22"/>
          <w:szCs w:val="22"/>
        </w:rPr>
        <w:t>z ustawy z dnia 9 listopada 2018 r. (Dz.U. z 2018 r. poz. 2348) o zmianie ustawy – Prawo energetyczne oraz niektórych innych ustaw,</w:t>
      </w:r>
    </w:p>
    <w:p w14:paraId="0715DCCB" w14:textId="77777777" w:rsidR="005F2806" w:rsidRPr="00AC33A8" w:rsidRDefault="005F2806">
      <w:pPr>
        <w:numPr>
          <w:ilvl w:val="0"/>
          <w:numId w:val="224"/>
        </w:numPr>
        <w:spacing w:line="360" w:lineRule="auto"/>
        <w:jc w:val="both"/>
        <w:rPr>
          <w:rFonts w:cs="Times New Roman"/>
          <w:bCs/>
          <w:i/>
          <w:iCs/>
          <w:sz w:val="22"/>
          <w:szCs w:val="22"/>
        </w:rPr>
      </w:pPr>
      <w:r w:rsidRPr="002E5CDD">
        <w:rPr>
          <w:i/>
          <w:iCs/>
          <w:color w:val="000000"/>
          <w:sz w:val="22"/>
          <w:szCs w:val="22"/>
        </w:rPr>
        <w:t>z ustawy z dnia 20 lutego 2015 r. o odnawialnych źródłach energii (Dz. U. z 2020 r., poz. 261),</w:t>
      </w:r>
    </w:p>
    <w:p w14:paraId="6CC4115D" w14:textId="77777777" w:rsidR="00AC33A8" w:rsidRPr="001C1BF3" w:rsidRDefault="00AC33A8">
      <w:pPr>
        <w:numPr>
          <w:ilvl w:val="0"/>
          <w:numId w:val="224"/>
        </w:numPr>
        <w:spacing w:line="360" w:lineRule="auto"/>
        <w:jc w:val="both"/>
        <w:rPr>
          <w:i/>
          <w:color w:val="000000"/>
          <w:sz w:val="22"/>
          <w:szCs w:val="22"/>
        </w:rPr>
      </w:pPr>
      <w:r w:rsidRPr="001C1BF3">
        <w:rPr>
          <w:i/>
          <w:color w:val="000000"/>
          <w:sz w:val="22"/>
          <w:szCs w:val="22"/>
        </w:rPr>
        <w:t xml:space="preserve">ze zmiany IRiESP zatwierdzonej decyzją Prezesa URE z dnia 18.02.2020 r. </w:t>
      </w:r>
      <w:r w:rsidRPr="001C1BF3">
        <w:rPr>
          <w:i/>
          <w:color w:val="000000"/>
          <w:sz w:val="22"/>
          <w:szCs w:val="22"/>
        </w:rPr>
        <w:br/>
        <w:t xml:space="preserve">DRR.WRE.4320.8.2019.PSt. (Karta aktualizacji IRiESP nr </w:t>
      </w:r>
      <w:r w:rsidRPr="001C1BF3">
        <w:rPr>
          <w:rFonts w:cs="Times New Roman"/>
          <w:i/>
          <w:color w:val="000000"/>
          <w:sz w:val="22"/>
          <w:szCs w:val="22"/>
        </w:rPr>
        <w:t>CO/3/2019, CK/8/2019, CB/25/2019</w:t>
      </w:r>
      <w:r w:rsidRPr="001C1BF3">
        <w:rPr>
          <w:i/>
          <w:color w:val="000000"/>
          <w:sz w:val="22"/>
          <w:szCs w:val="22"/>
        </w:rPr>
        <w:t>),</w:t>
      </w:r>
    </w:p>
    <w:p w14:paraId="38DB10C6" w14:textId="77777777" w:rsidR="00543E01" w:rsidRPr="002E5CDD" w:rsidRDefault="00543E01">
      <w:pPr>
        <w:numPr>
          <w:ilvl w:val="0"/>
          <w:numId w:val="224"/>
        </w:numPr>
        <w:spacing w:line="360" w:lineRule="auto"/>
        <w:jc w:val="both"/>
        <w:rPr>
          <w:i/>
          <w:sz w:val="22"/>
          <w:szCs w:val="22"/>
        </w:rPr>
      </w:pPr>
      <w:r w:rsidRPr="002E5CDD">
        <w:rPr>
          <w:i/>
          <w:sz w:val="22"/>
          <w:szCs w:val="22"/>
        </w:rPr>
        <w:t xml:space="preserve">ze zmiany IRiESP zatwierdzonej decyzją Prezesa URE z dnia 5.03.2020 r. </w:t>
      </w:r>
      <w:r w:rsidRPr="002E5CDD">
        <w:rPr>
          <w:i/>
          <w:sz w:val="22"/>
          <w:szCs w:val="22"/>
        </w:rPr>
        <w:br/>
      </w:r>
      <w:r w:rsidRPr="002E5CDD">
        <w:rPr>
          <w:i/>
          <w:iCs/>
          <w:sz w:val="22"/>
          <w:szCs w:val="22"/>
        </w:rPr>
        <w:t>DRR.WRE.744.35.2019.PSt</w:t>
      </w:r>
      <w:r w:rsidRPr="002E5CDD">
        <w:rPr>
          <w:i/>
          <w:sz w:val="22"/>
          <w:szCs w:val="22"/>
        </w:rPr>
        <w:t>. (</w:t>
      </w:r>
      <w:r w:rsidRPr="002E5CDD">
        <w:rPr>
          <w:i/>
          <w:iCs/>
          <w:sz w:val="22"/>
          <w:szCs w:val="22"/>
        </w:rPr>
        <w:t>Warunków dotyczących bilansowania. Na podstawie: Rozporządzenia Komisji (UE) 2017/2195 z dnia 23 listopada 2017 r. ustanawiającego wytyczne dotyczące bilansowania</w:t>
      </w:r>
      <w:r w:rsidRPr="002E5CDD">
        <w:rPr>
          <w:i/>
          <w:sz w:val="22"/>
          <w:szCs w:val="22"/>
        </w:rPr>
        <w:t>),</w:t>
      </w:r>
    </w:p>
    <w:p w14:paraId="471F5CA9" w14:textId="77777777" w:rsidR="004920D0" w:rsidRPr="00752512" w:rsidRDefault="00675F13">
      <w:pPr>
        <w:numPr>
          <w:ilvl w:val="0"/>
          <w:numId w:val="224"/>
        </w:numPr>
        <w:spacing w:line="360" w:lineRule="auto"/>
        <w:jc w:val="both"/>
        <w:rPr>
          <w:rFonts w:cs="Times New Roman"/>
          <w:bCs/>
          <w:sz w:val="22"/>
          <w:szCs w:val="22"/>
        </w:rPr>
      </w:pPr>
      <w:r w:rsidRPr="002E5CDD">
        <w:rPr>
          <w:rFonts w:cs="Times New Roman"/>
          <w:bCs/>
          <w:i/>
          <w:iCs/>
          <w:sz w:val="22"/>
          <w:szCs w:val="22"/>
        </w:rPr>
        <w:t xml:space="preserve">z </w:t>
      </w:r>
      <w:r w:rsidRPr="002E5CDD">
        <w:rPr>
          <w:i/>
          <w:iCs/>
          <w:sz w:val="22"/>
          <w:szCs w:val="22"/>
        </w:rPr>
        <w:t xml:space="preserve">art. 9c ust. 6 ustawy z dnia 10 kwietnia 1997 r. Prawo energetyczne oraz art. 12 rozporządzenia Parlamentu Europejskiego i Rady (UE) 2019/943 z dnia 5 czerwca 2019 r. </w:t>
      </w:r>
      <w:r w:rsidR="00AC6F30">
        <w:rPr>
          <w:i/>
          <w:iCs/>
          <w:sz w:val="22"/>
          <w:szCs w:val="22"/>
        </w:rPr>
        <w:br/>
      </w:r>
      <w:r w:rsidRPr="002E5CDD">
        <w:rPr>
          <w:i/>
          <w:iCs/>
          <w:sz w:val="22"/>
          <w:szCs w:val="22"/>
        </w:rPr>
        <w:t>w sprawie rynku wewnętrznego energii elektrycznej</w:t>
      </w:r>
      <w:r w:rsidR="002800C8">
        <w:rPr>
          <w:sz w:val="22"/>
          <w:szCs w:val="22"/>
        </w:rPr>
        <w:t>,</w:t>
      </w:r>
    </w:p>
    <w:p w14:paraId="1932AC58" w14:textId="77777777" w:rsidR="00752512" w:rsidRPr="002E5CDD" w:rsidRDefault="00752512">
      <w:pPr>
        <w:pStyle w:val="Akapitzlist"/>
        <w:numPr>
          <w:ilvl w:val="0"/>
          <w:numId w:val="224"/>
        </w:numPr>
        <w:autoSpaceDE w:val="0"/>
        <w:autoSpaceDN w:val="0"/>
        <w:adjustRightInd w:val="0"/>
        <w:ind w:right="-2"/>
        <w:contextualSpacing/>
        <w:jc w:val="both"/>
        <w:rPr>
          <w:i/>
          <w:iCs/>
          <w:sz w:val="22"/>
          <w:szCs w:val="22"/>
        </w:rPr>
      </w:pPr>
      <w:r w:rsidRPr="002E5CDD">
        <w:rPr>
          <w:i/>
          <w:iCs/>
          <w:sz w:val="22"/>
          <w:szCs w:val="22"/>
        </w:rPr>
        <w:t>z ustawy z dnia 19 lipca 2019 r. o zmianie ustawy o odnawialnych źródłach energii oraz niektórych innych ustaw</w:t>
      </w:r>
      <w:r w:rsidR="002800C8">
        <w:rPr>
          <w:i/>
          <w:iCs/>
          <w:sz w:val="22"/>
          <w:szCs w:val="22"/>
        </w:rPr>
        <w:t>,</w:t>
      </w:r>
    </w:p>
    <w:p w14:paraId="480A637E" w14:textId="77777777" w:rsidR="00867FA7" w:rsidRPr="002E5CDD" w:rsidRDefault="009A4B09">
      <w:pPr>
        <w:numPr>
          <w:ilvl w:val="0"/>
          <w:numId w:val="224"/>
        </w:numPr>
        <w:spacing w:line="360" w:lineRule="auto"/>
        <w:jc w:val="both"/>
        <w:rPr>
          <w:rFonts w:cs="Times New Roman"/>
          <w:bCs/>
          <w:i/>
          <w:iCs/>
          <w:sz w:val="22"/>
          <w:szCs w:val="22"/>
        </w:rPr>
      </w:pPr>
      <w:r w:rsidRPr="002E5CDD">
        <w:rPr>
          <w:i/>
          <w:iCs/>
          <w:sz w:val="22"/>
          <w:szCs w:val="22"/>
        </w:rPr>
        <w:t>z rozporządzenia Ministra Energii z dnia 6 marca 2019 r. w sprawie szczegółowych zasad kształtowania i kalkulacji taryf oraz rozliczeń w obrocie energią elektryczną (Dz.U. z 2019 r., poz. 503)</w:t>
      </w:r>
      <w:r w:rsidR="00D3412D" w:rsidRPr="002E5CDD">
        <w:rPr>
          <w:i/>
          <w:iCs/>
          <w:sz w:val="22"/>
          <w:szCs w:val="22"/>
        </w:rPr>
        <w:t>,</w:t>
      </w:r>
    </w:p>
    <w:p w14:paraId="4158FD7A" w14:textId="77777777" w:rsidR="00752512" w:rsidRPr="002E5CDD" w:rsidRDefault="00752512">
      <w:pPr>
        <w:numPr>
          <w:ilvl w:val="0"/>
          <w:numId w:val="224"/>
        </w:numPr>
        <w:spacing w:line="360" w:lineRule="auto"/>
        <w:jc w:val="both"/>
        <w:rPr>
          <w:rFonts w:cs="Times New Roman"/>
          <w:bCs/>
          <w:i/>
          <w:iCs/>
          <w:sz w:val="22"/>
          <w:szCs w:val="22"/>
        </w:rPr>
      </w:pPr>
      <w:r w:rsidRPr="002E5CDD">
        <w:rPr>
          <w:i/>
          <w:iCs/>
          <w:color w:val="000000"/>
          <w:sz w:val="22"/>
          <w:szCs w:val="22"/>
        </w:rPr>
        <w:t xml:space="preserve">ustawy z dnia 14 grudnia 2018 r. o promowaniu energii elektrycznej </w:t>
      </w:r>
      <w:r w:rsidRPr="002E5CDD">
        <w:rPr>
          <w:i/>
          <w:iCs/>
          <w:color w:val="000000"/>
          <w:sz w:val="22"/>
          <w:szCs w:val="22"/>
        </w:rPr>
        <w:br/>
        <w:t>z wysokosprawnej kogeneracji (Dz. U. z 2020 r. poz. 250),</w:t>
      </w:r>
    </w:p>
    <w:p w14:paraId="0E0113C8" w14:textId="77777777" w:rsidR="00DF5C0F" w:rsidRPr="001C1BF3" w:rsidRDefault="00DF5C0F">
      <w:pPr>
        <w:numPr>
          <w:ilvl w:val="0"/>
          <w:numId w:val="224"/>
        </w:numPr>
        <w:spacing w:line="360" w:lineRule="auto"/>
        <w:jc w:val="both"/>
        <w:rPr>
          <w:i/>
          <w:color w:val="000000"/>
          <w:sz w:val="22"/>
          <w:szCs w:val="22"/>
        </w:rPr>
      </w:pPr>
      <w:r w:rsidRPr="001C1BF3">
        <w:rPr>
          <w:i/>
          <w:color w:val="000000"/>
          <w:sz w:val="22"/>
          <w:szCs w:val="22"/>
        </w:rPr>
        <w:t xml:space="preserve">ze zmiany IRiESP zatwierdzonej decyzją Prezesa URE z dnia 30.03.2020 r. </w:t>
      </w:r>
      <w:r w:rsidRPr="001C1BF3">
        <w:rPr>
          <w:i/>
          <w:color w:val="000000"/>
          <w:sz w:val="22"/>
          <w:szCs w:val="22"/>
        </w:rPr>
        <w:br/>
        <w:t xml:space="preserve">DRR.WRE.4320.2.2020.PSt (Karta aktualizacji IRiESP nr </w:t>
      </w:r>
      <w:r w:rsidR="00817E92" w:rsidRPr="001C1BF3">
        <w:rPr>
          <w:i/>
          <w:color w:val="000000"/>
          <w:sz w:val="22"/>
          <w:szCs w:val="22"/>
        </w:rPr>
        <w:t>CK/10/2020</w:t>
      </w:r>
      <w:r w:rsidRPr="001C1BF3">
        <w:rPr>
          <w:i/>
          <w:color w:val="000000"/>
          <w:sz w:val="22"/>
          <w:szCs w:val="22"/>
        </w:rPr>
        <w:t>),</w:t>
      </w:r>
    </w:p>
    <w:p w14:paraId="5A6086B1" w14:textId="08C18662" w:rsidR="00AB428A" w:rsidRPr="001C1BF3" w:rsidRDefault="00AB428A">
      <w:pPr>
        <w:numPr>
          <w:ilvl w:val="0"/>
          <w:numId w:val="224"/>
        </w:numPr>
        <w:spacing w:line="360" w:lineRule="auto"/>
        <w:jc w:val="both"/>
        <w:rPr>
          <w:i/>
          <w:color w:val="000000"/>
          <w:sz w:val="22"/>
          <w:szCs w:val="22"/>
        </w:rPr>
      </w:pPr>
      <w:r w:rsidRPr="001C1BF3">
        <w:rPr>
          <w:i/>
          <w:color w:val="000000"/>
          <w:sz w:val="22"/>
          <w:szCs w:val="22"/>
        </w:rPr>
        <w:t xml:space="preserve">ze zmiany IRiESP zatwierdzonej decyzją Prezesa URE z dnia 3.04.2020 r. </w:t>
      </w:r>
      <w:r w:rsidRPr="001C1BF3">
        <w:rPr>
          <w:i/>
          <w:color w:val="000000"/>
          <w:sz w:val="22"/>
          <w:szCs w:val="22"/>
        </w:rPr>
        <w:br/>
        <w:t xml:space="preserve">DRR.WRE.4320.3.2020.PSt. (Karta aktualizacji IRiESP </w:t>
      </w:r>
      <w:r w:rsidR="00720414">
        <w:rPr>
          <w:i/>
          <w:color w:val="000000"/>
          <w:sz w:val="22"/>
          <w:szCs w:val="22"/>
        </w:rPr>
        <w:t xml:space="preserve">nr </w:t>
      </w:r>
      <w:r w:rsidR="006561B4" w:rsidRPr="001C1BF3">
        <w:rPr>
          <w:i/>
          <w:color w:val="000000"/>
          <w:sz w:val="22"/>
          <w:szCs w:val="22"/>
        </w:rPr>
        <w:t xml:space="preserve">CO/4/2020, nr CK/11/2020, </w:t>
      </w:r>
      <w:r w:rsidR="008852D9" w:rsidRPr="001C1BF3">
        <w:rPr>
          <w:i/>
          <w:color w:val="000000"/>
          <w:sz w:val="22"/>
          <w:szCs w:val="22"/>
        </w:rPr>
        <w:br/>
      </w:r>
      <w:r w:rsidR="006561B4" w:rsidRPr="001C1BF3">
        <w:rPr>
          <w:i/>
          <w:color w:val="000000"/>
          <w:sz w:val="22"/>
          <w:szCs w:val="22"/>
        </w:rPr>
        <w:t>nr CB/27/2020</w:t>
      </w:r>
      <w:r w:rsidRPr="001C1BF3">
        <w:rPr>
          <w:i/>
          <w:color w:val="000000"/>
          <w:sz w:val="22"/>
          <w:szCs w:val="22"/>
        </w:rPr>
        <w:t>),</w:t>
      </w:r>
    </w:p>
    <w:p w14:paraId="441C267E" w14:textId="575CF782" w:rsidR="002E5CDD" w:rsidRDefault="002E5CDD">
      <w:pPr>
        <w:numPr>
          <w:ilvl w:val="0"/>
          <w:numId w:val="224"/>
        </w:numPr>
        <w:spacing w:line="360" w:lineRule="auto"/>
        <w:jc w:val="both"/>
        <w:rPr>
          <w:i/>
          <w:color w:val="000000"/>
          <w:sz w:val="22"/>
          <w:szCs w:val="22"/>
        </w:rPr>
      </w:pPr>
      <w:r w:rsidRPr="001C1BF3">
        <w:rPr>
          <w:i/>
          <w:color w:val="000000"/>
          <w:sz w:val="22"/>
          <w:szCs w:val="22"/>
        </w:rPr>
        <w:t xml:space="preserve">ze zmiany IRiESP zatwierdzonej decyzją Prezesa URE z dnia 24.07.2020 r. </w:t>
      </w:r>
      <w:r w:rsidRPr="001C1BF3">
        <w:rPr>
          <w:i/>
          <w:color w:val="000000"/>
          <w:sz w:val="22"/>
          <w:szCs w:val="22"/>
        </w:rPr>
        <w:br/>
        <w:t>DRR.WRE.4320.4.2020.ŁW. (Karta aktualizacji IRiESP nr CK/12/2020)</w:t>
      </w:r>
      <w:r w:rsidR="00272325">
        <w:rPr>
          <w:i/>
          <w:color w:val="000000"/>
          <w:sz w:val="22"/>
          <w:szCs w:val="22"/>
        </w:rPr>
        <w:t>,</w:t>
      </w:r>
    </w:p>
    <w:p w14:paraId="481B12F3" w14:textId="4E77D287" w:rsidR="00272325" w:rsidRDefault="00272325">
      <w:pPr>
        <w:pStyle w:val="Default"/>
        <w:numPr>
          <w:ilvl w:val="0"/>
          <w:numId w:val="224"/>
        </w:numPr>
        <w:spacing w:line="360" w:lineRule="auto"/>
        <w:ind w:right="-31"/>
        <w:jc w:val="both"/>
        <w:rPr>
          <w:i/>
          <w:iCs/>
          <w:sz w:val="22"/>
          <w:szCs w:val="22"/>
        </w:rPr>
      </w:pPr>
      <w:r w:rsidRPr="00272325">
        <w:rPr>
          <w:i/>
          <w:iCs/>
          <w:sz w:val="22"/>
          <w:szCs w:val="22"/>
        </w:rPr>
        <w:t>z rozporządzenia Ministra Klimatu i Środowiska z dnia 21 grudnia 2020 r. zmieniającego rozporządzenie w sprawie pobierania opłaty mocowej i wyznaczania godzin doby przypadających na szczytowe zapotrzebowanie na moc w systemie (Dz. U. 2020 poz. 2370)</w:t>
      </w:r>
      <w:r w:rsidR="006A7AFB">
        <w:rPr>
          <w:i/>
          <w:iCs/>
          <w:sz w:val="22"/>
          <w:szCs w:val="22"/>
        </w:rPr>
        <w:t>,</w:t>
      </w:r>
    </w:p>
    <w:p w14:paraId="39890FBD" w14:textId="77777777" w:rsidR="006A7AFB" w:rsidRPr="00794CDE" w:rsidRDefault="006A7AFB">
      <w:pPr>
        <w:pStyle w:val="Tekstpodstawowy"/>
        <w:widowControl w:val="0"/>
        <w:numPr>
          <w:ilvl w:val="0"/>
          <w:numId w:val="224"/>
        </w:numPr>
        <w:tabs>
          <w:tab w:val="clear" w:pos="4536"/>
          <w:tab w:val="clear" w:pos="9072"/>
        </w:tabs>
        <w:suppressAutoHyphens/>
        <w:autoSpaceDE w:val="0"/>
        <w:spacing w:before="0" w:after="120"/>
        <w:rPr>
          <w:i/>
          <w:iCs/>
          <w:sz w:val="22"/>
          <w:szCs w:val="22"/>
        </w:rPr>
      </w:pPr>
      <w:r w:rsidRPr="006A7AFB">
        <w:rPr>
          <w:i/>
          <w:iCs/>
          <w:sz w:val="22"/>
          <w:szCs w:val="22"/>
        </w:rPr>
        <w:t>usta</w:t>
      </w:r>
      <w:r w:rsidRPr="00794CDE">
        <w:rPr>
          <w:i/>
          <w:iCs/>
          <w:sz w:val="22"/>
          <w:szCs w:val="22"/>
        </w:rPr>
        <w:t>wy z dnia 31 lipca 2019 r. o zmianie niektórych ustaw w celu ograniczenia obciążeń regulacyjnych (Dz. U. z 2019 r., poz. 1495),</w:t>
      </w:r>
    </w:p>
    <w:p w14:paraId="5C52C011" w14:textId="77777777" w:rsidR="00794CDE" w:rsidRPr="00794CDE" w:rsidRDefault="00794CDE">
      <w:pPr>
        <w:pStyle w:val="Tekstpodstawowy"/>
        <w:widowControl w:val="0"/>
        <w:numPr>
          <w:ilvl w:val="0"/>
          <w:numId w:val="224"/>
        </w:numPr>
        <w:tabs>
          <w:tab w:val="clear" w:pos="4536"/>
          <w:tab w:val="clear" w:pos="9072"/>
        </w:tabs>
        <w:suppressAutoHyphens/>
        <w:autoSpaceDE w:val="0"/>
        <w:spacing w:before="0" w:after="120"/>
        <w:rPr>
          <w:i/>
          <w:iCs/>
          <w:sz w:val="22"/>
          <w:szCs w:val="22"/>
        </w:rPr>
      </w:pPr>
      <w:r w:rsidRPr="00794CDE">
        <w:rPr>
          <w:i/>
          <w:iCs/>
          <w:sz w:val="22"/>
          <w:szCs w:val="22"/>
        </w:rPr>
        <w:lastRenderedPageBreak/>
        <w:t>ustawy z dnia 8 grudnia 2017 r. o rynku mocy (Dz.U. z 2020 r., poz. 247 z późn. zmianami),</w:t>
      </w:r>
    </w:p>
    <w:p w14:paraId="772263F9" w14:textId="0971DBE1" w:rsidR="00794CDE" w:rsidRPr="00794CDE" w:rsidRDefault="00794CDE">
      <w:pPr>
        <w:pStyle w:val="Tekstpodstawowy"/>
        <w:widowControl w:val="0"/>
        <w:numPr>
          <w:ilvl w:val="0"/>
          <w:numId w:val="224"/>
        </w:numPr>
        <w:tabs>
          <w:tab w:val="clear" w:pos="4536"/>
          <w:tab w:val="clear" w:pos="9072"/>
        </w:tabs>
        <w:suppressAutoHyphens/>
        <w:autoSpaceDE w:val="0"/>
        <w:spacing w:before="0" w:after="120"/>
        <w:rPr>
          <w:i/>
          <w:iCs/>
          <w:sz w:val="22"/>
          <w:szCs w:val="22"/>
        </w:rPr>
      </w:pPr>
      <w:r w:rsidRPr="00794CDE">
        <w:rPr>
          <w:i/>
          <w:iCs/>
          <w:sz w:val="22"/>
          <w:szCs w:val="22"/>
        </w:rPr>
        <w:t>nowelizacji zapisów rozporządzenia Ministra Gospodarki z dnia 4 maja 2007 r. w sprawie szczegółowych warunków funkcjonowania systemu elektroenergetycznego, wprowadzonej rozporządzeniem Ministra Klimatu i Środowisk z dnia 11 listopada 2020 r. zmieniającym rozporządzenie w sprawie szczegółowych warunków funkcjonowania systemu elektroenergetycznego (Dz. U. z 2020 r., poz. 2026),</w:t>
      </w:r>
    </w:p>
    <w:p w14:paraId="41565AD1" w14:textId="77777777" w:rsidR="00A62833" w:rsidRPr="00A62833" w:rsidRDefault="00794CDE">
      <w:pPr>
        <w:pStyle w:val="Tekstpodstawowy"/>
        <w:widowControl w:val="0"/>
        <w:numPr>
          <w:ilvl w:val="0"/>
          <w:numId w:val="224"/>
        </w:numPr>
        <w:tabs>
          <w:tab w:val="clear" w:pos="4536"/>
          <w:tab w:val="clear" w:pos="9072"/>
          <w:tab w:val="left" w:pos="1088"/>
        </w:tabs>
        <w:suppressAutoHyphens/>
        <w:autoSpaceDE w:val="0"/>
        <w:autoSpaceDN w:val="0"/>
        <w:spacing w:before="189" w:after="120"/>
        <w:ind w:right="-31"/>
        <w:rPr>
          <w:i/>
          <w:iCs/>
          <w:sz w:val="22"/>
          <w:szCs w:val="22"/>
        </w:rPr>
      </w:pPr>
      <w:r w:rsidRPr="00A62833">
        <w:rPr>
          <w:i/>
          <w:iCs/>
          <w:sz w:val="22"/>
          <w:szCs w:val="22"/>
        </w:rPr>
        <w:t>aktualizacji przez PSE S.A. „Warunków dotyczących bilansowania” zatwierdzonych decyzją Prezesa URE o znaku DRR.WRE.744.35.2019.PSt z dnia 5 marca 2020 r., wraz ze Zmianami nr 1/2020 Warunków Dotyczących Bilansowania z dnia 20 listopada 2020 r. zatwierdzonymi decyzją Prezesa URE o znaku DRR.WRE.744.22.2020.ŁW z dnia 1 grudnia 2020 r</w:t>
      </w:r>
      <w:r w:rsidR="00A62833" w:rsidRPr="00A62833">
        <w:rPr>
          <w:i/>
          <w:iCs/>
          <w:sz w:val="22"/>
          <w:szCs w:val="22"/>
          <w:lang w:val="pl-PL"/>
        </w:rPr>
        <w:t>,</w:t>
      </w:r>
    </w:p>
    <w:p w14:paraId="0317B304" w14:textId="3D2B4DD9" w:rsidR="00A62833" w:rsidRPr="00A62833" w:rsidRDefault="00A62833">
      <w:pPr>
        <w:pStyle w:val="Tekstpodstawowy"/>
        <w:widowControl w:val="0"/>
        <w:numPr>
          <w:ilvl w:val="0"/>
          <w:numId w:val="224"/>
        </w:numPr>
        <w:tabs>
          <w:tab w:val="clear" w:pos="4536"/>
          <w:tab w:val="clear" w:pos="9072"/>
          <w:tab w:val="left" w:pos="1088"/>
        </w:tabs>
        <w:suppressAutoHyphens/>
        <w:autoSpaceDE w:val="0"/>
        <w:autoSpaceDN w:val="0"/>
        <w:spacing w:before="189" w:after="120"/>
        <w:ind w:right="-31"/>
        <w:rPr>
          <w:i/>
          <w:iCs/>
          <w:sz w:val="22"/>
          <w:szCs w:val="22"/>
        </w:rPr>
      </w:pPr>
      <w:r w:rsidRPr="00A62833">
        <w:rPr>
          <w:i/>
          <w:iCs/>
          <w:w w:val="105"/>
          <w:sz w:val="22"/>
          <w:szCs w:val="22"/>
        </w:rPr>
        <w:t>ustawy</w:t>
      </w:r>
      <w:r w:rsidRPr="00A62833">
        <w:rPr>
          <w:i/>
          <w:iCs/>
          <w:spacing w:val="-12"/>
          <w:w w:val="105"/>
          <w:sz w:val="22"/>
          <w:szCs w:val="22"/>
        </w:rPr>
        <w:t xml:space="preserve"> </w:t>
      </w:r>
      <w:r w:rsidRPr="00A62833">
        <w:rPr>
          <w:i/>
          <w:iCs/>
          <w:w w:val="105"/>
          <w:sz w:val="22"/>
          <w:szCs w:val="22"/>
        </w:rPr>
        <w:t>z</w:t>
      </w:r>
      <w:r w:rsidRPr="00A62833">
        <w:rPr>
          <w:i/>
          <w:iCs/>
          <w:spacing w:val="-14"/>
          <w:w w:val="105"/>
          <w:sz w:val="22"/>
          <w:szCs w:val="22"/>
        </w:rPr>
        <w:t xml:space="preserve"> </w:t>
      </w:r>
      <w:r w:rsidRPr="00A62833">
        <w:rPr>
          <w:i/>
          <w:iCs/>
          <w:w w:val="105"/>
          <w:sz w:val="22"/>
          <w:szCs w:val="22"/>
        </w:rPr>
        <w:t>dnia</w:t>
      </w:r>
      <w:r w:rsidRPr="00A62833">
        <w:rPr>
          <w:i/>
          <w:iCs/>
          <w:spacing w:val="-7"/>
          <w:w w:val="105"/>
          <w:sz w:val="22"/>
          <w:szCs w:val="22"/>
        </w:rPr>
        <w:t xml:space="preserve"> </w:t>
      </w:r>
      <w:r w:rsidRPr="00A62833">
        <w:rPr>
          <w:i/>
          <w:iCs/>
          <w:w w:val="105"/>
          <w:sz w:val="22"/>
          <w:szCs w:val="22"/>
        </w:rPr>
        <w:t>20</w:t>
      </w:r>
      <w:r w:rsidRPr="00A62833">
        <w:rPr>
          <w:i/>
          <w:iCs/>
          <w:spacing w:val="-10"/>
          <w:w w:val="105"/>
          <w:sz w:val="22"/>
          <w:szCs w:val="22"/>
        </w:rPr>
        <w:t xml:space="preserve"> </w:t>
      </w:r>
      <w:r w:rsidRPr="00A62833">
        <w:rPr>
          <w:i/>
          <w:iCs/>
          <w:w w:val="105"/>
          <w:sz w:val="22"/>
          <w:szCs w:val="22"/>
        </w:rPr>
        <w:t>maja</w:t>
      </w:r>
      <w:r w:rsidRPr="00A62833">
        <w:rPr>
          <w:i/>
          <w:iCs/>
          <w:spacing w:val="-12"/>
          <w:w w:val="105"/>
          <w:sz w:val="22"/>
          <w:szCs w:val="22"/>
        </w:rPr>
        <w:t xml:space="preserve"> </w:t>
      </w:r>
      <w:r w:rsidRPr="00A62833">
        <w:rPr>
          <w:i/>
          <w:iCs/>
          <w:w w:val="105"/>
          <w:sz w:val="22"/>
          <w:szCs w:val="22"/>
        </w:rPr>
        <w:t>2021 r.</w:t>
      </w:r>
      <w:r w:rsidRPr="00A62833">
        <w:rPr>
          <w:i/>
          <w:iCs/>
          <w:spacing w:val="-18"/>
          <w:w w:val="105"/>
          <w:sz w:val="22"/>
          <w:szCs w:val="22"/>
        </w:rPr>
        <w:t xml:space="preserve"> </w:t>
      </w:r>
      <w:r w:rsidRPr="00A62833">
        <w:rPr>
          <w:i/>
          <w:iCs/>
          <w:w w:val="105"/>
          <w:sz w:val="22"/>
          <w:szCs w:val="22"/>
        </w:rPr>
        <w:t>o</w:t>
      </w:r>
      <w:r w:rsidRPr="00A62833">
        <w:rPr>
          <w:i/>
          <w:iCs/>
          <w:spacing w:val="-19"/>
          <w:w w:val="105"/>
          <w:sz w:val="22"/>
          <w:szCs w:val="22"/>
        </w:rPr>
        <w:t xml:space="preserve"> </w:t>
      </w:r>
      <w:r w:rsidRPr="00A62833">
        <w:rPr>
          <w:i/>
          <w:iCs/>
          <w:w w:val="105"/>
          <w:sz w:val="22"/>
          <w:szCs w:val="22"/>
        </w:rPr>
        <w:t>zmianie</w:t>
      </w:r>
      <w:r w:rsidRPr="00A62833">
        <w:rPr>
          <w:i/>
          <w:iCs/>
          <w:spacing w:val="-5"/>
          <w:w w:val="105"/>
          <w:sz w:val="22"/>
          <w:szCs w:val="22"/>
        </w:rPr>
        <w:t xml:space="preserve"> </w:t>
      </w:r>
      <w:r w:rsidRPr="00A62833">
        <w:rPr>
          <w:i/>
          <w:iCs/>
          <w:w w:val="105"/>
          <w:sz w:val="22"/>
          <w:szCs w:val="22"/>
        </w:rPr>
        <w:t>ustawy</w:t>
      </w:r>
      <w:r w:rsidRPr="00A62833">
        <w:rPr>
          <w:i/>
          <w:iCs/>
          <w:spacing w:val="-10"/>
          <w:w w:val="105"/>
          <w:sz w:val="22"/>
          <w:szCs w:val="22"/>
        </w:rPr>
        <w:t xml:space="preserve"> </w:t>
      </w:r>
      <w:r w:rsidRPr="00A62833">
        <w:rPr>
          <w:i/>
          <w:iCs/>
          <w:w w:val="105"/>
          <w:sz w:val="22"/>
          <w:szCs w:val="22"/>
        </w:rPr>
        <w:t>-</w:t>
      </w:r>
      <w:r w:rsidRPr="00A62833">
        <w:rPr>
          <w:i/>
          <w:iCs/>
          <w:spacing w:val="-14"/>
          <w:w w:val="105"/>
          <w:sz w:val="22"/>
          <w:szCs w:val="22"/>
        </w:rPr>
        <w:t xml:space="preserve"> </w:t>
      </w:r>
      <w:r w:rsidRPr="00A62833">
        <w:rPr>
          <w:i/>
          <w:iCs/>
          <w:w w:val="105"/>
          <w:sz w:val="22"/>
          <w:szCs w:val="22"/>
        </w:rPr>
        <w:t>Prawo</w:t>
      </w:r>
      <w:r w:rsidRPr="00A62833">
        <w:rPr>
          <w:i/>
          <w:iCs/>
          <w:spacing w:val="-14"/>
          <w:w w:val="105"/>
          <w:sz w:val="22"/>
          <w:szCs w:val="22"/>
        </w:rPr>
        <w:t xml:space="preserve"> </w:t>
      </w:r>
      <w:r w:rsidRPr="00A62833">
        <w:rPr>
          <w:i/>
          <w:iCs/>
          <w:w w:val="105"/>
          <w:sz w:val="22"/>
          <w:szCs w:val="22"/>
        </w:rPr>
        <w:t>energetyczne</w:t>
      </w:r>
      <w:r w:rsidRPr="00A62833">
        <w:rPr>
          <w:i/>
          <w:iCs/>
          <w:spacing w:val="2"/>
          <w:w w:val="105"/>
          <w:sz w:val="22"/>
          <w:szCs w:val="22"/>
        </w:rPr>
        <w:t xml:space="preserve"> </w:t>
      </w:r>
      <w:r w:rsidRPr="00A62833">
        <w:rPr>
          <w:i/>
          <w:iCs/>
          <w:w w:val="105"/>
          <w:sz w:val="22"/>
          <w:szCs w:val="22"/>
        </w:rPr>
        <w:t>oraz</w:t>
      </w:r>
      <w:r w:rsidRPr="00A62833">
        <w:rPr>
          <w:i/>
          <w:iCs/>
          <w:spacing w:val="-9"/>
          <w:w w:val="105"/>
          <w:sz w:val="22"/>
          <w:szCs w:val="22"/>
        </w:rPr>
        <w:t xml:space="preserve"> </w:t>
      </w:r>
      <w:r w:rsidRPr="00A62833">
        <w:rPr>
          <w:i/>
          <w:iCs/>
          <w:w w:val="105"/>
          <w:sz w:val="22"/>
          <w:szCs w:val="22"/>
        </w:rPr>
        <w:t>niektórych innych ustaw (Dz.U. 2021 poz. 1093 z późn.</w:t>
      </w:r>
      <w:r w:rsidRPr="00A62833">
        <w:rPr>
          <w:i/>
          <w:iCs/>
          <w:spacing w:val="-10"/>
          <w:w w:val="105"/>
          <w:sz w:val="22"/>
          <w:szCs w:val="22"/>
        </w:rPr>
        <w:t xml:space="preserve"> </w:t>
      </w:r>
      <w:r w:rsidRPr="00A62833">
        <w:rPr>
          <w:i/>
          <w:iCs/>
          <w:w w:val="105"/>
          <w:sz w:val="22"/>
          <w:szCs w:val="22"/>
        </w:rPr>
        <w:t>zm.),</w:t>
      </w:r>
    </w:p>
    <w:p w14:paraId="064B0F33" w14:textId="77777777" w:rsidR="005B0243" w:rsidRPr="005B0243" w:rsidRDefault="00A62833">
      <w:pPr>
        <w:pStyle w:val="Akapitzlist"/>
        <w:widowControl w:val="0"/>
        <w:numPr>
          <w:ilvl w:val="0"/>
          <w:numId w:val="224"/>
        </w:numPr>
        <w:tabs>
          <w:tab w:val="left" w:pos="1093"/>
        </w:tabs>
        <w:autoSpaceDE w:val="0"/>
        <w:autoSpaceDN w:val="0"/>
        <w:spacing w:line="360" w:lineRule="auto"/>
        <w:ind w:right="-31"/>
        <w:jc w:val="both"/>
        <w:rPr>
          <w:rFonts w:cs="Times New Roman"/>
          <w:i/>
          <w:iCs/>
          <w:color w:val="000000"/>
          <w:sz w:val="22"/>
          <w:szCs w:val="22"/>
        </w:rPr>
      </w:pPr>
      <w:r w:rsidRPr="005B0243">
        <w:rPr>
          <w:rFonts w:cs="Times New Roman"/>
          <w:i/>
          <w:iCs/>
          <w:color w:val="000000"/>
          <w:w w:val="105"/>
          <w:sz w:val="22"/>
          <w:szCs w:val="22"/>
        </w:rPr>
        <w:t>ustawy</w:t>
      </w:r>
      <w:r w:rsidRPr="005B0243">
        <w:rPr>
          <w:rFonts w:cs="Times New Roman"/>
          <w:i/>
          <w:iCs/>
          <w:color w:val="000000"/>
          <w:spacing w:val="-6"/>
          <w:w w:val="105"/>
          <w:sz w:val="22"/>
          <w:szCs w:val="22"/>
        </w:rPr>
        <w:t xml:space="preserve"> </w:t>
      </w:r>
      <w:r w:rsidRPr="005B0243">
        <w:rPr>
          <w:rFonts w:cs="Times New Roman"/>
          <w:i/>
          <w:iCs/>
          <w:color w:val="000000"/>
          <w:w w:val="105"/>
          <w:sz w:val="22"/>
          <w:szCs w:val="22"/>
        </w:rPr>
        <w:t>z</w:t>
      </w:r>
      <w:r w:rsidRPr="005B0243">
        <w:rPr>
          <w:rFonts w:cs="Times New Roman"/>
          <w:i/>
          <w:iCs/>
          <w:color w:val="000000"/>
          <w:spacing w:val="-7"/>
          <w:w w:val="105"/>
          <w:sz w:val="22"/>
          <w:szCs w:val="22"/>
        </w:rPr>
        <w:t xml:space="preserve"> </w:t>
      </w:r>
      <w:r w:rsidRPr="005B0243">
        <w:rPr>
          <w:rFonts w:cs="Times New Roman"/>
          <w:i/>
          <w:iCs/>
          <w:color w:val="000000"/>
          <w:w w:val="105"/>
          <w:sz w:val="22"/>
          <w:szCs w:val="22"/>
        </w:rPr>
        <w:t>dnia</w:t>
      </w:r>
      <w:r w:rsidRPr="005B0243">
        <w:rPr>
          <w:rFonts w:cs="Times New Roman"/>
          <w:i/>
          <w:iCs/>
          <w:color w:val="000000"/>
          <w:spacing w:val="-14"/>
          <w:w w:val="105"/>
          <w:sz w:val="22"/>
          <w:szCs w:val="22"/>
        </w:rPr>
        <w:t xml:space="preserve"> </w:t>
      </w:r>
      <w:r w:rsidRPr="005B0243">
        <w:rPr>
          <w:rFonts w:cs="Times New Roman"/>
          <w:i/>
          <w:iCs/>
          <w:color w:val="000000"/>
          <w:w w:val="105"/>
          <w:sz w:val="22"/>
          <w:szCs w:val="22"/>
        </w:rPr>
        <w:t>23</w:t>
      </w:r>
      <w:r w:rsidRPr="005B0243">
        <w:rPr>
          <w:rFonts w:cs="Times New Roman"/>
          <w:i/>
          <w:iCs/>
          <w:color w:val="000000"/>
          <w:spacing w:val="-10"/>
          <w:w w:val="105"/>
          <w:sz w:val="22"/>
          <w:szCs w:val="22"/>
        </w:rPr>
        <w:t xml:space="preserve"> </w:t>
      </w:r>
      <w:r w:rsidRPr="005B0243">
        <w:rPr>
          <w:rFonts w:cs="Times New Roman"/>
          <w:i/>
          <w:iCs/>
          <w:color w:val="000000"/>
          <w:w w:val="105"/>
          <w:sz w:val="22"/>
          <w:szCs w:val="22"/>
        </w:rPr>
        <w:t>lipca</w:t>
      </w:r>
      <w:r w:rsidRPr="005B0243">
        <w:rPr>
          <w:rFonts w:cs="Times New Roman"/>
          <w:i/>
          <w:iCs/>
          <w:color w:val="000000"/>
          <w:spacing w:val="-14"/>
          <w:w w:val="105"/>
          <w:sz w:val="22"/>
          <w:szCs w:val="22"/>
        </w:rPr>
        <w:t xml:space="preserve"> </w:t>
      </w:r>
      <w:r w:rsidRPr="005B0243">
        <w:rPr>
          <w:rFonts w:cs="Times New Roman"/>
          <w:i/>
          <w:iCs/>
          <w:color w:val="000000"/>
          <w:w w:val="105"/>
          <w:sz w:val="22"/>
          <w:szCs w:val="22"/>
        </w:rPr>
        <w:t>2021</w:t>
      </w:r>
      <w:r w:rsidRPr="005B0243">
        <w:rPr>
          <w:rFonts w:cs="Times New Roman"/>
          <w:i/>
          <w:iCs/>
          <w:color w:val="000000"/>
          <w:spacing w:val="-5"/>
          <w:w w:val="105"/>
          <w:sz w:val="22"/>
          <w:szCs w:val="22"/>
        </w:rPr>
        <w:t xml:space="preserve"> </w:t>
      </w:r>
      <w:r w:rsidRPr="005B0243">
        <w:rPr>
          <w:rFonts w:cs="Times New Roman"/>
          <w:i/>
          <w:iCs/>
          <w:color w:val="000000"/>
          <w:w w:val="105"/>
          <w:sz w:val="22"/>
          <w:szCs w:val="22"/>
        </w:rPr>
        <w:t>r.</w:t>
      </w:r>
      <w:r w:rsidRPr="005B0243">
        <w:rPr>
          <w:rFonts w:cs="Times New Roman"/>
          <w:i/>
          <w:iCs/>
          <w:color w:val="000000"/>
          <w:spacing w:val="-14"/>
          <w:w w:val="105"/>
          <w:sz w:val="22"/>
          <w:szCs w:val="22"/>
        </w:rPr>
        <w:t xml:space="preserve"> </w:t>
      </w:r>
      <w:r w:rsidRPr="005B0243">
        <w:rPr>
          <w:rFonts w:cs="Times New Roman"/>
          <w:i/>
          <w:iCs/>
          <w:color w:val="000000"/>
          <w:w w:val="105"/>
          <w:sz w:val="22"/>
          <w:szCs w:val="22"/>
        </w:rPr>
        <w:t>o</w:t>
      </w:r>
      <w:r w:rsidRPr="005B0243">
        <w:rPr>
          <w:rFonts w:cs="Times New Roman"/>
          <w:i/>
          <w:iCs/>
          <w:color w:val="000000"/>
          <w:spacing w:val="-17"/>
          <w:w w:val="105"/>
          <w:sz w:val="22"/>
          <w:szCs w:val="22"/>
        </w:rPr>
        <w:t xml:space="preserve"> </w:t>
      </w:r>
      <w:r w:rsidRPr="005B0243">
        <w:rPr>
          <w:rFonts w:cs="Times New Roman"/>
          <w:i/>
          <w:iCs/>
          <w:color w:val="000000"/>
          <w:w w:val="105"/>
          <w:sz w:val="22"/>
          <w:szCs w:val="22"/>
        </w:rPr>
        <w:t>zmianie ustawy</w:t>
      </w:r>
      <w:r w:rsidRPr="005B0243">
        <w:rPr>
          <w:rFonts w:cs="Times New Roman"/>
          <w:i/>
          <w:iCs/>
          <w:color w:val="000000"/>
          <w:spacing w:val="-4"/>
          <w:w w:val="105"/>
          <w:sz w:val="22"/>
          <w:szCs w:val="22"/>
        </w:rPr>
        <w:t xml:space="preserve"> </w:t>
      </w:r>
      <w:r w:rsidRPr="005B0243">
        <w:rPr>
          <w:rFonts w:cs="Times New Roman"/>
          <w:i/>
          <w:iCs/>
          <w:color w:val="000000"/>
          <w:w w:val="105"/>
          <w:sz w:val="22"/>
          <w:szCs w:val="22"/>
        </w:rPr>
        <w:t>o</w:t>
      </w:r>
      <w:r w:rsidRPr="005B0243">
        <w:rPr>
          <w:rFonts w:cs="Times New Roman"/>
          <w:i/>
          <w:iCs/>
          <w:color w:val="000000"/>
          <w:spacing w:val="-5"/>
          <w:w w:val="105"/>
          <w:sz w:val="22"/>
          <w:szCs w:val="22"/>
        </w:rPr>
        <w:t xml:space="preserve"> </w:t>
      </w:r>
      <w:r w:rsidRPr="005B0243">
        <w:rPr>
          <w:rFonts w:cs="Times New Roman"/>
          <w:i/>
          <w:iCs/>
          <w:color w:val="000000"/>
          <w:w w:val="105"/>
          <w:sz w:val="22"/>
          <w:szCs w:val="22"/>
        </w:rPr>
        <w:t>rynku</w:t>
      </w:r>
      <w:r w:rsidRPr="005B0243">
        <w:rPr>
          <w:rFonts w:cs="Times New Roman"/>
          <w:i/>
          <w:iCs/>
          <w:color w:val="000000"/>
          <w:spacing w:val="-7"/>
          <w:w w:val="105"/>
          <w:sz w:val="22"/>
          <w:szCs w:val="22"/>
        </w:rPr>
        <w:t xml:space="preserve"> </w:t>
      </w:r>
      <w:r w:rsidRPr="005B0243">
        <w:rPr>
          <w:rFonts w:cs="Times New Roman"/>
          <w:i/>
          <w:iCs/>
          <w:color w:val="000000"/>
          <w:w w:val="105"/>
          <w:sz w:val="22"/>
          <w:szCs w:val="22"/>
        </w:rPr>
        <w:t>mocy</w:t>
      </w:r>
      <w:r w:rsidRPr="005B0243">
        <w:rPr>
          <w:rFonts w:cs="Times New Roman"/>
          <w:i/>
          <w:iCs/>
          <w:color w:val="000000"/>
          <w:spacing w:val="-1"/>
          <w:w w:val="105"/>
          <w:sz w:val="22"/>
          <w:szCs w:val="22"/>
        </w:rPr>
        <w:t xml:space="preserve"> </w:t>
      </w:r>
      <w:r w:rsidRPr="005B0243">
        <w:rPr>
          <w:rFonts w:cs="Times New Roman"/>
          <w:i/>
          <w:iCs/>
          <w:color w:val="000000"/>
          <w:w w:val="105"/>
          <w:sz w:val="22"/>
          <w:szCs w:val="22"/>
        </w:rPr>
        <w:t>oraz</w:t>
      </w:r>
      <w:r w:rsidRPr="005B0243">
        <w:rPr>
          <w:rFonts w:cs="Times New Roman"/>
          <w:i/>
          <w:iCs/>
          <w:color w:val="000000"/>
          <w:spacing w:val="-8"/>
          <w:w w:val="105"/>
          <w:sz w:val="22"/>
          <w:szCs w:val="22"/>
        </w:rPr>
        <w:t xml:space="preserve"> </w:t>
      </w:r>
      <w:r w:rsidRPr="005B0243">
        <w:rPr>
          <w:rFonts w:cs="Times New Roman"/>
          <w:i/>
          <w:iCs/>
          <w:color w:val="000000"/>
          <w:w w:val="105"/>
          <w:sz w:val="22"/>
          <w:szCs w:val="22"/>
        </w:rPr>
        <w:t>niektórych</w:t>
      </w:r>
      <w:r w:rsidRPr="005B0243">
        <w:rPr>
          <w:rFonts w:cs="Times New Roman"/>
          <w:i/>
          <w:iCs/>
          <w:color w:val="000000"/>
          <w:spacing w:val="3"/>
          <w:w w:val="105"/>
          <w:sz w:val="22"/>
          <w:szCs w:val="22"/>
        </w:rPr>
        <w:t xml:space="preserve"> </w:t>
      </w:r>
      <w:r w:rsidRPr="005B0243">
        <w:rPr>
          <w:rFonts w:cs="Times New Roman"/>
          <w:i/>
          <w:iCs/>
          <w:color w:val="000000"/>
          <w:w w:val="105"/>
          <w:sz w:val="22"/>
          <w:szCs w:val="22"/>
        </w:rPr>
        <w:t>innych ustaw (Dz.U. z 2021 r. poz.</w:t>
      </w:r>
      <w:r w:rsidRPr="005B0243">
        <w:rPr>
          <w:rFonts w:cs="Times New Roman"/>
          <w:i/>
          <w:iCs/>
          <w:color w:val="000000"/>
          <w:spacing w:val="28"/>
          <w:w w:val="105"/>
          <w:sz w:val="22"/>
          <w:szCs w:val="22"/>
        </w:rPr>
        <w:t xml:space="preserve"> </w:t>
      </w:r>
      <w:r w:rsidRPr="005B0243">
        <w:rPr>
          <w:rFonts w:cs="Times New Roman"/>
          <w:i/>
          <w:iCs/>
          <w:color w:val="000000"/>
          <w:w w:val="105"/>
          <w:sz w:val="22"/>
          <w:szCs w:val="22"/>
        </w:rPr>
        <w:t>1505),</w:t>
      </w:r>
    </w:p>
    <w:p w14:paraId="63883231" w14:textId="3DEE9EB3" w:rsidR="00A62833" w:rsidRPr="005B0243" w:rsidRDefault="00A62833">
      <w:pPr>
        <w:pStyle w:val="Akapitzlist"/>
        <w:widowControl w:val="0"/>
        <w:numPr>
          <w:ilvl w:val="0"/>
          <w:numId w:val="224"/>
        </w:numPr>
        <w:tabs>
          <w:tab w:val="left" w:pos="1093"/>
        </w:tabs>
        <w:autoSpaceDE w:val="0"/>
        <w:autoSpaceDN w:val="0"/>
        <w:spacing w:line="360" w:lineRule="auto"/>
        <w:ind w:right="-31"/>
        <w:jc w:val="both"/>
        <w:rPr>
          <w:rFonts w:cs="Times New Roman"/>
          <w:i/>
          <w:iCs/>
          <w:color w:val="000000"/>
          <w:sz w:val="22"/>
          <w:szCs w:val="22"/>
        </w:rPr>
      </w:pPr>
      <w:r w:rsidRPr="005B0243">
        <w:rPr>
          <w:rFonts w:cs="Times New Roman"/>
          <w:i/>
          <w:iCs/>
          <w:color w:val="000000"/>
          <w:w w:val="105"/>
          <w:sz w:val="22"/>
          <w:szCs w:val="22"/>
        </w:rPr>
        <w:t>ustawy</w:t>
      </w:r>
      <w:r w:rsidRPr="005B0243">
        <w:rPr>
          <w:rFonts w:cs="Times New Roman"/>
          <w:i/>
          <w:iCs/>
          <w:color w:val="000000"/>
          <w:spacing w:val="2"/>
          <w:w w:val="105"/>
          <w:sz w:val="22"/>
          <w:szCs w:val="22"/>
        </w:rPr>
        <w:t xml:space="preserve"> </w:t>
      </w:r>
      <w:r w:rsidRPr="005B0243">
        <w:rPr>
          <w:rFonts w:cs="Times New Roman"/>
          <w:i/>
          <w:iCs/>
          <w:color w:val="000000"/>
          <w:w w:val="105"/>
          <w:sz w:val="22"/>
          <w:szCs w:val="22"/>
        </w:rPr>
        <w:t>z</w:t>
      </w:r>
      <w:r w:rsidRPr="005B0243">
        <w:rPr>
          <w:rFonts w:cs="Times New Roman"/>
          <w:i/>
          <w:iCs/>
          <w:color w:val="000000"/>
          <w:spacing w:val="-13"/>
          <w:w w:val="105"/>
          <w:sz w:val="22"/>
          <w:szCs w:val="22"/>
        </w:rPr>
        <w:t xml:space="preserve"> </w:t>
      </w:r>
      <w:r w:rsidRPr="005B0243">
        <w:rPr>
          <w:rFonts w:cs="Times New Roman"/>
          <w:i/>
          <w:iCs/>
          <w:color w:val="000000"/>
          <w:w w:val="105"/>
          <w:sz w:val="22"/>
          <w:szCs w:val="22"/>
        </w:rPr>
        <w:t>dnia</w:t>
      </w:r>
      <w:r w:rsidRPr="005B0243">
        <w:rPr>
          <w:rFonts w:cs="Times New Roman"/>
          <w:i/>
          <w:iCs/>
          <w:color w:val="000000"/>
          <w:spacing w:val="-2"/>
          <w:w w:val="105"/>
          <w:sz w:val="22"/>
          <w:szCs w:val="22"/>
        </w:rPr>
        <w:t xml:space="preserve"> </w:t>
      </w:r>
      <w:r w:rsidRPr="005B0243">
        <w:rPr>
          <w:rFonts w:cs="Times New Roman"/>
          <w:i/>
          <w:iCs/>
          <w:color w:val="000000"/>
          <w:w w:val="105"/>
          <w:sz w:val="22"/>
          <w:szCs w:val="22"/>
        </w:rPr>
        <w:t>17</w:t>
      </w:r>
      <w:r w:rsidRPr="005B0243">
        <w:rPr>
          <w:rFonts w:cs="Times New Roman"/>
          <w:i/>
          <w:iCs/>
          <w:color w:val="000000"/>
          <w:spacing w:val="-8"/>
          <w:w w:val="105"/>
          <w:sz w:val="22"/>
          <w:szCs w:val="22"/>
        </w:rPr>
        <w:t xml:space="preserve"> </w:t>
      </w:r>
      <w:r w:rsidRPr="005B0243">
        <w:rPr>
          <w:rFonts w:cs="Times New Roman"/>
          <w:i/>
          <w:iCs/>
          <w:color w:val="000000"/>
          <w:w w:val="105"/>
          <w:sz w:val="22"/>
          <w:szCs w:val="22"/>
        </w:rPr>
        <w:t>września</w:t>
      </w:r>
      <w:r w:rsidRPr="005B0243">
        <w:rPr>
          <w:rFonts w:cs="Times New Roman"/>
          <w:i/>
          <w:iCs/>
          <w:color w:val="000000"/>
          <w:spacing w:val="-2"/>
          <w:w w:val="105"/>
          <w:sz w:val="22"/>
          <w:szCs w:val="22"/>
        </w:rPr>
        <w:t xml:space="preserve"> </w:t>
      </w:r>
      <w:r w:rsidRPr="005B0243">
        <w:rPr>
          <w:rFonts w:cs="Times New Roman"/>
          <w:i/>
          <w:iCs/>
          <w:color w:val="000000"/>
          <w:w w:val="105"/>
          <w:sz w:val="22"/>
          <w:szCs w:val="22"/>
        </w:rPr>
        <w:t>2021</w:t>
      </w:r>
      <w:r w:rsidRPr="005B0243">
        <w:rPr>
          <w:rFonts w:cs="Times New Roman"/>
          <w:i/>
          <w:iCs/>
          <w:color w:val="000000"/>
          <w:spacing w:val="1"/>
          <w:w w:val="105"/>
          <w:sz w:val="22"/>
          <w:szCs w:val="22"/>
        </w:rPr>
        <w:t xml:space="preserve"> </w:t>
      </w:r>
      <w:r w:rsidRPr="005B0243">
        <w:rPr>
          <w:rFonts w:cs="Times New Roman"/>
          <w:i/>
          <w:iCs/>
          <w:color w:val="000000"/>
          <w:w w:val="105"/>
          <w:sz w:val="22"/>
          <w:szCs w:val="22"/>
        </w:rPr>
        <w:t>r.</w:t>
      </w:r>
      <w:r w:rsidRPr="005B0243">
        <w:rPr>
          <w:rFonts w:cs="Times New Roman"/>
          <w:i/>
          <w:iCs/>
          <w:color w:val="000000"/>
          <w:spacing w:val="-15"/>
          <w:w w:val="105"/>
          <w:sz w:val="22"/>
          <w:szCs w:val="22"/>
        </w:rPr>
        <w:t xml:space="preserve"> </w:t>
      </w:r>
      <w:r w:rsidRPr="005B0243">
        <w:rPr>
          <w:rFonts w:cs="Times New Roman"/>
          <w:i/>
          <w:iCs/>
          <w:color w:val="000000"/>
          <w:w w:val="105"/>
          <w:sz w:val="22"/>
          <w:szCs w:val="22"/>
        </w:rPr>
        <w:t>o</w:t>
      </w:r>
      <w:r w:rsidRPr="005B0243">
        <w:rPr>
          <w:rFonts w:cs="Times New Roman"/>
          <w:i/>
          <w:iCs/>
          <w:color w:val="000000"/>
          <w:spacing w:val="-10"/>
          <w:w w:val="105"/>
          <w:sz w:val="22"/>
          <w:szCs w:val="22"/>
        </w:rPr>
        <w:t xml:space="preserve"> </w:t>
      </w:r>
      <w:r w:rsidRPr="005B0243">
        <w:rPr>
          <w:rFonts w:cs="Times New Roman"/>
          <w:i/>
          <w:iCs/>
          <w:color w:val="000000"/>
          <w:w w:val="105"/>
          <w:sz w:val="22"/>
          <w:szCs w:val="22"/>
        </w:rPr>
        <w:t>zmianie ustawy o</w:t>
      </w:r>
      <w:r w:rsidRPr="005B0243">
        <w:rPr>
          <w:rFonts w:cs="Times New Roman"/>
          <w:i/>
          <w:iCs/>
          <w:color w:val="000000"/>
          <w:spacing w:val="-12"/>
          <w:w w:val="105"/>
          <w:sz w:val="22"/>
          <w:szCs w:val="22"/>
        </w:rPr>
        <w:t xml:space="preserve"> </w:t>
      </w:r>
      <w:r w:rsidRPr="005B0243">
        <w:rPr>
          <w:rFonts w:cs="Times New Roman"/>
          <w:i/>
          <w:iCs/>
          <w:color w:val="000000"/>
          <w:w w:val="105"/>
          <w:sz w:val="22"/>
          <w:szCs w:val="22"/>
        </w:rPr>
        <w:t>odnawialnych</w:t>
      </w:r>
      <w:r w:rsidRPr="005B0243">
        <w:rPr>
          <w:rFonts w:cs="Times New Roman"/>
          <w:i/>
          <w:iCs/>
          <w:color w:val="000000"/>
          <w:spacing w:val="12"/>
          <w:w w:val="105"/>
          <w:sz w:val="22"/>
          <w:szCs w:val="22"/>
        </w:rPr>
        <w:t xml:space="preserve"> </w:t>
      </w:r>
      <w:r w:rsidRPr="005B0243">
        <w:rPr>
          <w:rFonts w:cs="Times New Roman"/>
          <w:i/>
          <w:iCs/>
          <w:color w:val="000000"/>
          <w:w w:val="105"/>
          <w:sz w:val="22"/>
          <w:szCs w:val="22"/>
        </w:rPr>
        <w:t>źródłach</w:t>
      </w:r>
      <w:r w:rsidRPr="005B0243">
        <w:rPr>
          <w:rFonts w:cs="Times New Roman"/>
          <w:i/>
          <w:iCs/>
          <w:color w:val="000000"/>
          <w:spacing w:val="1"/>
          <w:w w:val="105"/>
          <w:sz w:val="22"/>
          <w:szCs w:val="22"/>
        </w:rPr>
        <w:t xml:space="preserve"> </w:t>
      </w:r>
      <w:r w:rsidRPr="005B0243">
        <w:rPr>
          <w:rFonts w:cs="Times New Roman"/>
          <w:i/>
          <w:iCs/>
          <w:color w:val="000000"/>
          <w:w w:val="105"/>
          <w:sz w:val="22"/>
          <w:szCs w:val="22"/>
        </w:rPr>
        <w:t>energii oraz niektórych innych ustaw (Dz.U. z 2021 r. poz.</w:t>
      </w:r>
      <w:r w:rsidRPr="005B0243">
        <w:rPr>
          <w:rFonts w:cs="Times New Roman"/>
          <w:i/>
          <w:iCs/>
          <w:color w:val="000000"/>
          <w:spacing w:val="-9"/>
          <w:w w:val="105"/>
          <w:sz w:val="22"/>
          <w:szCs w:val="22"/>
        </w:rPr>
        <w:t xml:space="preserve"> </w:t>
      </w:r>
      <w:r w:rsidRPr="005B0243">
        <w:rPr>
          <w:rFonts w:cs="Times New Roman"/>
          <w:i/>
          <w:iCs/>
          <w:color w:val="000000"/>
          <w:w w:val="105"/>
          <w:sz w:val="22"/>
          <w:szCs w:val="22"/>
        </w:rPr>
        <w:t>1873),</w:t>
      </w:r>
    </w:p>
    <w:p w14:paraId="7AFA6F6B" w14:textId="77777777" w:rsidR="00A62833" w:rsidRPr="00A62833" w:rsidRDefault="00A62833">
      <w:pPr>
        <w:pStyle w:val="Akapitzlist"/>
        <w:widowControl w:val="0"/>
        <w:numPr>
          <w:ilvl w:val="0"/>
          <w:numId w:val="224"/>
        </w:numPr>
        <w:tabs>
          <w:tab w:val="left" w:pos="1098"/>
        </w:tabs>
        <w:autoSpaceDE w:val="0"/>
        <w:autoSpaceDN w:val="0"/>
        <w:spacing w:before="10" w:line="360" w:lineRule="auto"/>
        <w:ind w:right="-31"/>
        <w:jc w:val="both"/>
        <w:rPr>
          <w:rFonts w:cs="Times New Roman"/>
          <w:i/>
          <w:iCs/>
          <w:color w:val="000000"/>
          <w:sz w:val="22"/>
          <w:szCs w:val="22"/>
        </w:rPr>
      </w:pPr>
      <w:r w:rsidRPr="00A62833">
        <w:rPr>
          <w:rFonts w:cs="Times New Roman"/>
          <w:i/>
          <w:iCs/>
          <w:color w:val="000000"/>
          <w:w w:val="105"/>
          <w:sz w:val="22"/>
          <w:szCs w:val="22"/>
        </w:rPr>
        <w:t xml:space="preserve">ustawy z dnia 2 grudnia 2021 r. o zmianie ustawy o elektromobilności </w:t>
      </w:r>
      <w:r w:rsidRPr="00A62833">
        <w:rPr>
          <w:rFonts w:cs="Times New Roman"/>
          <w:i/>
          <w:iCs/>
          <w:color w:val="000000"/>
          <w:w w:val="105"/>
          <w:sz w:val="22"/>
          <w:szCs w:val="22"/>
        </w:rPr>
        <w:br/>
        <w:t>i paliwach alternatywnych oraz niektórych innych ustaw (Dz.U. z 2021 r. poz.</w:t>
      </w:r>
      <w:r w:rsidRPr="00A62833">
        <w:rPr>
          <w:rFonts w:cs="Times New Roman"/>
          <w:i/>
          <w:iCs/>
          <w:color w:val="000000"/>
          <w:spacing w:val="35"/>
          <w:w w:val="105"/>
          <w:sz w:val="22"/>
          <w:szCs w:val="22"/>
        </w:rPr>
        <w:t xml:space="preserve"> </w:t>
      </w:r>
      <w:r w:rsidRPr="00A62833">
        <w:rPr>
          <w:rFonts w:cs="Times New Roman"/>
          <w:i/>
          <w:iCs/>
          <w:color w:val="000000"/>
          <w:w w:val="105"/>
          <w:sz w:val="22"/>
          <w:szCs w:val="22"/>
        </w:rPr>
        <w:t>2269),</w:t>
      </w:r>
    </w:p>
    <w:p w14:paraId="7491521B" w14:textId="77777777" w:rsidR="00A62833" w:rsidRPr="00A62833" w:rsidRDefault="00A62833">
      <w:pPr>
        <w:pStyle w:val="Akapitzlist"/>
        <w:widowControl w:val="0"/>
        <w:numPr>
          <w:ilvl w:val="0"/>
          <w:numId w:val="224"/>
        </w:numPr>
        <w:tabs>
          <w:tab w:val="left" w:pos="1098"/>
        </w:tabs>
        <w:autoSpaceDE w:val="0"/>
        <w:autoSpaceDN w:val="0"/>
        <w:spacing w:before="5" w:line="360" w:lineRule="auto"/>
        <w:ind w:right="-31"/>
        <w:jc w:val="both"/>
        <w:rPr>
          <w:rFonts w:cs="Times New Roman"/>
          <w:i/>
          <w:iCs/>
          <w:color w:val="000000"/>
          <w:sz w:val="22"/>
          <w:szCs w:val="22"/>
        </w:rPr>
      </w:pPr>
      <w:r w:rsidRPr="00A62833">
        <w:rPr>
          <w:rFonts w:cs="Times New Roman"/>
          <w:i/>
          <w:iCs/>
          <w:color w:val="000000"/>
          <w:w w:val="105"/>
          <w:sz w:val="22"/>
          <w:szCs w:val="22"/>
        </w:rPr>
        <w:t>ustawy</w:t>
      </w:r>
      <w:r w:rsidRPr="00A62833">
        <w:rPr>
          <w:rFonts w:cs="Times New Roman"/>
          <w:i/>
          <w:iCs/>
          <w:color w:val="000000"/>
          <w:spacing w:val="-1"/>
          <w:w w:val="105"/>
          <w:sz w:val="22"/>
          <w:szCs w:val="22"/>
        </w:rPr>
        <w:t xml:space="preserve"> </w:t>
      </w:r>
      <w:r w:rsidRPr="00A62833">
        <w:rPr>
          <w:rFonts w:cs="Times New Roman"/>
          <w:i/>
          <w:iCs/>
          <w:color w:val="000000"/>
          <w:w w:val="105"/>
          <w:sz w:val="22"/>
          <w:szCs w:val="22"/>
        </w:rPr>
        <w:t>z</w:t>
      </w:r>
      <w:r w:rsidRPr="00A62833">
        <w:rPr>
          <w:rFonts w:cs="Times New Roman"/>
          <w:i/>
          <w:iCs/>
          <w:color w:val="000000"/>
          <w:spacing w:val="-13"/>
          <w:w w:val="105"/>
          <w:sz w:val="22"/>
          <w:szCs w:val="22"/>
        </w:rPr>
        <w:t xml:space="preserve"> </w:t>
      </w:r>
      <w:r w:rsidRPr="00A62833">
        <w:rPr>
          <w:rFonts w:cs="Times New Roman"/>
          <w:i/>
          <w:iCs/>
          <w:color w:val="000000"/>
          <w:w w:val="105"/>
          <w:sz w:val="22"/>
          <w:szCs w:val="22"/>
        </w:rPr>
        <w:t>dnia</w:t>
      </w:r>
      <w:r w:rsidRPr="00A62833">
        <w:rPr>
          <w:rFonts w:cs="Times New Roman"/>
          <w:i/>
          <w:iCs/>
          <w:color w:val="000000"/>
          <w:spacing w:val="-14"/>
          <w:w w:val="105"/>
          <w:sz w:val="22"/>
          <w:szCs w:val="22"/>
        </w:rPr>
        <w:t xml:space="preserve"> </w:t>
      </w:r>
      <w:r w:rsidRPr="00A62833">
        <w:rPr>
          <w:rFonts w:cs="Times New Roman"/>
          <w:i/>
          <w:iCs/>
          <w:color w:val="000000"/>
          <w:w w:val="105"/>
          <w:sz w:val="22"/>
          <w:szCs w:val="22"/>
        </w:rPr>
        <w:t>17</w:t>
      </w:r>
      <w:r w:rsidRPr="00A62833">
        <w:rPr>
          <w:rFonts w:cs="Times New Roman"/>
          <w:i/>
          <w:iCs/>
          <w:color w:val="000000"/>
          <w:spacing w:val="-15"/>
          <w:w w:val="105"/>
          <w:sz w:val="22"/>
          <w:szCs w:val="22"/>
        </w:rPr>
        <w:t xml:space="preserve"> </w:t>
      </w:r>
      <w:r w:rsidRPr="00A62833">
        <w:rPr>
          <w:rFonts w:cs="Times New Roman"/>
          <w:i/>
          <w:iCs/>
          <w:color w:val="000000"/>
          <w:w w:val="105"/>
          <w:sz w:val="22"/>
          <w:szCs w:val="22"/>
        </w:rPr>
        <w:t>grudnia</w:t>
      </w:r>
      <w:r w:rsidRPr="00A62833">
        <w:rPr>
          <w:rFonts w:cs="Times New Roman"/>
          <w:i/>
          <w:iCs/>
          <w:color w:val="000000"/>
          <w:spacing w:val="-1"/>
          <w:w w:val="105"/>
          <w:sz w:val="22"/>
          <w:szCs w:val="22"/>
        </w:rPr>
        <w:t xml:space="preserve"> </w:t>
      </w:r>
      <w:r w:rsidRPr="00A62833">
        <w:rPr>
          <w:rFonts w:cs="Times New Roman"/>
          <w:i/>
          <w:iCs/>
          <w:color w:val="000000"/>
          <w:w w:val="105"/>
          <w:sz w:val="22"/>
          <w:szCs w:val="22"/>
        </w:rPr>
        <w:t>2021</w:t>
      </w:r>
      <w:r w:rsidRPr="00A62833">
        <w:rPr>
          <w:rFonts w:cs="Times New Roman"/>
          <w:i/>
          <w:iCs/>
          <w:color w:val="000000"/>
          <w:spacing w:val="-2"/>
          <w:w w:val="105"/>
          <w:sz w:val="22"/>
          <w:szCs w:val="22"/>
        </w:rPr>
        <w:t xml:space="preserve"> </w:t>
      </w:r>
      <w:r w:rsidRPr="00A62833">
        <w:rPr>
          <w:rFonts w:cs="Times New Roman"/>
          <w:i/>
          <w:iCs/>
          <w:color w:val="000000"/>
          <w:w w:val="105"/>
          <w:sz w:val="22"/>
          <w:szCs w:val="22"/>
        </w:rPr>
        <w:t>r.</w:t>
      </w:r>
      <w:r w:rsidRPr="00A62833">
        <w:rPr>
          <w:rFonts w:cs="Times New Roman"/>
          <w:i/>
          <w:iCs/>
          <w:color w:val="000000"/>
          <w:spacing w:val="-20"/>
          <w:w w:val="105"/>
          <w:sz w:val="22"/>
          <w:szCs w:val="22"/>
        </w:rPr>
        <w:t xml:space="preserve"> </w:t>
      </w:r>
      <w:r w:rsidRPr="00A62833">
        <w:rPr>
          <w:rFonts w:cs="Times New Roman"/>
          <w:i/>
          <w:iCs/>
          <w:color w:val="000000"/>
          <w:w w:val="105"/>
          <w:sz w:val="22"/>
          <w:szCs w:val="22"/>
        </w:rPr>
        <w:t>o</w:t>
      </w:r>
      <w:r w:rsidRPr="00A62833">
        <w:rPr>
          <w:rFonts w:cs="Times New Roman"/>
          <w:i/>
          <w:iCs/>
          <w:color w:val="000000"/>
          <w:spacing w:val="-17"/>
          <w:w w:val="105"/>
          <w:sz w:val="22"/>
          <w:szCs w:val="22"/>
        </w:rPr>
        <w:t xml:space="preserve"> </w:t>
      </w:r>
      <w:r w:rsidRPr="00A62833">
        <w:rPr>
          <w:rFonts w:cs="Times New Roman"/>
          <w:i/>
          <w:iCs/>
          <w:color w:val="000000"/>
          <w:w w:val="105"/>
          <w:sz w:val="22"/>
          <w:szCs w:val="22"/>
        </w:rPr>
        <w:t>dodatku</w:t>
      </w:r>
      <w:r w:rsidRPr="00A62833">
        <w:rPr>
          <w:rFonts w:cs="Times New Roman"/>
          <w:i/>
          <w:iCs/>
          <w:color w:val="000000"/>
          <w:spacing w:val="-3"/>
          <w:w w:val="105"/>
          <w:sz w:val="22"/>
          <w:szCs w:val="22"/>
        </w:rPr>
        <w:t xml:space="preserve"> </w:t>
      </w:r>
      <w:r w:rsidRPr="00A62833">
        <w:rPr>
          <w:rFonts w:cs="Times New Roman"/>
          <w:i/>
          <w:iCs/>
          <w:color w:val="000000"/>
          <w:w w:val="105"/>
          <w:sz w:val="22"/>
          <w:szCs w:val="22"/>
        </w:rPr>
        <w:t>osłonowym</w:t>
      </w:r>
      <w:r w:rsidRPr="00A62833">
        <w:rPr>
          <w:rFonts w:cs="Times New Roman"/>
          <w:i/>
          <w:iCs/>
          <w:color w:val="000000"/>
          <w:spacing w:val="8"/>
          <w:w w:val="105"/>
          <w:sz w:val="22"/>
          <w:szCs w:val="22"/>
        </w:rPr>
        <w:t xml:space="preserve"> </w:t>
      </w:r>
      <w:r w:rsidRPr="00A62833">
        <w:rPr>
          <w:rFonts w:cs="Times New Roman"/>
          <w:i/>
          <w:iCs/>
          <w:color w:val="000000"/>
          <w:w w:val="105"/>
          <w:sz w:val="22"/>
          <w:szCs w:val="22"/>
        </w:rPr>
        <w:t>(Dz.U.</w:t>
      </w:r>
      <w:r w:rsidRPr="00A62833">
        <w:rPr>
          <w:rFonts w:cs="Times New Roman"/>
          <w:i/>
          <w:iCs/>
          <w:color w:val="000000"/>
          <w:spacing w:val="-16"/>
          <w:w w:val="105"/>
          <w:sz w:val="22"/>
          <w:szCs w:val="22"/>
        </w:rPr>
        <w:t xml:space="preserve"> </w:t>
      </w:r>
      <w:r w:rsidRPr="00A62833">
        <w:rPr>
          <w:rFonts w:cs="Times New Roman"/>
          <w:i/>
          <w:iCs/>
          <w:color w:val="000000"/>
          <w:w w:val="105"/>
          <w:sz w:val="22"/>
          <w:szCs w:val="22"/>
        </w:rPr>
        <w:t>z</w:t>
      </w:r>
      <w:r w:rsidRPr="00A62833">
        <w:rPr>
          <w:rFonts w:cs="Times New Roman"/>
          <w:i/>
          <w:iCs/>
          <w:color w:val="000000"/>
          <w:spacing w:val="-19"/>
          <w:w w:val="105"/>
          <w:sz w:val="22"/>
          <w:szCs w:val="22"/>
        </w:rPr>
        <w:t xml:space="preserve"> </w:t>
      </w:r>
      <w:r w:rsidRPr="00A62833">
        <w:rPr>
          <w:rFonts w:cs="Times New Roman"/>
          <w:i/>
          <w:iCs/>
          <w:color w:val="000000"/>
          <w:w w:val="105"/>
          <w:sz w:val="22"/>
          <w:szCs w:val="22"/>
        </w:rPr>
        <w:t>2022</w:t>
      </w:r>
      <w:r w:rsidRPr="00A62833">
        <w:rPr>
          <w:rFonts w:cs="Times New Roman"/>
          <w:i/>
          <w:iCs/>
          <w:color w:val="000000"/>
          <w:spacing w:val="-4"/>
          <w:w w:val="105"/>
          <w:sz w:val="22"/>
          <w:szCs w:val="22"/>
        </w:rPr>
        <w:t xml:space="preserve"> </w:t>
      </w:r>
      <w:r w:rsidRPr="00A62833">
        <w:rPr>
          <w:rFonts w:cs="Times New Roman"/>
          <w:i/>
          <w:iCs/>
          <w:color w:val="000000"/>
          <w:w w:val="105"/>
          <w:sz w:val="22"/>
          <w:szCs w:val="22"/>
        </w:rPr>
        <w:t>r.</w:t>
      </w:r>
      <w:r w:rsidRPr="00A62833">
        <w:rPr>
          <w:rFonts w:cs="Times New Roman"/>
          <w:i/>
          <w:iCs/>
          <w:color w:val="000000"/>
          <w:spacing w:val="-17"/>
          <w:w w:val="105"/>
          <w:sz w:val="22"/>
          <w:szCs w:val="22"/>
        </w:rPr>
        <w:t xml:space="preserve"> </w:t>
      </w:r>
      <w:r w:rsidRPr="00A62833">
        <w:rPr>
          <w:rFonts w:cs="Times New Roman"/>
          <w:i/>
          <w:iCs/>
          <w:color w:val="000000"/>
          <w:w w:val="105"/>
          <w:sz w:val="22"/>
          <w:szCs w:val="22"/>
        </w:rPr>
        <w:t>poz.</w:t>
      </w:r>
      <w:r w:rsidRPr="00A62833">
        <w:rPr>
          <w:rFonts w:cs="Times New Roman"/>
          <w:i/>
          <w:iCs/>
          <w:color w:val="000000"/>
          <w:spacing w:val="-10"/>
          <w:w w:val="105"/>
          <w:sz w:val="22"/>
          <w:szCs w:val="22"/>
        </w:rPr>
        <w:t xml:space="preserve"> </w:t>
      </w:r>
      <w:r w:rsidRPr="00A62833">
        <w:rPr>
          <w:rFonts w:cs="Times New Roman"/>
          <w:i/>
          <w:iCs/>
          <w:color w:val="000000"/>
          <w:w w:val="105"/>
          <w:sz w:val="22"/>
          <w:szCs w:val="22"/>
        </w:rPr>
        <w:t>1</w:t>
      </w:r>
      <w:r w:rsidRPr="00A62833">
        <w:rPr>
          <w:rFonts w:cs="Times New Roman"/>
          <w:i/>
          <w:iCs/>
          <w:color w:val="000000"/>
          <w:spacing w:val="-10"/>
          <w:w w:val="105"/>
          <w:sz w:val="22"/>
          <w:szCs w:val="22"/>
        </w:rPr>
        <w:t xml:space="preserve"> </w:t>
      </w:r>
      <w:r w:rsidRPr="00A62833">
        <w:rPr>
          <w:rFonts w:cs="Times New Roman"/>
          <w:i/>
          <w:iCs/>
          <w:color w:val="000000"/>
          <w:w w:val="105"/>
          <w:sz w:val="22"/>
          <w:szCs w:val="22"/>
        </w:rPr>
        <w:t>z</w:t>
      </w:r>
      <w:r w:rsidRPr="00A62833">
        <w:rPr>
          <w:rFonts w:cs="Times New Roman"/>
          <w:i/>
          <w:iCs/>
          <w:color w:val="000000"/>
          <w:spacing w:val="-15"/>
          <w:w w:val="105"/>
          <w:sz w:val="22"/>
          <w:szCs w:val="22"/>
        </w:rPr>
        <w:t xml:space="preserve"> </w:t>
      </w:r>
      <w:r w:rsidRPr="00A62833">
        <w:rPr>
          <w:rFonts w:cs="Times New Roman"/>
          <w:i/>
          <w:iCs/>
          <w:color w:val="000000"/>
          <w:w w:val="105"/>
          <w:sz w:val="22"/>
          <w:szCs w:val="22"/>
        </w:rPr>
        <w:t>późn. zm.),</w:t>
      </w:r>
    </w:p>
    <w:p w14:paraId="0607C7EE" w14:textId="77777777" w:rsidR="00A62833" w:rsidRPr="00A62833" w:rsidRDefault="00A62833">
      <w:pPr>
        <w:pStyle w:val="Akapitzlist"/>
        <w:widowControl w:val="0"/>
        <w:numPr>
          <w:ilvl w:val="0"/>
          <w:numId w:val="224"/>
        </w:numPr>
        <w:tabs>
          <w:tab w:val="left" w:pos="1096"/>
        </w:tabs>
        <w:autoSpaceDE w:val="0"/>
        <w:autoSpaceDN w:val="0"/>
        <w:spacing w:line="360" w:lineRule="auto"/>
        <w:ind w:right="-31"/>
        <w:jc w:val="both"/>
        <w:rPr>
          <w:rFonts w:cs="Times New Roman"/>
          <w:i/>
          <w:iCs/>
          <w:color w:val="000000"/>
          <w:sz w:val="22"/>
          <w:szCs w:val="22"/>
        </w:rPr>
      </w:pPr>
      <w:r w:rsidRPr="00A62833">
        <w:rPr>
          <w:rFonts w:cs="Times New Roman"/>
          <w:i/>
          <w:iCs/>
          <w:color w:val="000000"/>
          <w:w w:val="105"/>
          <w:sz w:val="22"/>
          <w:szCs w:val="22"/>
        </w:rPr>
        <w:t>rozporządzenia Ministra Klimatu i Środowiska z dnia 21 października 2021 r.  w sprawie rejestru magazynów energii elektrycznej (Dz. U. z 2021 r. poz.</w:t>
      </w:r>
      <w:r w:rsidRPr="00A62833">
        <w:rPr>
          <w:rFonts w:cs="Times New Roman"/>
          <w:i/>
          <w:iCs/>
          <w:color w:val="000000"/>
          <w:spacing w:val="12"/>
          <w:w w:val="105"/>
          <w:sz w:val="22"/>
          <w:szCs w:val="22"/>
        </w:rPr>
        <w:t xml:space="preserve"> </w:t>
      </w:r>
      <w:r w:rsidRPr="00A62833">
        <w:rPr>
          <w:rFonts w:cs="Times New Roman"/>
          <w:i/>
          <w:iCs/>
          <w:color w:val="000000"/>
          <w:w w:val="105"/>
          <w:sz w:val="22"/>
          <w:szCs w:val="22"/>
        </w:rPr>
        <w:t>2010),</w:t>
      </w:r>
    </w:p>
    <w:p w14:paraId="738D9B26" w14:textId="2BF0C2BA" w:rsidR="00A62833" w:rsidRPr="002B6C89" w:rsidRDefault="00A62833">
      <w:pPr>
        <w:pStyle w:val="Akapitzlist"/>
        <w:widowControl w:val="0"/>
        <w:numPr>
          <w:ilvl w:val="0"/>
          <w:numId w:val="224"/>
        </w:numPr>
        <w:tabs>
          <w:tab w:val="left" w:pos="1096"/>
        </w:tabs>
        <w:autoSpaceDE w:val="0"/>
        <w:autoSpaceDN w:val="0"/>
        <w:spacing w:line="360" w:lineRule="auto"/>
        <w:ind w:right="-31"/>
        <w:jc w:val="both"/>
        <w:rPr>
          <w:rFonts w:cs="Times New Roman"/>
          <w:i/>
          <w:iCs/>
          <w:color w:val="000000"/>
          <w:sz w:val="22"/>
          <w:szCs w:val="22"/>
        </w:rPr>
      </w:pPr>
      <w:r w:rsidRPr="00A62833">
        <w:rPr>
          <w:rFonts w:cs="Times New Roman"/>
          <w:i/>
          <w:iCs/>
          <w:color w:val="000000"/>
          <w:w w:val="105"/>
          <w:sz w:val="22"/>
          <w:szCs w:val="22"/>
        </w:rPr>
        <w:t>rozporządzenia Rady Ministrów z dnia 8 listopada 2021 r. w sprawie szczegółowych zasad</w:t>
      </w:r>
      <w:r w:rsidRPr="00A62833">
        <w:rPr>
          <w:rFonts w:cs="Times New Roman"/>
          <w:i/>
          <w:iCs/>
          <w:color w:val="000000"/>
          <w:spacing w:val="-15"/>
          <w:w w:val="105"/>
          <w:sz w:val="22"/>
          <w:szCs w:val="22"/>
        </w:rPr>
        <w:t xml:space="preserve"> </w:t>
      </w:r>
      <w:r w:rsidRPr="00A62833">
        <w:rPr>
          <w:rFonts w:cs="Times New Roman"/>
          <w:i/>
          <w:iCs/>
          <w:color w:val="000000"/>
          <w:w w:val="105"/>
          <w:sz w:val="22"/>
          <w:szCs w:val="22"/>
        </w:rPr>
        <w:t>i</w:t>
      </w:r>
      <w:r w:rsidRPr="00A62833">
        <w:rPr>
          <w:rFonts w:cs="Times New Roman"/>
          <w:i/>
          <w:iCs/>
          <w:color w:val="000000"/>
          <w:spacing w:val="-23"/>
          <w:w w:val="105"/>
          <w:sz w:val="22"/>
          <w:szCs w:val="22"/>
        </w:rPr>
        <w:t xml:space="preserve"> </w:t>
      </w:r>
      <w:r w:rsidRPr="00A62833">
        <w:rPr>
          <w:rFonts w:cs="Times New Roman"/>
          <w:i/>
          <w:iCs/>
          <w:color w:val="000000"/>
          <w:w w:val="105"/>
          <w:sz w:val="22"/>
          <w:szCs w:val="22"/>
        </w:rPr>
        <w:t>trybu</w:t>
      </w:r>
      <w:r w:rsidRPr="00A62833">
        <w:rPr>
          <w:rFonts w:cs="Times New Roman"/>
          <w:i/>
          <w:iCs/>
          <w:color w:val="000000"/>
          <w:spacing w:val="-14"/>
          <w:w w:val="105"/>
          <w:sz w:val="22"/>
          <w:szCs w:val="22"/>
        </w:rPr>
        <w:t xml:space="preserve"> </w:t>
      </w:r>
      <w:r w:rsidRPr="002B6C89">
        <w:rPr>
          <w:rFonts w:cs="Times New Roman"/>
          <w:i/>
          <w:iCs/>
          <w:color w:val="000000"/>
          <w:w w:val="105"/>
          <w:sz w:val="22"/>
          <w:szCs w:val="22"/>
        </w:rPr>
        <w:t>wprowadzania</w:t>
      </w:r>
      <w:r w:rsidRPr="002B6C89">
        <w:rPr>
          <w:rFonts w:cs="Times New Roman"/>
          <w:i/>
          <w:iCs/>
          <w:color w:val="000000"/>
          <w:spacing w:val="-5"/>
          <w:w w:val="105"/>
          <w:sz w:val="22"/>
          <w:szCs w:val="22"/>
        </w:rPr>
        <w:t xml:space="preserve"> </w:t>
      </w:r>
      <w:r w:rsidRPr="002B6C89">
        <w:rPr>
          <w:rFonts w:cs="Times New Roman"/>
          <w:i/>
          <w:iCs/>
          <w:color w:val="000000"/>
          <w:w w:val="105"/>
          <w:sz w:val="22"/>
          <w:szCs w:val="22"/>
        </w:rPr>
        <w:t>ograniczeń</w:t>
      </w:r>
      <w:r w:rsidRPr="002B6C89">
        <w:rPr>
          <w:rFonts w:cs="Times New Roman"/>
          <w:i/>
          <w:iCs/>
          <w:color w:val="000000"/>
          <w:spacing w:val="-13"/>
          <w:w w:val="105"/>
          <w:sz w:val="22"/>
          <w:szCs w:val="22"/>
        </w:rPr>
        <w:t xml:space="preserve"> </w:t>
      </w:r>
      <w:r w:rsidRPr="002B6C89">
        <w:rPr>
          <w:rFonts w:cs="Times New Roman"/>
          <w:i/>
          <w:iCs/>
          <w:color w:val="000000"/>
          <w:w w:val="105"/>
          <w:sz w:val="22"/>
          <w:szCs w:val="22"/>
        </w:rPr>
        <w:t>w</w:t>
      </w:r>
      <w:r w:rsidRPr="002B6C89">
        <w:rPr>
          <w:rFonts w:cs="Times New Roman"/>
          <w:i/>
          <w:iCs/>
          <w:color w:val="000000"/>
          <w:spacing w:val="-25"/>
          <w:w w:val="105"/>
          <w:sz w:val="22"/>
          <w:szCs w:val="22"/>
        </w:rPr>
        <w:t xml:space="preserve"> </w:t>
      </w:r>
      <w:r w:rsidRPr="002B6C89">
        <w:rPr>
          <w:rFonts w:cs="Times New Roman"/>
          <w:i/>
          <w:iCs/>
          <w:color w:val="000000"/>
          <w:w w:val="105"/>
          <w:sz w:val="22"/>
          <w:szCs w:val="22"/>
        </w:rPr>
        <w:t>sprzedaży</w:t>
      </w:r>
      <w:r w:rsidRPr="002B6C89">
        <w:rPr>
          <w:rFonts w:cs="Times New Roman"/>
          <w:i/>
          <w:iCs/>
          <w:color w:val="000000"/>
          <w:spacing w:val="-14"/>
          <w:w w:val="105"/>
          <w:sz w:val="22"/>
          <w:szCs w:val="22"/>
        </w:rPr>
        <w:t xml:space="preserve"> </w:t>
      </w:r>
      <w:r w:rsidRPr="002B6C89">
        <w:rPr>
          <w:rFonts w:cs="Times New Roman"/>
          <w:i/>
          <w:iCs/>
          <w:color w:val="000000"/>
          <w:w w:val="105"/>
          <w:sz w:val="22"/>
          <w:szCs w:val="22"/>
        </w:rPr>
        <w:t>paliw</w:t>
      </w:r>
      <w:r w:rsidRPr="002B6C89">
        <w:rPr>
          <w:rFonts w:cs="Times New Roman"/>
          <w:i/>
          <w:iCs/>
          <w:color w:val="000000"/>
          <w:spacing w:val="-22"/>
          <w:w w:val="105"/>
          <w:sz w:val="22"/>
          <w:szCs w:val="22"/>
        </w:rPr>
        <w:t xml:space="preserve"> </w:t>
      </w:r>
      <w:r w:rsidRPr="002B6C89">
        <w:rPr>
          <w:rFonts w:cs="Times New Roman"/>
          <w:i/>
          <w:iCs/>
          <w:color w:val="000000"/>
          <w:w w:val="105"/>
          <w:sz w:val="22"/>
          <w:szCs w:val="22"/>
        </w:rPr>
        <w:t>stałych</w:t>
      </w:r>
      <w:r w:rsidRPr="002B6C89">
        <w:rPr>
          <w:rFonts w:cs="Times New Roman"/>
          <w:i/>
          <w:iCs/>
          <w:color w:val="000000"/>
          <w:spacing w:val="-20"/>
          <w:w w:val="105"/>
          <w:sz w:val="22"/>
          <w:szCs w:val="22"/>
        </w:rPr>
        <w:t xml:space="preserve"> </w:t>
      </w:r>
      <w:r w:rsidRPr="002B6C89">
        <w:rPr>
          <w:rFonts w:cs="Times New Roman"/>
          <w:i/>
          <w:iCs/>
          <w:color w:val="000000"/>
          <w:w w:val="105"/>
          <w:sz w:val="22"/>
          <w:szCs w:val="22"/>
        </w:rPr>
        <w:t>oraz</w:t>
      </w:r>
      <w:r w:rsidRPr="002B6C89">
        <w:rPr>
          <w:rFonts w:cs="Times New Roman"/>
          <w:i/>
          <w:iCs/>
          <w:color w:val="000000"/>
          <w:spacing w:val="-23"/>
          <w:w w:val="105"/>
          <w:sz w:val="22"/>
          <w:szCs w:val="22"/>
        </w:rPr>
        <w:t xml:space="preserve"> </w:t>
      </w:r>
      <w:r w:rsidRPr="002B6C89">
        <w:rPr>
          <w:rFonts w:cs="Times New Roman"/>
          <w:i/>
          <w:iCs/>
          <w:color w:val="000000"/>
          <w:w w:val="105"/>
          <w:sz w:val="22"/>
          <w:szCs w:val="22"/>
        </w:rPr>
        <w:t>w</w:t>
      </w:r>
      <w:r w:rsidRPr="002B6C89">
        <w:rPr>
          <w:rFonts w:cs="Times New Roman"/>
          <w:i/>
          <w:iCs/>
          <w:color w:val="000000"/>
          <w:spacing w:val="-26"/>
          <w:w w:val="105"/>
          <w:sz w:val="22"/>
          <w:szCs w:val="22"/>
        </w:rPr>
        <w:t xml:space="preserve"> </w:t>
      </w:r>
      <w:r w:rsidRPr="002B6C89">
        <w:rPr>
          <w:rFonts w:cs="Times New Roman"/>
          <w:i/>
          <w:iCs/>
          <w:color w:val="000000"/>
          <w:w w:val="105"/>
          <w:sz w:val="22"/>
          <w:szCs w:val="22"/>
        </w:rPr>
        <w:t>dostarczaniu i poborze energii elektrycznej lub ciepła (Dz.U. z 2021 r. poz.</w:t>
      </w:r>
      <w:r w:rsidRPr="002B6C89">
        <w:rPr>
          <w:rFonts w:cs="Times New Roman"/>
          <w:i/>
          <w:iCs/>
          <w:color w:val="000000"/>
          <w:spacing w:val="-8"/>
          <w:w w:val="105"/>
          <w:sz w:val="22"/>
          <w:szCs w:val="22"/>
        </w:rPr>
        <w:t xml:space="preserve"> </w:t>
      </w:r>
      <w:r w:rsidRPr="002B6C89">
        <w:rPr>
          <w:rFonts w:cs="Times New Roman"/>
          <w:i/>
          <w:iCs/>
          <w:color w:val="000000"/>
          <w:w w:val="105"/>
          <w:sz w:val="22"/>
          <w:szCs w:val="22"/>
        </w:rPr>
        <w:t>2209),</w:t>
      </w:r>
    </w:p>
    <w:p w14:paraId="5722D3EF" w14:textId="28B6ADAB" w:rsidR="002B6C89" w:rsidRPr="003D770C" w:rsidRDefault="00A62833">
      <w:pPr>
        <w:pStyle w:val="Akapitzlist"/>
        <w:widowControl w:val="0"/>
        <w:numPr>
          <w:ilvl w:val="0"/>
          <w:numId w:val="224"/>
        </w:numPr>
        <w:tabs>
          <w:tab w:val="left" w:pos="1101"/>
        </w:tabs>
        <w:autoSpaceDE w:val="0"/>
        <w:autoSpaceDN w:val="0"/>
        <w:spacing w:before="3" w:line="360" w:lineRule="auto"/>
        <w:ind w:right="-31"/>
        <w:jc w:val="both"/>
        <w:rPr>
          <w:rFonts w:cs="Times New Roman"/>
          <w:color w:val="000000"/>
          <w:sz w:val="22"/>
          <w:szCs w:val="22"/>
        </w:rPr>
      </w:pPr>
      <w:r w:rsidRPr="002B6C89">
        <w:rPr>
          <w:rFonts w:cs="Times New Roman"/>
          <w:i/>
          <w:iCs/>
          <w:color w:val="000000"/>
          <w:w w:val="105"/>
          <w:sz w:val="22"/>
          <w:szCs w:val="22"/>
        </w:rPr>
        <w:t xml:space="preserve">rozporządzenia Ministra Klimatu i Środowiska z dnia 30 listopada 2021 r. </w:t>
      </w:r>
      <w:r w:rsidRPr="002B6C89">
        <w:rPr>
          <w:rFonts w:cs="Times New Roman"/>
          <w:i/>
          <w:iCs/>
          <w:color w:val="000000"/>
          <w:w w:val="105"/>
          <w:sz w:val="22"/>
          <w:szCs w:val="22"/>
        </w:rPr>
        <w:br/>
        <w:t xml:space="preserve">w sprawie wymagań </w:t>
      </w:r>
      <w:r w:rsidRPr="002B6C89">
        <w:rPr>
          <w:rFonts w:cs="Times New Roman"/>
          <w:i/>
          <w:iCs/>
          <w:color w:val="000000"/>
          <w:spacing w:val="-3"/>
          <w:w w:val="105"/>
          <w:sz w:val="22"/>
          <w:szCs w:val="22"/>
        </w:rPr>
        <w:t xml:space="preserve">technicznych, </w:t>
      </w:r>
      <w:r w:rsidRPr="002B6C89">
        <w:rPr>
          <w:rFonts w:cs="Times New Roman"/>
          <w:i/>
          <w:iCs/>
          <w:color w:val="000000"/>
          <w:w w:val="105"/>
          <w:sz w:val="22"/>
          <w:szCs w:val="22"/>
        </w:rPr>
        <w:t>warunków przyłączania oraz współpracy mikroinstalacji</w:t>
      </w:r>
      <w:r w:rsidR="002B6C89" w:rsidRPr="002B6C89">
        <w:rPr>
          <w:i/>
          <w:iCs/>
          <w:w w:val="105"/>
          <w:sz w:val="22"/>
          <w:szCs w:val="22"/>
        </w:rPr>
        <w:t xml:space="preserve"> </w:t>
      </w:r>
      <w:r w:rsidR="002B6C89" w:rsidRPr="002B6C89">
        <w:rPr>
          <w:rFonts w:cs="Times New Roman"/>
          <w:i/>
          <w:iCs/>
          <w:color w:val="000000"/>
          <w:w w:val="105"/>
          <w:sz w:val="22"/>
          <w:szCs w:val="22"/>
        </w:rPr>
        <w:t xml:space="preserve">z systemem elektroenergetycznym </w:t>
      </w:r>
      <w:r w:rsidR="002B6C89" w:rsidRPr="002B6C89">
        <w:rPr>
          <w:rFonts w:cs="Times New Roman"/>
          <w:i/>
          <w:iCs/>
          <w:color w:val="000000"/>
          <w:spacing w:val="-3"/>
          <w:w w:val="105"/>
          <w:sz w:val="22"/>
          <w:szCs w:val="22"/>
        </w:rPr>
        <w:t xml:space="preserve">(Dz. </w:t>
      </w:r>
      <w:r w:rsidR="002B6C89" w:rsidRPr="002B6C89">
        <w:rPr>
          <w:rFonts w:cs="Times New Roman"/>
          <w:i/>
          <w:iCs/>
          <w:color w:val="000000"/>
          <w:spacing w:val="3"/>
          <w:w w:val="105"/>
          <w:sz w:val="22"/>
          <w:szCs w:val="22"/>
        </w:rPr>
        <w:t xml:space="preserve">U. </w:t>
      </w:r>
      <w:r w:rsidR="002B6C89" w:rsidRPr="002B6C89">
        <w:rPr>
          <w:rFonts w:cs="Times New Roman"/>
          <w:i/>
          <w:iCs/>
          <w:color w:val="000000"/>
          <w:w w:val="105"/>
          <w:sz w:val="22"/>
          <w:szCs w:val="22"/>
        </w:rPr>
        <w:t xml:space="preserve">z 2021 r. </w:t>
      </w:r>
      <w:r w:rsidR="002B6C89" w:rsidRPr="002B6C89">
        <w:rPr>
          <w:rFonts w:cs="Times New Roman"/>
          <w:i/>
          <w:iCs/>
          <w:color w:val="000000"/>
          <w:spacing w:val="2"/>
          <w:w w:val="105"/>
          <w:sz w:val="22"/>
          <w:szCs w:val="22"/>
        </w:rPr>
        <w:t>poz.</w:t>
      </w:r>
      <w:r w:rsidR="002B6C89" w:rsidRPr="002B6C89">
        <w:rPr>
          <w:rFonts w:cs="Times New Roman"/>
          <w:i/>
          <w:iCs/>
          <w:color w:val="000000"/>
          <w:spacing w:val="-10"/>
          <w:w w:val="105"/>
          <w:sz w:val="22"/>
          <w:szCs w:val="22"/>
        </w:rPr>
        <w:t xml:space="preserve"> </w:t>
      </w:r>
      <w:r w:rsidR="002B6C89" w:rsidRPr="002B6C89">
        <w:rPr>
          <w:rFonts w:cs="Times New Roman"/>
          <w:i/>
          <w:iCs/>
          <w:color w:val="000000"/>
          <w:w w:val="105"/>
          <w:sz w:val="22"/>
          <w:szCs w:val="22"/>
        </w:rPr>
        <w:t>2343</w:t>
      </w:r>
      <w:r w:rsidR="002B6C89" w:rsidRPr="002B6C89">
        <w:rPr>
          <w:rFonts w:cs="Times New Roman"/>
          <w:color w:val="000000"/>
          <w:w w:val="105"/>
          <w:sz w:val="22"/>
          <w:szCs w:val="22"/>
        </w:rPr>
        <w:t>),</w:t>
      </w:r>
    </w:p>
    <w:p w14:paraId="57009782" w14:textId="77777777" w:rsidR="003D770C" w:rsidRPr="003D770C" w:rsidRDefault="003D770C">
      <w:pPr>
        <w:pStyle w:val="Akapitzlist"/>
        <w:widowControl w:val="0"/>
        <w:numPr>
          <w:ilvl w:val="0"/>
          <w:numId w:val="224"/>
        </w:numPr>
        <w:tabs>
          <w:tab w:val="left" w:pos="1101"/>
        </w:tabs>
        <w:autoSpaceDE w:val="0"/>
        <w:autoSpaceDN w:val="0"/>
        <w:spacing w:before="3" w:line="360" w:lineRule="auto"/>
        <w:ind w:right="-31"/>
        <w:jc w:val="both"/>
        <w:rPr>
          <w:rFonts w:cs="Times New Roman"/>
          <w:color w:val="000000"/>
          <w:sz w:val="22"/>
          <w:szCs w:val="22"/>
        </w:rPr>
      </w:pPr>
      <w:r w:rsidRPr="002B6C89">
        <w:rPr>
          <w:rFonts w:cs="Times New Roman"/>
          <w:i/>
          <w:iCs/>
          <w:color w:val="000000"/>
          <w:w w:val="105"/>
          <w:sz w:val="22"/>
          <w:szCs w:val="22"/>
        </w:rPr>
        <w:t>rozporządzenia Ministra Klimatu i Środowiska z dnia</w:t>
      </w:r>
      <w:r>
        <w:rPr>
          <w:rFonts w:cs="Times New Roman"/>
          <w:i/>
          <w:iCs/>
          <w:color w:val="000000"/>
          <w:w w:val="105"/>
          <w:sz w:val="22"/>
          <w:szCs w:val="22"/>
        </w:rPr>
        <w:t xml:space="preserve"> 10 stycznia 2022 r. w sprawie procesów rynku energii (Dz. U. z 2022 r. poz. 234),</w:t>
      </w:r>
    </w:p>
    <w:p w14:paraId="62E0A0F3" w14:textId="3FA7BE90" w:rsidR="00784909" w:rsidRPr="005E219B" w:rsidRDefault="003D770C" w:rsidP="00784909">
      <w:pPr>
        <w:pStyle w:val="Akapitzlist"/>
        <w:widowControl w:val="0"/>
        <w:numPr>
          <w:ilvl w:val="0"/>
          <w:numId w:val="224"/>
        </w:numPr>
        <w:tabs>
          <w:tab w:val="left" w:pos="1101"/>
        </w:tabs>
        <w:autoSpaceDE w:val="0"/>
        <w:autoSpaceDN w:val="0"/>
        <w:spacing w:before="3" w:line="360" w:lineRule="auto"/>
        <w:ind w:right="-31"/>
        <w:jc w:val="both"/>
        <w:rPr>
          <w:rFonts w:cs="Times New Roman"/>
          <w:color w:val="000000"/>
          <w:sz w:val="22"/>
          <w:szCs w:val="22"/>
        </w:rPr>
      </w:pPr>
      <w:r>
        <w:rPr>
          <w:rFonts w:cs="Times New Roman"/>
          <w:i/>
          <w:iCs/>
          <w:color w:val="000000"/>
          <w:w w:val="105"/>
          <w:sz w:val="22"/>
          <w:szCs w:val="22"/>
        </w:rPr>
        <w:t xml:space="preserve"> </w:t>
      </w:r>
      <w:r w:rsidR="00784909" w:rsidRPr="002B6C89">
        <w:rPr>
          <w:rFonts w:cs="Times New Roman"/>
          <w:i/>
          <w:iCs/>
          <w:color w:val="000000"/>
          <w:w w:val="105"/>
          <w:sz w:val="22"/>
          <w:szCs w:val="22"/>
        </w:rPr>
        <w:t>rozporządzenia Ministra Klimatu i Środowiska z dnia</w:t>
      </w:r>
      <w:r w:rsidR="00784909">
        <w:rPr>
          <w:rFonts w:cs="Times New Roman"/>
          <w:i/>
          <w:iCs/>
          <w:color w:val="000000"/>
          <w:w w:val="105"/>
          <w:sz w:val="22"/>
          <w:szCs w:val="22"/>
        </w:rPr>
        <w:t xml:space="preserve"> 22 marca 2022 r. w sprawie systemu pomiarowego (Dz. U. z 2022 r. poz. 788),</w:t>
      </w:r>
    </w:p>
    <w:p w14:paraId="092B3442" w14:textId="27EEAFCC" w:rsidR="005E219B" w:rsidRPr="009B5EDF" w:rsidRDefault="005E219B" w:rsidP="00784909">
      <w:pPr>
        <w:pStyle w:val="Akapitzlist"/>
        <w:widowControl w:val="0"/>
        <w:numPr>
          <w:ilvl w:val="0"/>
          <w:numId w:val="224"/>
        </w:numPr>
        <w:tabs>
          <w:tab w:val="left" w:pos="1101"/>
        </w:tabs>
        <w:autoSpaceDE w:val="0"/>
        <w:autoSpaceDN w:val="0"/>
        <w:spacing w:before="3" w:line="360" w:lineRule="auto"/>
        <w:ind w:right="-31"/>
        <w:jc w:val="both"/>
        <w:rPr>
          <w:rFonts w:cs="Times New Roman"/>
          <w:color w:val="000000"/>
          <w:sz w:val="22"/>
          <w:szCs w:val="22"/>
        </w:rPr>
      </w:pPr>
      <w:r w:rsidRPr="002B6C89">
        <w:rPr>
          <w:rFonts w:cs="Times New Roman"/>
          <w:i/>
          <w:iCs/>
          <w:color w:val="000000"/>
          <w:w w:val="105"/>
          <w:sz w:val="22"/>
          <w:szCs w:val="22"/>
        </w:rPr>
        <w:t>rozporządzenia Ministra Klimatu i Środowiska z dnia</w:t>
      </w:r>
      <w:r>
        <w:rPr>
          <w:rFonts w:cs="Times New Roman"/>
          <w:i/>
          <w:iCs/>
          <w:color w:val="000000"/>
          <w:w w:val="105"/>
          <w:sz w:val="22"/>
          <w:szCs w:val="22"/>
        </w:rPr>
        <w:t xml:space="preserve"> 23 marca 2022 r. w sprawie dokonywania rejestracji, bilansowania i udostępniania danych pomiarowych oraz rozliczeń spółdzielni energetycznych (Dz. U. z 2022 r. poz. 703),</w:t>
      </w:r>
    </w:p>
    <w:p w14:paraId="7C5CE723" w14:textId="4318B952" w:rsidR="009B5EDF" w:rsidRPr="003D770C" w:rsidRDefault="009B5EDF" w:rsidP="00784909">
      <w:pPr>
        <w:pStyle w:val="Akapitzlist"/>
        <w:widowControl w:val="0"/>
        <w:numPr>
          <w:ilvl w:val="0"/>
          <w:numId w:val="224"/>
        </w:numPr>
        <w:tabs>
          <w:tab w:val="left" w:pos="1101"/>
        </w:tabs>
        <w:autoSpaceDE w:val="0"/>
        <w:autoSpaceDN w:val="0"/>
        <w:spacing w:before="3" w:line="360" w:lineRule="auto"/>
        <w:ind w:right="-31"/>
        <w:jc w:val="both"/>
        <w:rPr>
          <w:rFonts w:cs="Times New Roman"/>
          <w:color w:val="000000"/>
          <w:sz w:val="22"/>
          <w:szCs w:val="22"/>
        </w:rPr>
      </w:pPr>
      <w:r w:rsidRPr="002B6C89">
        <w:rPr>
          <w:rFonts w:cs="Times New Roman"/>
          <w:i/>
          <w:iCs/>
          <w:color w:val="000000"/>
          <w:w w:val="105"/>
          <w:sz w:val="22"/>
          <w:szCs w:val="22"/>
        </w:rPr>
        <w:lastRenderedPageBreak/>
        <w:t>rozporządzenia Ministra Klimatu i Środowiska z dnia</w:t>
      </w:r>
      <w:r>
        <w:rPr>
          <w:rFonts w:cs="Times New Roman"/>
          <w:i/>
          <w:iCs/>
          <w:color w:val="000000"/>
          <w:w w:val="105"/>
          <w:sz w:val="22"/>
          <w:szCs w:val="22"/>
        </w:rPr>
        <w:t xml:space="preserve"> 29 listopada 2022 r. w sprawie sposobu kształtowania i kalkulacji taryf oraz sposobu rozliczeń w obrocie energią elektryczną (Dz. U. z 2022 r. poz. 2505 z późn. zm.),</w:t>
      </w:r>
    </w:p>
    <w:p w14:paraId="281FD982" w14:textId="0A3BAEA3" w:rsidR="00EC1E16" w:rsidRPr="001C1BF3" w:rsidRDefault="00EC1E16" w:rsidP="00EC1E16">
      <w:pPr>
        <w:numPr>
          <w:ilvl w:val="0"/>
          <w:numId w:val="224"/>
        </w:numPr>
        <w:spacing w:line="360" w:lineRule="auto"/>
        <w:jc w:val="both"/>
        <w:rPr>
          <w:i/>
          <w:color w:val="000000"/>
          <w:sz w:val="22"/>
          <w:szCs w:val="22"/>
        </w:rPr>
      </w:pPr>
      <w:r w:rsidRPr="001C1BF3">
        <w:rPr>
          <w:i/>
          <w:color w:val="000000"/>
          <w:sz w:val="22"/>
          <w:szCs w:val="22"/>
        </w:rPr>
        <w:t xml:space="preserve">ze zmiany IRiESP zatwierdzonej decyzją Prezesa URE z dnia </w:t>
      </w:r>
      <w:r>
        <w:rPr>
          <w:i/>
          <w:color w:val="000000"/>
          <w:sz w:val="22"/>
          <w:szCs w:val="22"/>
        </w:rPr>
        <w:t>30</w:t>
      </w:r>
      <w:r w:rsidRPr="001C1BF3">
        <w:rPr>
          <w:i/>
          <w:color w:val="000000"/>
          <w:sz w:val="22"/>
          <w:szCs w:val="22"/>
        </w:rPr>
        <w:t>.0</w:t>
      </w:r>
      <w:r>
        <w:rPr>
          <w:i/>
          <w:color w:val="000000"/>
          <w:sz w:val="22"/>
          <w:szCs w:val="22"/>
        </w:rPr>
        <w:t>3</w:t>
      </w:r>
      <w:r w:rsidRPr="001C1BF3">
        <w:rPr>
          <w:i/>
          <w:color w:val="000000"/>
          <w:sz w:val="22"/>
          <w:szCs w:val="22"/>
        </w:rPr>
        <w:t>.202</w:t>
      </w:r>
      <w:r>
        <w:rPr>
          <w:i/>
          <w:color w:val="000000"/>
          <w:sz w:val="22"/>
          <w:szCs w:val="22"/>
        </w:rPr>
        <w:t>3</w:t>
      </w:r>
      <w:r w:rsidRPr="001C1BF3">
        <w:rPr>
          <w:i/>
          <w:color w:val="000000"/>
          <w:sz w:val="22"/>
          <w:szCs w:val="22"/>
        </w:rPr>
        <w:t xml:space="preserve"> r. </w:t>
      </w:r>
      <w:r w:rsidRPr="001C1BF3">
        <w:rPr>
          <w:i/>
          <w:color w:val="000000"/>
          <w:sz w:val="22"/>
          <w:szCs w:val="22"/>
        </w:rPr>
        <w:br/>
        <w:t>DRR.WRE.4320.</w:t>
      </w:r>
      <w:r>
        <w:rPr>
          <w:i/>
          <w:color w:val="000000"/>
          <w:sz w:val="22"/>
          <w:szCs w:val="22"/>
        </w:rPr>
        <w:t>8</w:t>
      </w:r>
      <w:r w:rsidRPr="001C1BF3">
        <w:rPr>
          <w:i/>
          <w:color w:val="000000"/>
          <w:sz w:val="22"/>
          <w:szCs w:val="22"/>
        </w:rPr>
        <w:t>.202</w:t>
      </w:r>
      <w:r>
        <w:rPr>
          <w:i/>
          <w:color w:val="000000"/>
          <w:sz w:val="22"/>
          <w:szCs w:val="22"/>
        </w:rPr>
        <w:t>2.AOr.JPa2</w:t>
      </w:r>
      <w:r w:rsidRPr="001C1BF3">
        <w:rPr>
          <w:i/>
          <w:color w:val="000000"/>
          <w:sz w:val="22"/>
          <w:szCs w:val="22"/>
        </w:rPr>
        <w:t xml:space="preserve"> (Karta aktualizacji IRiESP </w:t>
      </w:r>
      <w:r>
        <w:rPr>
          <w:i/>
          <w:color w:val="000000"/>
          <w:sz w:val="22"/>
          <w:szCs w:val="22"/>
        </w:rPr>
        <w:t>nr</w:t>
      </w:r>
      <w:r w:rsidRPr="001C1BF3">
        <w:rPr>
          <w:i/>
          <w:color w:val="000000"/>
          <w:sz w:val="22"/>
          <w:szCs w:val="22"/>
        </w:rPr>
        <w:t xml:space="preserve"> C</w:t>
      </w:r>
      <w:r>
        <w:rPr>
          <w:i/>
          <w:color w:val="000000"/>
          <w:sz w:val="22"/>
          <w:szCs w:val="22"/>
        </w:rPr>
        <w:t>K</w:t>
      </w:r>
      <w:r w:rsidRPr="001C1BF3">
        <w:rPr>
          <w:i/>
          <w:color w:val="000000"/>
          <w:sz w:val="22"/>
          <w:szCs w:val="22"/>
        </w:rPr>
        <w:t>/</w:t>
      </w:r>
      <w:r>
        <w:rPr>
          <w:i/>
          <w:color w:val="000000"/>
          <w:sz w:val="22"/>
          <w:szCs w:val="22"/>
        </w:rPr>
        <w:t>18</w:t>
      </w:r>
      <w:r w:rsidRPr="001C1BF3">
        <w:rPr>
          <w:i/>
          <w:color w:val="000000"/>
          <w:sz w:val="22"/>
          <w:szCs w:val="22"/>
        </w:rPr>
        <w:t>/202</w:t>
      </w:r>
      <w:r>
        <w:rPr>
          <w:i/>
          <w:color w:val="000000"/>
          <w:sz w:val="22"/>
          <w:szCs w:val="22"/>
        </w:rPr>
        <w:t>2</w:t>
      </w:r>
      <w:r w:rsidRPr="001C1BF3">
        <w:rPr>
          <w:i/>
          <w:color w:val="000000"/>
          <w:sz w:val="22"/>
          <w:szCs w:val="22"/>
        </w:rPr>
        <w:t>)</w:t>
      </w:r>
      <w:r w:rsidR="00DF212D">
        <w:rPr>
          <w:i/>
          <w:color w:val="000000"/>
          <w:sz w:val="22"/>
          <w:szCs w:val="22"/>
        </w:rPr>
        <w:t>,</w:t>
      </w:r>
    </w:p>
    <w:p w14:paraId="430241B4" w14:textId="78743C84" w:rsidR="00720414" w:rsidRDefault="00720414">
      <w:pPr>
        <w:numPr>
          <w:ilvl w:val="0"/>
          <w:numId w:val="224"/>
        </w:numPr>
        <w:spacing w:line="360" w:lineRule="auto"/>
        <w:jc w:val="both"/>
        <w:rPr>
          <w:i/>
          <w:color w:val="000000"/>
          <w:sz w:val="22"/>
          <w:szCs w:val="22"/>
        </w:rPr>
      </w:pPr>
      <w:r w:rsidRPr="001C1BF3">
        <w:rPr>
          <w:i/>
          <w:color w:val="000000"/>
          <w:sz w:val="22"/>
          <w:szCs w:val="22"/>
        </w:rPr>
        <w:t xml:space="preserve">ze zmiany IRiESP zatwierdzonej decyzją Prezesa URE z dnia </w:t>
      </w:r>
      <w:r>
        <w:rPr>
          <w:i/>
          <w:color w:val="000000"/>
          <w:sz w:val="22"/>
          <w:szCs w:val="22"/>
        </w:rPr>
        <w:t>29</w:t>
      </w:r>
      <w:r w:rsidRPr="001C1BF3">
        <w:rPr>
          <w:i/>
          <w:color w:val="000000"/>
          <w:sz w:val="22"/>
          <w:szCs w:val="22"/>
        </w:rPr>
        <w:t>.0</w:t>
      </w:r>
      <w:r>
        <w:rPr>
          <w:i/>
          <w:color w:val="000000"/>
          <w:sz w:val="22"/>
          <w:szCs w:val="22"/>
        </w:rPr>
        <w:t>3</w:t>
      </w:r>
      <w:r w:rsidRPr="001C1BF3">
        <w:rPr>
          <w:i/>
          <w:color w:val="000000"/>
          <w:sz w:val="22"/>
          <w:szCs w:val="22"/>
        </w:rPr>
        <w:t>.202</w:t>
      </w:r>
      <w:r>
        <w:rPr>
          <w:i/>
          <w:color w:val="000000"/>
          <w:sz w:val="22"/>
          <w:szCs w:val="22"/>
        </w:rPr>
        <w:t>3</w:t>
      </w:r>
      <w:r w:rsidRPr="001C1BF3">
        <w:rPr>
          <w:i/>
          <w:color w:val="000000"/>
          <w:sz w:val="22"/>
          <w:szCs w:val="22"/>
        </w:rPr>
        <w:t xml:space="preserve"> r. </w:t>
      </w:r>
      <w:r w:rsidRPr="001C1BF3">
        <w:rPr>
          <w:i/>
          <w:color w:val="000000"/>
          <w:sz w:val="22"/>
          <w:szCs w:val="22"/>
        </w:rPr>
        <w:br/>
        <w:t>DRR.WRE.4320.</w:t>
      </w:r>
      <w:r>
        <w:rPr>
          <w:i/>
          <w:color w:val="000000"/>
          <w:sz w:val="22"/>
          <w:szCs w:val="22"/>
        </w:rPr>
        <w:t>2</w:t>
      </w:r>
      <w:r w:rsidRPr="001C1BF3">
        <w:rPr>
          <w:i/>
          <w:color w:val="000000"/>
          <w:sz w:val="22"/>
          <w:szCs w:val="22"/>
        </w:rPr>
        <w:t>.202</w:t>
      </w:r>
      <w:r>
        <w:rPr>
          <w:i/>
          <w:color w:val="000000"/>
          <w:sz w:val="22"/>
          <w:szCs w:val="22"/>
        </w:rPr>
        <w:t>3</w:t>
      </w:r>
      <w:r w:rsidRPr="001C1BF3">
        <w:rPr>
          <w:i/>
          <w:color w:val="000000"/>
          <w:sz w:val="22"/>
          <w:szCs w:val="22"/>
        </w:rPr>
        <w:t>.</w:t>
      </w:r>
      <w:r>
        <w:rPr>
          <w:i/>
          <w:color w:val="000000"/>
          <w:sz w:val="22"/>
          <w:szCs w:val="22"/>
        </w:rPr>
        <w:t>LK</w:t>
      </w:r>
      <w:r w:rsidRPr="001C1BF3">
        <w:rPr>
          <w:i/>
          <w:color w:val="000000"/>
          <w:sz w:val="22"/>
          <w:szCs w:val="22"/>
        </w:rPr>
        <w:t xml:space="preserve">. (Karta aktualizacji IRiESP </w:t>
      </w:r>
      <w:r w:rsidR="00D601AA">
        <w:rPr>
          <w:i/>
          <w:color w:val="000000"/>
          <w:sz w:val="22"/>
          <w:szCs w:val="22"/>
        </w:rPr>
        <w:t>nr</w:t>
      </w:r>
      <w:r w:rsidRPr="001C1BF3">
        <w:rPr>
          <w:i/>
          <w:color w:val="000000"/>
          <w:sz w:val="22"/>
          <w:szCs w:val="22"/>
        </w:rPr>
        <w:t xml:space="preserve"> C</w:t>
      </w:r>
      <w:r w:rsidR="00C3335A">
        <w:rPr>
          <w:i/>
          <w:color w:val="000000"/>
          <w:sz w:val="22"/>
          <w:szCs w:val="22"/>
        </w:rPr>
        <w:t>K</w:t>
      </w:r>
      <w:r w:rsidRPr="001C1BF3">
        <w:rPr>
          <w:i/>
          <w:color w:val="000000"/>
          <w:sz w:val="22"/>
          <w:szCs w:val="22"/>
        </w:rPr>
        <w:t>/</w:t>
      </w:r>
      <w:r w:rsidR="00C3335A">
        <w:rPr>
          <w:i/>
          <w:color w:val="000000"/>
          <w:sz w:val="22"/>
          <w:szCs w:val="22"/>
        </w:rPr>
        <w:t>19</w:t>
      </w:r>
      <w:r w:rsidRPr="001C1BF3">
        <w:rPr>
          <w:i/>
          <w:color w:val="000000"/>
          <w:sz w:val="22"/>
          <w:szCs w:val="22"/>
        </w:rPr>
        <w:t>/202</w:t>
      </w:r>
      <w:r w:rsidR="00C3335A">
        <w:rPr>
          <w:i/>
          <w:color w:val="000000"/>
          <w:sz w:val="22"/>
          <w:szCs w:val="22"/>
        </w:rPr>
        <w:t>2</w:t>
      </w:r>
      <w:r w:rsidRPr="001C1BF3">
        <w:rPr>
          <w:i/>
          <w:color w:val="000000"/>
          <w:sz w:val="22"/>
          <w:szCs w:val="22"/>
        </w:rPr>
        <w:t>)</w:t>
      </w:r>
      <w:r w:rsidR="009B5EDF">
        <w:rPr>
          <w:i/>
          <w:color w:val="000000"/>
          <w:sz w:val="22"/>
          <w:szCs w:val="22"/>
        </w:rPr>
        <w:t>,</w:t>
      </w:r>
    </w:p>
    <w:p w14:paraId="290AB503" w14:textId="1ECC447C" w:rsidR="00784909" w:rsidRDefault="00CE274A">
      <w:pPr>
        <w:numPr>
          <w:ilvl w:val="0"/>
          <w:numId w:val="224"/>
        </w:numPr>
        <w:spacing w:line="360" w:lineRule="auto"/>
        <w:jc w:val="both"/>
        <w:rPr>
          <w:i/>
          <w:iCs/>
          <w:color w:val="000000" w:themeColor="text1"/>
          <w:sz w:val="22"/>
          <w:szCs w:val="22"/>
        </w:rPr>
      </w:pPr>
      <w:r>
        <w:rPr>
          <w:i/>
          <w:iCs/>
          <w:color w:val="000000" w:themeColor="text1"/>
          <w:sz w:val="22"/>
          <w:szCs w:val="22"/>
        </w:rPr>
        <w:t>IRiESP</w:t>
      </w:r>
      <w:r w:rsidR="00784909" w:rsidRPr="009B5EDF">
        <w:rPr>
          <w:i/>
          <w:iCs/>
          <w:color w:val="000000" w:themeColor="text1"/>
          <w:sz w:val="22"/>
          <w:szCs w:val="22"/>
        </w:rPr>
        <w:t xml:space="preserve"> część „Sposób funkcjonowania Centralnego systemu informacji rynku energii oraz współpracy Operatora systemu przesyłowego elektroenergetycznego, działającego jako Operator informacji rynku energii, z Użytkownikami systemu elektroenergetycznego i innymi podmiotami zobowiązanymi lub uprawionymi do korzystania z Centralnego systemu informacji rynku energii" zatwierdzonej decyzją Prezesa Urzędu Regulacji Energetyki z dnia 06 kwietnia 2023 r., znak:</w:t>
      </w:r>
      <w:r w:rsidR="00784909" w:rsidRPr="009B5EDF">
        <w:rPr>
          <w:i/>
          <w:iCs/>
          <w:color w:val="000000" w:themeColor="text1"/>
          <w:spacing w:val="-1"/>
          <w:sz w:val="22"/>
          <w:szCs w:val="22"/>
        </w:rPr>
        <w:t xml:space="preserve"> </w:t>
      </w:r>
      <w:r w:rsidR="00784909" w:rsidRPr="009B5EDF">
        <w:rPr>
          <w:i/>
          <w:iCs/>
          <w:color w:val="000000" w:themeColor="text1"/>
          <w:sz w:val="22"/>
          <w:szCs w:val="22"/>
        </w:rPr>
        <w:t>DRR.WRE.4320.7.2022.LK.</w:t>
      </w:r>
      <w:r>
        <w:rPr>
          <w:i/>
          <w:iCs/>
          <w:color w:val="000000" w:themeColor="text1"/>
          <w:sz w:val="22"/>
          <w:szCs w:val="22"/>
        </w:rPr>
        <w:t>,</w:t>
      </w:r>
    </w:p>
    <w:p w14:paraId="4FFFAE3D" w14:textId="05CA7D8C" w:rsidR="00CE274A" w:rsidRPr="001C1BF3" w:rsidRDefault="00CE274A" w:rsidP="00CE274A">
      <w:pPr>
        <w:numPr>
          <w:ilvl w:val="0"/>
          <w:numId w:val="224"/>
        </w:numPr>
        <w:spacing w:line="360" w:lineRule="auto"/>
        <w:jc w:val="both"/>
        <w:rPr>
          <w:i/>
          <w:color w:val="000000"/>
          <w:sz w:val="22"/>
          <w:szCs w:val="22"/>
        </w:rPr>
      </w:pPr>
      <w:r w:rsidRPr="001C1BF3">
        <w:rPr>
          <w:i/>
          <w:color w:val="000000"/>
          <w:sz w:val="22"/>
          <w:szCs w:val="22"/>
        </w:rPr>
        <w:t xml:space="preserve">ze zmiany IRiESP zatwierdzonej decyzją Prezesa URE z dnia </w:t>
      </w:r>
      <w:r>
        <w:rPr>
          <w:i/>
          <w:color w:val="000000"/>
          <w:sz w:val="22"/>
          <w:szCs w:val="22"/>
        </w:rPr>
        <w:t>26</w:t>
      </w:r>
      <w:r w:rsidRPr="001C1BF3">
        <w:rPr>
          <w:i/>
          <w:color w:val="000000"/>
          <w:sz w:val="22"/>
          <w:szCs w:val="22"/>
        </w:rPr>
        <w:t>.0</w:t>
      </w:r>
      <w:r>
        <w:rPr>
          <w:i/>
          <w:color w:val="000000"/>
          <w:sz w:val="22"/>
          <w:szCs w:val="22"/>
        </w:rPr>
        <w:t>4</w:t>
      </w:r>
      <w:r w:rsidRPr="001C1BF3">
        <w:rPr>
          <w:i/>
          <w:color w:val="000000"/>
          <w:sz w:val="22"/>
          <w:szCs w:val="22"/>
        </w:rPr>
        <w:t>.202</w:t>
      </w:r>
      <w:r>
        <w:rPr>
          <w:i/>
          <w:color w:val="000000"/>
          <w:sz w:val="22"/>
          <w:szCs w:val="22"/>
        </w:rPr>
        <w:t>3</w:t>
      </w:r>
      <w:r w:rsidRPr="001C1BF3">
        <w:rPr>
          <w:i/>
          <w:color w:val="000000"/>
          <w:sz w:val="22"/>
          <w:szCs w:val="22"/>
        </w:rPr>
        <w:t xml:space="preserve"> r. </w:t>
      </w:r>
      <w:r w:rsidRPr="001C1BF3">
        <w:rPr>
          <w:i/>
          <w:color w:val="000000"/>
          <w:sz w:val="22"/>
          <w:szCs w:val="22"/>
        </w:rPr>
        <w:br/>
        <w:t>DRR.WRE.4320.</w:t>
      </w:r>
      <w:r>
        <w:rPr>
          <w:i/>
          <w:color w:val="000000"/>
          <w:sz w:val="22"/>
          <w:szCs w:val="22"/>
        </w:rPr>
        <w:t>3</w:t>
      </w:r>
      <w:r w:rsidRPr="001C1BF3">
        <w:rPr>
          <w:i/>
          <w:color w:val="000000"/>
          <w:sz w:val="22"/>
          <w:szCs w:val="22"/>
        </w:rPr>
        <w:t>.202</w:t>
      </w:r>
      <w:r>
        <w:rPr>
          <w:i/>
          <w:color w:val="000000"/>
          <w:sz w:val="22"/>
          <w:szCs w:val="22"/>
        </w:rPr>
        <w:t>3.LK</w:t>
      </w:r>
      <w:r w:rsidRPr="001C1BF3">
        <w:rPr>
          <w:i/>
          <w:color w:val="000000"/>
          <w:sz w:val="22"/>
          <w:szCs w:val="22"/>
        </w:rPr>
        <w:t xml:space="preserve"> (Karta aktualizacji IRiESP </w:t>
      </w:r>
      <w:r>
        <w:rPr>
          <w:i/>
          <w:color w:val="000000"/>
          <w:sz w:val="22"/>
          <w:szCs w:val="22"/>
        </w:rPr>
        <w:t>nr</w:t>
      </w:r>
      <w:r w:rsidRPr="001C1BF3">
        <w:rPr>
          <w:i/>
          <w:color w:val="000000"/>
          <w:sz w:val="22"/>
          <w:szCs w:val="22"/>
        </w:rPr>
        <w:t xml:space="preserve"> C</w:t>
      </w:r>
      <w:r>
        <w:rPr>
          <w:i/>
          <w:color w:val="000000"/>
          <w:sz w:val="22"/>
          <w:szCs w:val="22"/>
        </w:rPr>
        <w:t>K</w:t>
      </w:r>
      <w:r w:rsidRPr="001C1BF3">
        <w:rPr>
          <w:i/>
          <w:color w:val="000000"/>
          <w:sz w:val="22"/>
          <w:szCs w:val="22"/>
        </w:rPr>
        <w:t>/</w:t>
      </w:r>
      <w:r>
        <w:rPr>
          <w:i/>
          <w:color w:val="000000"/>
          <w:sz w:val="22"/>
          <w:szCs w:val="22"/>
        </w:rPr>
        <w:t>20</w:t>
      </w:r>
      <w:r w:rsidRPr="001C1BF3">
        <w:rPr>
          <w:i/>
          <w:color w:val="000000"/>
          <w:sz w:val="22"/>
          <w:szCs w:val="22"/>
        </w:rPr>
        <w:t>/202</w:t>
      </w:r>
      <w:r>
        <w:rPr>
          <w:i/>
          <w:color w:val="000000"/>
          <w:sz w:val="22"/>
          <w:szCs w:val="22"/>
        </w:rPr>
        <w:t>3</w:t>
      </w:r>
      <w:r w:rsidRPr="001C1BF3">
        <w:rPr>
          <w:i/>
          <w:color w:val="000000"/>
          <w:sz w:val="22"/>
          <w:szCs w:val="22"/>
        </w:rPr>
        <w:t>)</w:t>
      </w:r>
      <w:r>
        <w:rPr>
          <w:i/>
          <w:color w:val="000000"/>
          <w:sz w:val="22"/>
          <w:szCs w:val="22"/>
        </w:rPr>
        <w:t>.</w:t>
      </w:r>
    </w:p>
    <w:p w14:paraId="03312F99" w14:textId="77777777" w:rsidR="00720414" w:rsidRPr="002B6C89" w:rsidRDefault="00720414" w:rsidP="00C3335A">
      <w:pPr>
        <w:pStyle w:val="Akapitzlist"/>
        <w:widowControl w:val="0"/>
        <w:tabs>
          <w:tab w:val="left" w:pos="1101"/>
        </w:tabs>
        <w:autoSpaceDE w:val="0"/>
        <w:autoSpaceDN w:val="0"/>
        <w:spacing w:before="3" w:line="360" w:lineRule="auto"/>
        <w:ind w:left="720" w:right="-31"/>
        <w:jc w:val="both"/>
        <w:rPr>
          <w:rFonts w:cs="Times New Roman"/>
          <w:color w:val="000000"/>
          <w:sz w:val="22"/>
          <w:szCs w:val="22"/>
        </w:rPr>
      </w:pPr>
    </w:p>
    <w:p w14:paraId="5198FDA0" w14:textId="6E2955EF" w:rsidR="00A62833" w:rsidRPr="00A62833" w:rsidRDefault="00A62833" w:rsidP="001A25D8">
      <w:pPr>
        <w:pStyle w:val="Tekstpodstawowy"/>
        <w:widowControl w:val="0"/>
        <w:tabs>
          <w:tab w:val="clear" w:pos="4536"/>
          <w:tab w:val="clear" w:pos="9072"/>
        </w:tabs>
        <w:suppressAutoHyphens/>
        <w:autoSpaceDE w:val="0"/>
        <w:spacing w:before="0" w:after="120"/>
        <w:ind w:left="720" w:right="-31"/>
        <w:rPr>
          <w:i/>
          <w:iCs/>
          <w:sz w:val="22"/>
          <w:szCs w:val="22"/>
        </w:rPr>
      </w:pPr>
    </w:p>
    <w:p w14:paraId="79D3E427" w14:textId="58F752D5" w:rsidR="00646610" w:rsidRDefault="00646610" w:rsidP="005B0243">
      <w:pPr>
        <w:spacing w:line="360" w:lineRule="auto"/>
        <w:ind w:left="720"/>
        <w:jc w:val="both"/>
        <w:rPr>
          <w:i/>
          <w:color w:val="000000"/>
          <w:sz w:val="22"/>
          <w:szCs w:val="22"/>
        </w:rPr>
      </w:pPr>
    </w:p>
    <w:p w14:paraId="23319165" w14:textId="3FA38544" w:rsidR="0066360E" w:rsidRDefault="0066360E" w:rsidP="00E001A2">
      <w:pPr>
        <w:spacing w:line="360" w:lineRule="auto"/>
        <w:ind w:left="720"/>
        <w:jc w:val="both"/>
        <w:rPr>
          <w:i/>
          <w:color w:val="000000"/>
          <w:sz w:val="22"/>
          <w:szCs w:val="22"/>
        </w:rPr>
      </w:pPr>
    </w:p>
    <w:p w14:paraId="7F3C56AB" w14:textId="48D5DD93" w:rsidR="0066360E" w:rsidRDefault="0066360E" w:rsidP="00E001A2">
      <w:pPr>
        <w:spacing w:line="360" w:lineRule="auto"/>
        <w:ind w:left="720"/>
        <w:jc w:val="both"/>
        <w:rPr>
          <w:i/>
          <w:color w:val="000000"/>
          <w:sz w:val="22"/>
          <w:szCs w:val="22"/>
        </w:rPr>
      </w:pPr>
    </w:p>
    <w:p w14:paraId="38FBA16D" w14:textId="77777777" w:rsidR="00A347D8" w:rsidRDefault="00A347D8" w:rsidP="00E001A2">
      <w:pPr>
        <w:spacing w:line="360" w:lineRule="auto"/>
        <w:ind w:left="720"/>
        <w:jc w:val="both"/>
        <w:rPr>
          <w:i/>
          <w:color w:val="000000"/>
          <w:sz w:val="22"/>
          <w:szCs w:val="22"/>
        </w:rPr>
      </w:pPr>
    </w:p>
    <w:p w14:paraId="6C4B346B" w14:textId="77777777" w:rsidR="00A347D8" w:rsidRDefault="00A347D8" w:rsidP="00E001A2">
      <w:pPr>
        <w:spacing w:line="360" w:lineRule="auto"/>
        <w:ind w:left="720"/>
        <w:jc w:val="both"/>
        <w:rPr>
          <w:i/>
          <w:color w:val="000000"/>
          <w:sz w:val="22"/>
          <w:szCs w:val="22"/>
        </w:rPr>
      </w:pPr>
    </w:p>
    <w:p w14:paraId="18CCCCD5" w14:textId="77777777" w:rsidR="00A347D8" w:rsidRDefault="00A347D8" w:rsidP="00E001A2">
      <w:pPr>
        <w:spacing w:line="360" w:lineRule="auto"/>
        <w:ind w:left="720"/>
        <w:jc w:val="both"/>
        <w:rPr>
          <w:i/>
          <w:color w:val="000000"/>
          <w:sz w:val="22"/>
          <w:szCs w:val="22"/>
        </w:rPr>
      </w:pPr>
    </w:p>
    <w:p w14:paraId="7AB7C449" w14:textId="77777777" w:rsidR="00A347D8" w:rsidRDefault="00A347D8" w:rsidP="00E001A2">
      <w:pPr>
        <w:spacing w:line="360" w:lineRule="auto"/>
        <w:ind w:left="720"/>
        <w:jc w:val="both"/>
        <w:rPr>
          <w:i/>
          <w:color w:val="000000"/>
          <w:sz w:val="22"/>
          <w:szCs w:val="22"/>
        </w:rPr>
      </w:pPr>
    </w:p>
    <w:p w14:paraId="41FC0471" w14:textId="77777777" w:rsidR="00A347D8" w:rsidRDefault="00A347D8" w:rsidP="00E001A2">
      <w:pPr>
        <w:spacing w:line="360" w:lineRule="auto"/>
        <w:ind w:left="720"/>
        <w:jc w:val="both"/>
        <w:rPr>
          <w:i/>
          <w:color w:val="000000"/>
          <w:sz w:val="22"/>
          <w:szCs w:val="22"/>
        </w:rPr>
      </w:pPr>
    </w:p>
    <w:p w14:paraId="3844E25E" w14:textId="77777777" w:rsidR="00A347D8" w:rsidRDefault="00A347D8" w:rsidP="00E001A2">
      <w:pPr>
        <w:spacing w:line="360" w:lineRule="auto"/>
        <w:ind w:left="720"/>
        <w:jc w:val="both"/>
        <w:rPr>
          <w:i/>
          <w:color w:val="000000"/>
          <w:sz w:val="22"/>
          <w:szCs w:val="22"/>
        </w:rPr>
      </w:pPr>
    </w:p>
    <w:p w14:paraId="1762A33E" w14:textId="77777777" w:rsidR="00A347D8" w:rsidRDefault="00A347D8" w:rsidP="00E001A2">
      <w:pPr>
        <w:spacing w:line="360" w:lineRule="auto"/>
        <w:ind w:left="720"/>
        <w:jc w:val="both"/>
        <w:rPr>
          <w:i/>
          <w:color w:val="000000"/>
          <w:sz w:val="22"/>
          <w:szCs w:val="22"/>
        </w:rPr>
      </w:pPr>
    </w:p>
    <w:p w14:paraId="05FF1F34" w14:textId="77777777" w:rsidR="00A347D8" w:rsidRDefault="00A347D8" w:rsidP="00E001A2">
      <w:pPr>
        <w:spacing w:line="360" w:lineRule="auto"/>
        <w:ind w:left="720"/>
        <w:jc w:val="both"/>
        <w:rPr>
          <w:i/>
          <w:color w:val="000000"/>
          <w:sz w:val="22"/>
          <w:szCs w:val="22"/>
        </w:rPr>
      </w:pPr>
    </w:p>
    <w:p w14:paraId="2DCBF54D" w14:textId="77777777" w:rsidR="00A347D8" w:rsidRDefault="00A347D8" w:rsidP="00E001A2">
      <w:pPr>
        <w:spacing w:line="360" w:lineRule="auto"/>
        <w:ind w:left="720"/>
        <w:jc w:val="both"/>
        <w:rPr>
          <w:i/>
          <w:color w:val="000000"/>
          <w:sz w:val="22"/>
          <w:szCs w:val="22"/>
        </w:rPr>
      </w:pPr>
    </w:p>
    <w:p w14:paraId="664E0AC4" w14:textId="77777777" w:rsidR="00A347D8" w:rsidRDefault="00A347D8" w:rsidP="00E001A2">
      <w:pPr>
        <w:spacing w:line="360" w:lineRule="auto"/>
        <w:ind w:left="720"/>
        <w:jc w:val="both"/>
        <w:rPr>
          <w:i/>
          <w:color w:val="000000"/>
          <w:sz w:val="22"/>
          <w:szCs w:val="22"/>
        </w:rPr>
      </w:pPr>
    </w:p>
    <w:p w14:paraId="280F5DCE" w14:textId="77777777" w:rsidR="00A347D8" w:rsidRDefault="00A347D8" w:rsidP="00E001A2">
      <w:pPr>
        <w:spacing w:line="360" w:lineRule="auto"/>
        <w:ind w:left="720"/>
        <w:jc w:val="both"/>
        <w:rPr>
          <w:i/>
          <w:color w:val="000000"/>
          <w:sz w:val="22"/>
          <w:szCs w:val="22"/>
        </w:rPr>
      </w:pPr>
    </w:p>
    <w:p w14:paraId="20911AE4" w14:textId="77777777" w:rsidR="00A347D8" w:rsidRDefault="00A347D8" w:rsidP="00E001A2">
      <w:pPr>
        <w:spacing w:line="360" w:lineRule="auto"/>
        <w:ind w:left="720"/>
        <w:jc w:val="both"/>
        <w:rPr>
          <w:i/>
          <w:color w:val="000000"/>
          <w:sz w:val="22"/>
          <w:szCs w:val="22"/>
        </w:rPr>
      </w:pPr>
    </w:p>
    <w:p w14:paraId="0BCA68A1" w14:textId="77777777" w:rsidR="00A347D8" w:rsidRDefault="00A347D8" w:rsidP="00E001A2">
      <w:pPr>
        <w:spacing w:line="360" w:lineRule="auto"/>
        <w:ind w:left="720"/>
        <w:jc w:val="both"/>
        <w:rPr>
          <w:i/>
          <w:color w:val="000000"/>
          <w:sz w:val="22"/>
          <w:szCs w:val="22"/>
        </w:rPr>
      </w:pPr>
    </w:p>
    <w:p w14:paraId="3564BDC0" w14:textId="77777777" w:rsidR="00A347D8" w:rsidRDefault="00A347D8" w:rsidP="00E001A2">
      <w:pPr>
        <w:spacing w:line="360" w:lineRule="auto"/>
        <w:ind w:left="720"/>
        <w:jc w:val="both"/>
        <w:rPr>
          <w:i/>
          <w:color w:val="000000"/>
          <w:sz w:val="22"/>
          <w:szCs w:val="22"/>
        </w:rPr>
      </w:pPr>
    </w:p>
    <w:p w14:paraId="75C2976C" w14:textId="77777777" w:rsidR="00A347D8" w:rsidRDefault="00A347D8" w:rsidP="00E001A2">
      <w:pPr>
        <w:spacing w:line="360" w:lineRule="auto"/>
        <w:ind w:left="720"/>
        <w:jc w:val="both"/>
        <w:rPr>
          <w:i/>
          <w:color w:val="000000"/>
          <w:sz w:val="22"/>
          <w:szCs w:val="22"/>
        </w:rPr>
      </w:pPr>
    </w:p>
    <w:p w14:paraId="0E96E33C" w14:textId="77777777" w:rsidR="00A347D8" w:rsidRDefault="00A347D8" w:rsidP="00E001A2">
      <w:pPr>
        <w:spacing w:line="360" w:lineRule="auto"/>
        <w:ind w:left="720"/>
        <w:jc w:val="both"/>
        <w:rPr>
          <w:i/>
          <w:color w:val="000000"/>
          <w:sz w:val="22"/>
          <w:szCs w:val="22"/>
        </w:rPr>
      </w:pPr>
    </w:p>
    <w:p w14:paraId="4FA22931" w14:textId="1B132002" w:rsidR="0066360E" w:rsidRDefault="0066360E" w:rsidP="00272325">
      <w:pPr>
        <w:spacing w:line="360" w:lineRule="auto"/>
        <w:ind w:left="720"/>
        <w:jc w:val="both"/>
        <w:rPr>
          <w:i/>
          <w:color w:val="000000"/>
          <w:sz w:val="22"/>
          <w:szCs w:val="22"/>
        </w:rPr>
      </w:pPr>
    </w:p>
    <w:p w14:paraId="1D537434" w14:textId="77777777" w:rsidR="00353B2B" w:rsidRDefault="00353B2B">
      <w:pPr>
        <w:pStyle w:val="Nagwekspisutreci"/>
      </w:pPr>
      <w:bookmarkStart w:id="0" w:name="page3"/>
      <w:bookmarkStart w:id="1" w:name="page4"/>
      <w:bookmarkEnd w:id="0"/>
      <w:bookmarkEnd w:id="1"/>
      <w:r>
        <w:t>Spis treści</w:t>
      </w:r>
    </w:p>
    <w:p w14:paraId="3FACD560" w14:textId="61F58743" w:rsidR="0006212C" w:rsidRDefault="000A7F08">
      <w:pPr>
        <w:pStyle w:val="Spistreci1"/>
        <w:rPr>
          <w:rFonts w:asciiTheme="minorHAnsi" w:eastAsiaTheme="minorEastAsia" w:hAnsiTheme="minorHAnsi" w:cstheme="minorBidi"/>
          <w:noProof/>
          <w:color w:val="auto"/>
          <w:kern w:val="2"/>
          <w:sz w:val="22"/>
          <w:szCs w:val="22"/>
          <w14:ligatures w14:val="standardContextual"/>
        </w:rPr>
      </w:pPr>
      <w:r w:rsidRPr="006B0EF3">
        <w:rPr>
          <w:b/>
          <w:bCs/>
        </w:rPr>
        <w:fldChar w:fldCharType="begin"/>
      </w:r>
      <w:r>
        <w:rPr>
          <w:b/>
          <w:bCs/>
        </w:rPr>
        <w:instrText xml:space="preserve"> TOC \o "1-3" \h \z \u </w:instrText>
      </w:r>
      <w:r w:rsidRPr="006B0EF3">
        <w:rPr>
          <w:b/>
          <w:bCs/>
        </w:rPr>
        <w:fldChar w:fldCharType="separate"/>
      </w:r>
      <w:hyperlink w:anchor="_Toc141963863" w:history="1">
        <w:r w:rsidR="0006212C" w:rsidRPr="00343A5D">
          <w:rPr>
            <w:rStyle w:val="Hipercze"/>
            <w:noProof/>
          </w:rPr>
          <w:t>I.</w:t>
        </w:r>
        <w:r w:rsidR="0006212C">
          <w:rPr>
            <w:rFonts w:asciiTheme="minorHAnsi" w:eastAsiaTheme="minorEastAsia" w:hAnsiTheme="minorHAnsi" w:cstheme="minorBidi"/>
            <w:noProof/>
            <w:color w:val="auto"/>
            <w:kern w:val="2"/>
            <w:sz w:val="22"/>
            <w:szCs w:val="22"/>
            <w14:ligatures w14:val="standardContextual"/>
          </w:rPr>
          <w:tab/>
        </w:r>
        <w:r w:rsidR="0006212C" w:rsidRPr="00343A5D">
          <w:rPr>
            <w:rStyle w:val="Hipercze"/>
            <w:noProof/>
          </w:rPr>
          <w:t>KORZYSTANIE Z SYSTEMU ELEKTROENERGETYCZNEGO</w:t>
        </w:r>
        <w:r w:rsidR="0006212C">
          <w:rPr>
            <w:noProof/>
            <w:webHidden/>
          </w:rPr>
          <w:tab/>
        </w:r>
        <w:r w:rsidR="0006212C">
          <w:rPr>
            <w:noProof/>
            <w:webHidden/>
          </w:rPr>
          <w:fldChar w:fldCharType="begin"/>
        </w:r>
        <w:r w:rsidR="0006212C">
          <w:rPr>
            <w:noProof/>
            <w:webHidden/>
          </w:rPr>
          <w:instrText xml:space="preserve"> PAGEREF _Toc141963863 \h </w:instrText>
        </w:r>
        <w:r w:rsidR="0006212C">
          <w:rPr>
            <w:noProof/>
            <w:webHidden/>
          </w:rPr>
        </w:r>
        <w:r w:rsidR="0006212C">
          <w:rPr>
            <w:noProof/>
            <w:webHidden/>
          </w:rPr>
          <w:fldChar w:fldCharType="separate"/>
        </w:r>
        <w:r w:rsidR="004B5298">
          <w:rPr>
            <w:noProof/>
            <w:webHidden/>
          </w:rPr>
          <w:t>9</w:t>
        </w:r>
        <w:r w:rsidR="0006212C">
          <w:rPr>
            <w:noProof/>
            <w:webHidden/>
          </w:rPr>
          <w:fldChar w:fldCharType="end"/>
        </w:r>
      </w:hyperlink>
    </w:p>
    <w:p w14:paraId="648296E5" w14:textId="428B8868"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64" w:history="1">
        <w:r w:rsidR="0006212C" w:rsidRPr="00343A5D">
          <w:rPr>
            <w:rStyle w:val="Hipercze"/>
            <w:noProof/>
          </w:rPr>
          <w:t>I.1.</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POSTANOWIENIA OGÓLNE</w:t>
        </w:r>
        <w:r w:rsidR="0006212C">
          <w:rPr>
            <w:noProof/>
            <w:webHidden/>
          </w:rPr>
          <w:tab/>
        </w:r>
        <w:r w:rsidR="0006212C">
          <w:rPr>
            <w:noProof/>
            <w:webHidden/>
          </w:rPr>
          <w:fldChar w:fldCharType="begin"/>
        </w:r>
        <w:r w:rsidR="0006212C">
          <w:rPr>
            <w:noProof/>
            <w:webHidden/>
          </w:rPr>
          <w:instrText xml:space="preserve"> PAGEREF _Toc141963864 \h </w:instrText>
        </w:r>
        <w:r w:rsidR="0006212C">
          <w:rPr>
            <w:noProof/>
            <w:webHidden/>
          </w:rPr>
        </w:r>
        <w:r w:rsidR="0006212C">
          <w:rPr>
            <w:noProof/>
            <w:webHidden/>
          </w:rPr>
          <w:fldChar w:fldCharType="separate"/>
        </w:r>
        <w:r w:rsidR="004B5298">
          <w:rPr>
            <w:noProof/>
            <w:webHidden/>
          </w:rPr>
          <w:t>9</w:t>
        </w:r>
        <w:r w:rsidR="0006212C">
          <w:rPr>
            <w:noProof/>
            <w:webHidden/>
          </w:rPr>
          <w:fldChar w:fldCharType="end"/>
        </w:r>
      </w:hyperlink>
    </w:p>
    <w:p w14:paraId="00E3B2ED" w14:textId="6595BB34"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65" w:history="1">
        <w:r w:rsidR="0006212C" w:rsidRPr="00343A5D">
          <w:rPr>
            <w:rStyle w:val="Hipercze"/>
            <w:noProof/>
          </w:rPr>
          <w:t>I.2.</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CHARAKTERYSTYKA KORZYSTANIA Z SIECI DYSTRYBUCYJNEJ</w:t>
        </w:r>
        <w:r w:rsidR="0006212C">
          <w:rPr>
            <w:noProof/>
            <w:webHidden/>
          </w:rPr>
          <w:tab/>
        </w:r>
        <w:r w:rsidR="0006212C">
          <w:rPr>
            <w:noProof/>
            <w:webHidden/>
          </w:rPr>
          <w:fldChar w:fldCharType="begin"/>
        </w:r>
        <w:r w:rsidR="0006212C">
          <w:rPr>
            <w:noProof/>
            <w:webHidden/>
          </w:rPr>
          <w:instrText xml:space="preserve"> PAGEREF _Toc141963865 \h </w:instrText>
        </w:r>
        <w:r w:rsidR="0006212C">
          <w:rPr>
            <w:noProof/>
            <w:webHidden/>
          </w:rPr>
        </w:r>
        <w:r w:rsidR="0006212C">
          <w:rPr>
            <w:noProof/>
            <w:webHidden/>
          </w:rPr>
          <w:fldChar w:fldCharType="separate"/>
        </w:r>
        <w:r w:rsidR="004B5298">
          <w:rPr>
            <w:noProof/>
            <w:webHidden/>
          </w:rPr>
          <w:t>15</w:t>
        </w:r>
        <w:r w:rsidR="0006212C">
          <w:rPr>
            <w:noProof/>
            <w:webHidden/>
          </w:rPr>
          <w:fldChar w:fldCharType="end"/>
        </w:r>
      </w:hyperlink>
    </w:p>
    <w:p w14:paraId="3A53D882" w14:textId="55ECAF9A"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66" w:history="1">
        <w:r w:rsidR="0006212C" w:rsidRPr="00343A5D">
          <w:rPr>
            <w:rStyle w:val="Hipercze"/>
            <w:noProof/>
          </w:rPr>
          <w:t>I.3.</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CHARAKTERYSTYKA, ZAKRES ORAZ WARUNKI FORMALNO-PRAWNE USŁUG DYSTRYBUCJI ŚWIADCZONYCH PRZEZ OSDn</w:t>
        </w:r>
        <w:r w:rsidR="0006212C">
          <w:rPr>
            <w:noProof/>
            <w:webHidden/>
          </w:rPr>
          <w:tab/>
        </w:r>
        <w:r w:rsidR="0006212C">
          <w:rPr>
            <w:noProof/>
            <w:webHidden/>
          </w:rPr>
          <w:fldChar w:fldCharType="begin"/>
        </w:r>
        <w:r w:rsidR="0006212C">
          <w:rPr>
            <w:noProof/>
            <w:webHidden/>
          </w:rPr>
          <w:instrText xml:space="preserve"> PAGEREF _Toc141963866 \h </w:instrText>
        </w:r>
        <w:r w:rsidR="0006212C">
          <w:rPr>
            <w:noProof/>
            <w:webHidden/>
          </w:rPr>
        </w:r>
        <w:r w:rsidR="0006212C">
          <w:rPr>
            <w:noProof/>
            <w:webHidden/>
          </w:rPr>
          <w:fldChar w:fldCharType="separate"/>
        </w:r>
        <w:r w:rsidR="004B5298">
          <w:rPr>
            <w:noProof/>
            <w:webHidden/>
          </w:rPr>
          <w:t>15</w:t>
        </w:r>
        <w:r w:rsidR="0006212C">
          <w:rPr>
            <w:noProof/>
            <w:webHidden/>
          </w:rPr>
          <w:fldChar w:fldCharType="end"/>
        </w:r>
      </w:hyperlink>
    </w:p>
    <w:p w14:paraId="3DA5C5B9" w14:textId="14768DC7"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67" w:history="1">
        <w:r w:rsidR="0006212C" w:rsidRPr="00343A5D">
          <w:rPr>
            <w:rStyle w:val="Hipercze"/>
            <w:noProof/>
          </w:rPr>
          <w:t>I.4. OGÓLNE STANDARDY JAKOŚCIOWE OBSŁUGI UŻYTKOWNIKÓW SYSTEMU DYSTRYBUCYJNEGO</w:t>
        </w:r>
        <w:r w:rsidR="0006212C">
          <w:rPr>
            <w:noProof/>
            <w:webHidden/>
          </w:rPr>
          <w:tab/>
        </w:r>
        <w:r w:rsidR="0006212C">
          <w:rPr>
            <w:noProof/>
            <w:webHidden/>
          </w:rPr>
          <w:fldChar w:fldCharType="begin"/>
        </w:r>
        <w:r w:rsidR="0006212C">
          <w:rPr>
            <w:noProof/>
            <w:webHidden/>
          </w:rPr>
          <w:instrText xml:space="preserve"> PAGEREF _Toc141963867 \h </w:instrText>
        </w:r>
        <w:r w:rsidR="0006212C">
          <w:rPr>
            <w:noProof/>
            <w:webHidden/>
          </w:rPr>
        </w:r>
        <w:r w:rsidR="0006212C">
          <w:rPr>
            <w:noProof/>
            <w:webHidden/>
          </w:rPr>
          <w:fldChar w:fldCharType="separate"/>
        </w:r>
        <w:r w:rsidR="004B5298">
          <w:rPr>
            <w:noProof/>
            <w:webHidden/>
          </w:rPr>
          <w:t>16</w:t>
        </w:r>
        <w:r w:rsidR="0006212C">
          <w:rPr>
            <w:noProof/>
            <w:webHidden/>
          </w:rPr>
          <w:fldChar w:fldCharType="end"/>
        </w:r>
      </w:hyperlink>
    </w:p>
    <w:p w14:paraId="1B9F2EFD" w14:textId="13715E47"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68" w:history="1">
        <w:r w:rsidR="0006212C" w:rsidRPr="00343A5D">
          <w:rPr>
            <w:rStyle w:val="Hipercze"/>
            <w:noProof/>
            <w:w w:val="105"/>
          </w:rPr>
          <w:t>I.5. REJESTR MAGAZYNÓW ENERGII ELEKTRYCZNEJ</w:t>
        </w:r>
        <w:r w:rsidR="0006212C">
          <w:rPr>
            <w:noProof/>
            <w:webHidden/>
          </w:rPr>
          <w:tab/>
        </w:r>
        <w:r w:rsidR="0006212C">
          <w:rPr>
            <w:noProof/>
            <w:webHidden/>
          </w:rPr>
          <w:fldChar w:fldCharType="begin"/>
        </w:r>
        <w:r w:rsidR="0006212C">
          <w:rPr>
            <w:noProof/>
            <w:webHidden/>
          </w:rPr>
          <w:instrText xml:space="preserve"> PAGEREF _Toc141963868 \h </w:instrText>
        </w:r>
        <w:r w:rsidR="0006212C">
          <w:rPr>
            <w:noProof/>
            <w:webHidden/>
          </w:rPr>
        </w:r>
        <w:r w:rsidR="0006212C">
          <w:rPr>
            <w:noProof/>
            <w:webHidden/>
          </w:rPr>
          <w:fldChar w:fldCharType="separate"/>
        </w:r>
        <w:r w:rsidR="004B5298">
          <w:rPr>
            <w:noProof/>
            <w:webHidden/>
          </w:rPr>
          <w:t>18</w:t>
        </w:r>
        <w:r w:rsidR="0006212C">
          <w:rPr>
            <w:noProof/>
            <w:webHidden/>
          </w:rPr>
          <w:fldChar w:fldCharType="end"/>
        </w:r>
      </w:hyperlink>
    </w:p>
    <w:p w14:paraId="44DA5F26" w14:textId="01045BD4"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869" w:history="1">
        <w:r w:rsidR="0006212C" w:rsidRPr="00343A5D">
          <w:rPr>
            <w:rStyle w:val="Hipercze"/>
            <w:noProof/>
          </w:rPr>
          <w:t>II. PRZYŁĄCZANIE ORAZ PLANOWANIE ROZWOJU SIECI DYSTRYBUCYJNEJ OSDn</w:t>
        </w:r>
        <w:r w:rsidR="0006212C">
          <w:rPr>
            <w:noProof/>
            <w:webHidden/>
          </w:rPr>
          <w:tab/>
        </w:r>
        <w:r w:rsidR="0006212C">
          <w:rPr>
            <w:noProof/>
            <w:webHidden/>
          </w:rPr>
          <w:fldChar w:fldCharType="begin"/>
        </w:r>
        <w:r w:rsidR="0006212C">
          <w:rPr>
            <w:noProof/>
            <w:webHidden/>
          </w:rPr>
          <w:instrText xml:space="preserve"> PAGEREF _Toc141963869 \h </w:instrText>
        </w:r>
        <w:r w:rsidR="0006212C">
          <w:rPr>
            <w:noProof/>
            <w:webHidden/>
          </w:rPr>
        </w:r>
        <w:r w:rsidR="0006212C">
          <w:rPr>
            <w:noProof/>
            <w:webHidden/>
          </w:rPr>
          <w:fldChar w:fldCharType="separate"/>
        </w:r>
        <w:r w:rsidR="004B5298">
          <w:rPr>
            <w:noProof/>
            <w:webHidden/>
          </w:rPr>
          <w:t>18</w:t>
        </w:r>
        <w:r w:rsidR="0006212C">
          <w:rPr>
            <w:noProof/>
            <w:webHidden/>
          </w:rPr>
          <w:fldChar w:fldCharType="end"/>
        </w:r>
      </w:hyperlink>
    </w:p>
    <w:p w14:paraId="08811A56" w14:textId="7ECE2621"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70" w:history="1">
        <w:r w:rsidR="0006212C" w:rsidRPr="00343A5D">
          <w:rPr>
            <w:rStyle w:val="Hipercze"/>
            <w:noProof/>
          </w:rPr>
          <w:t>II.1.</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ZASADY PRZYŁĄCZANIA</w:t>
        </w:r>
        <w:r w:rsidR="0006212C">
          <w:rPr>
            <w:noProof/>
            <w:webHidden/>
          </w:rPr>
          <w:tab/>
        </w:r>
        <w:r w:rsidR="0006212C">
          <w:rPr>
            <w:noProof/>
            <w:webHidden/>
          </w:rPr>
          <w:fldChar w:fldCharType="begin"/>
        </w:r>
        <w:r w:rsidR="0006212C">
          <w:rPr>
            <w:noProof/>
            <w:webHidden/>
          </w:rPr>
          <w:instrText xml:space="preserve"> PAGEREF _Toc141963870 \h </w:instrText>
        </w:r>
        <w:r w:rsidR="0006212C">
          <w:rPr>
            <w:noProof/>
            <w:webHidden/>
          </w:rPr>
        </w:r>
        <w:r w:rsidR="0006212C">
          <w:rPr>
            <w:noProof/>
            <w:webHidden/>
          </w:rPr>
          <w:fldChar w:fldCharType="separate"/>
        </w:r>
        <w:r w:rsidR="004B5298">
          <w:rPr>
            <w:noProof/>
            <w:webHidden/>
          </w:rPr>
          <w:t>18</w:t>
        </w:r>
        <w:r w:rsidR="0006212C">
          <w:rPr>
            <w:noProof/>
            <w:webHidden/>
          </w:rPr>
          <w:fldChar w:fldCharType="end"/>
        </w:r>
      </w:hyperlink>
    </w:p>
    <w:p w14:paraId="5BDC0D70" w14:textId="36F77371"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71" w:history="1">
        <w:r w:rsidR="0006212C" w:rsidRPr="00343A5D">
          <w:rPr>
            <w:rStyle w:val="Hipercze"/>
            <w:noProof/>
          </w:rPr>
          <w:t>II.2. ZASADY ODŁĄCZANIA, WSTRZYMYWANIA ORAZ WZNOWIENIA DOSTARCZANIA ENERGII ELEKTRYCZNEJ</w:t>
        </w:r>
        <w:r w:rsidR="0006212C">
          <w:rPr>
            <w:noProof/>
            <w:webHidden/>
          </w:rPr>
          <w:tab/>
        </w:r>
        <w:r w:rsidR="0006212C">
          <w:rPr>
            <w:noProof/>
            <w:webHidden/>
          </w:rPr>
          <w:fldChar w:fldCharType="begin"/>
        </w:r>
        <w:r w:rsidR="0006212C">
          <w:rPr>
            <w:noProof/>
            <w:webHidden/>
          </w:rPr>
          <w:instrText xml:space="preserve"> PAGEREF _Toc141963871 \h </w:instrText>
        </w:r>
        <w:r w:rsidR="0006212C">
          <w:rPr>
            <w:noProof/>
            <w:webHidden/>
          </w:rPr>
        </w:r>
        <w:r w:rsidR="0006212C">
          <w:rPr>
            <w:noProof/>
            <w:webHidden/>
          </w:rPr>
          <w:fldChar w:fldCharType="separate"/>
        </w:r>
        <w:r w:rsidR="004B5298">
          <w:rPr>
            <w:noProof/>
            <w:webHidden/>
          </w:rPr>
          <w:t>28</w:t>
        </w:r>
        <w:r w:rsidR="0006212C">
          <w:rPr>
            <w:noProof/>
            <w:webHidden/>
          </w:rPr>
          <w:fldChar w:fldCharType="end"/>
        </w:r>
      </w:hyperlink>
    </w:p>
    <w:p w14:paraId="23FC645F" w14:textId="06C9C507"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72" w:history="1">
        <w:r w:rsidR="0006212C" w:rsidRPr="00343A5D">
          <w:rPr>
            <w:rStyle w:val="Hipercze"/>
            <w:noProof/>
          </w:rPr>
          <w:t>II.3. WYMAGANIA TECHNICZNE DLA URZĄDZEŃ WYTWÓRCZYCH, SIECI, URZĄDZEŃ ODBIORCÓW, LINII BEZPOŚREDNICH ORAZ UKŁADÓW  I SYSTEMÓW POMIAROWO-ROZLICZENIOWYCH</w:t>
        </w:r>
        <w:r w:rsidR="0006212C">
          <w:rPr>
            <w:noProof/>
            <w:webHidden/>
          </w:rPr>
          <w:tab/>
        </w:r>
        <w:r w:rsidR="0006212C">
          <w:rPr>
            <w:noProof/>
            <w:webHidden/>
          </w:rPr>
          <w:fldChar w:fldCharType="begin"/>
        </w:r>
        <w:r w:rsidR="0006212C">
          <w:rPr>
            <w:noProof/>
            <w:webHidden/>
          </w:rPr>
          <w:instrText xml:space="preserve"> PAGEREF _Toc141963872 \h </w:instrText>
        </w:r>
        <w:r w:rsidR="0006212C">
          <w:rPr>
            <w:noProof/>
            <w:webHidden/>
          </w:rPr>
        </w:r>
        <w:r w:rsidR="0006212C">
          <w:rPr>
            <w:noProof/>
            <w:webHidden/>
          </w:rPr>
          <w:fldChar w:fldCharType="separate"/>
        </w:r>
        <w:r w:rsidR="004B5298">
          <w:rPr>
            <w:noProof/>
            <w:webHidden/>
          </w:rPr>
          <w:t>32</w:t>
        </w:r>
        <w:r w:rsidR="0006212C">
          <w:rPr>
            <w:noProof/>
            <w:webHidden/>
          </w:rPr>
          <w:fldChar w:fldCharType="end"/>
        </w:r>
      </w:hyperlink>
    </w:p>
    <w:p w14:paraId="24A34C75" w14:textId="410F8B7A"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73" w:history="1">
        <w:r w:rsidR="0006212C" w:rsidRPr="00343A5D">
          <w:rPr>
            <w:rStyle w:val="Hipercze"/>
            <w:noProof/>
          </w:rPr>
          <w:t>II.4. DANE PRZEKAZYWANE DO OSDn PRZEZ PODMIOTY PRZYŁĄCZONE  I PRZYŁĄCZANE DO SIECI DYSTRYBUCYJNEJ</w:t>
        </w:r>
        <w:r w:rsidR="0006212C">
          <w:rPr>
            <w:noProof/>
            <w:webHidden/>
          </w:rPr>
          <w:tab/>
        </w:r>
        <w:r w:rsidR="0006212C">
          <w:rPr>
            <w:noProof/>
            <w:webHidden/>
          </w:rPr>
          <w:fldChar w:fldCharType="begin"/>
        </w:r>
        <w:r w:rsidR="0006212C">
          <w:rPr>
            <w:noProof/>
            <w:webHidden/>
          </w:rPr>
          <w:instrText xml:space="preserve"> PAGEREF _Toc141963873 \h </w:instrText>
        </w:r>
        <w:r w:rsidR="0006212C">
          <w:rPr>
            <w:noProof/>
            <w:webHidden/>
          </w:rPr>
        </w:r>
        <w:r w:rsidR="0006212C">
          <w:rPr>
            <w:noProof/>
            <w:webHidden/>
          </w:rPr>
          <w:fldChar w:fldCharType="separate"/>
        </w:r>
        <w:r w:rsidR="004B5298">
          <w:rPr>
            <w:noProof/>
            <w:webHidden/>
          </w:rPr>
          <w:t>50</w:t>
        </w:r>
        <w:r w:rsidR="0006212C">
          <w:rPr>
            <w:noProof/>
            <w:webHidden/>
          </w:rPr>
          <w:fldChar w:fldCharType="end"/>
        </w:r>
      </w:hyperlink>
    </w:p>
    <w:p w14:paraId="27B8E3F8" w14:textId="5963C681"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874" w:history="1">
        <w:r w:rsidR="0006212C" w:rsidRPr="00343A5D">
          <w:rPr>
            <w:rStyle w:val="Hipercze"/>
            <w:noProof/>
          </w:rPr>
          <w:t>III. EKSPLOATACJA URZĄDZEŃ, INSTALACJI I SIECI</w:t>
        </w:r>
        <w:r w:rsidR="0006212C">
          <w:rPr>
            <w:noProof/>
            <w:webHidden/>
          </w:rPr>
          <w:tab/>
        </w:r>
        <w:r w:rsidR="0006212C">
          <w:rPr>
            <w:noProof/>
            <w:webHidden/>
          </w:rPr>
          <w:fldChar w:fldCharType="begin"/>
        </w:r>
        <w:r w:rsidR="0006212C">
          <w:rPr>
            <w:noProof/>
            <w:webHidden/>
          </w:rPr>
          <w:instrText xml:space="preserve"> PAGEREF _Toc141963874 \h </w:instrText>
        </w:r>
        <w:r w:rsidR="0006212C">
          <w:rPr>
            <w:noProof/>
            <w:webHidden/>
          </w:rPr>
        </w:r>
        <w:r w:rsidR="0006212C">
          <w:rPr>
            <w:noProof/>
            <w:webHidden/>
          </w:rPr>
          <w:fldChar w:fldCharType="separate"/>
        </w:r>
        <w:r w:rsidR="004B5298">
          <w:rPr>
            <w:noProof/>
            <w:webHidden/>
          </w:rPr>
          <w:t>53</w:t>
        </w:r>
        <w:r w:rsidR="0006212C">
          <w:rPr>
            <w:noProof/>
            <w:webHidden/>
          </w:rPr>
          <w:fldChar w:fldCharType="end"/>
        </w:r>
      </w:hyperlink>
    </w:p>
    <w:p w14:paraId="7B0E7529" w14:textId="4FFD0DE1"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75" w:history="1">
        <w:r w:rsidR="0006212C" w:rsidRPr="00343A5D">
          <w:rPr>
            <w:rStyle w:val="Hipercze"/>
            <w:noProof/>
          </w:rPr>
          <w:t>III.1.</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PRZEPISY OGÓLNE</w:t>
        </w:r>
        <w:r w:rsidR="0006212C">
          <w:rPr>
            <w:noProof/>
            <w:webHidden/>
          </w:rPr>
          <w:tab/>
        </w:r>
        <w:r w:rsidR="0006212C">
          <w:rPr>
            <w:noProof/>
            <w:webHidden/>
          </w:rPr>
          <w:fldChar w:fldCharType="begin"/>
        </w:r>
        <w:r w:rsidR="0006212C">
          <w:rPr>
            <w:noProof/>
            <w:webHidden/>
          </w:rPr>
          <w:instrText xml:space="preserve"> PAGEREF _Toc141963875 \h </w:instrText>
        </w:r>
        <w:r w:rsidR="0006212C">
          <w:rPr>
            <w:noProof/>
            <w:webHidden/>
          </w:rPr>
        </w:r>
        <w:r w:rsidR="0006212C">
          <w:rPr>
            <w:noProof/>
            <w:webHidden/>
          </w:rPr>
          <w:fldChar w:fldCharType="separate"/>
        </w:r>
        <w:r w:rsidR="004B5298">
          <w:rPr>
            <w:noProof/>
            <w:webHidden/>
          </w:rPr>
          <w:t>53</w:t>
        </w:r>
        <w:r w:rsidR="0006212C">
          <w:rPr>
            <w:noProof/>
            <w:webHidden/>
          </w:rPr>
          <w:fldChar w:fldCharType="end"/>
        </w:r>
      </w:hyperlink>
    </w:p>
    <w:p w14:paraId="74B19E74" w14:textId="39EFA983"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76" w:history="1">
        <w:r w:rsidR="0006212C" w:rsidRPr="00343A5D">
          <w:rPr>
            <w:rStyle w:val="Hipercze"/>
            <w:noProof/>
          </w:rPr>
          <w:t>III.2. PRZYJMOWANIE URZĄDZEŃ, INSTALACJI I SIECI DO EKSPLOATACJI</w:t>
        </w:r>
        <w:r w:rsidR="0006212C">
          <w:rPr>
            <w:noProof/>
            <w:webHidden/>
          </w:rPr>
          <w:tab/>
        </w:r>
        <w:r w:rsidR="0006212C">
          <w:rPr>
            <w:noProof/>
            <w:webHidden/>
          </w:rPr>
          <w:fldChar w:fldCharType="begin"/>
        </w:r>
        <w:r w:rsidR="0006212C">
          <w:rPr>
            <w:noProof/>
            <w:webHidden/>
          </w:rPr>
          <w:instrText xml:space="preserve"> PAGEREF _Toc141963876 \h </w:instrText>
        </w:r>
        <w:r w:rsidR="0006212C">
          <w:rPr>
            <w:noProof/>
            <w:webHidden/>
          </w:rPr>
        </w:r>
        <w:r w:rsidR="0006212C">
          <w:rPr>
            <w:noProof/>
            <w:webHidden/>
          </w:rPr>
          <w:fldChar w:fldCharType="separate"/>
        </w:r>
        <w:r w:rsidR="004B5298">
          <w:rPr>
            <w:noProof/>
            <w:webHidden/>
          </w:rPr>
          <w:t>54</w:t>
        </w:r>
        <w:r w:rsidR="0006212C">
          <w:rPr>
            <w:noProof/>
            <w:webHidden/>
          </w:rPr>
          <w:fldChar w:fldCharType="end"/>
        </w:r>
      </w:hyperlink>
    </w:p>
    <w:p w14:paraId="5D18AC05" w14:textId="4CC64601"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77" w:history="1">
        <w:r w:rsidR="0006212C" w:rsidRPr="00343A5D">
          <w:rPr>
            <w:rStyle w:val="Hipercze"/>
            <w:noProof/>
          </w:rPr>
          <w:t>III.3. PRZEKAZYWANIE URZĄDZEŃ DO REMONTU, PRZEBUDOWY LUB WYCOFANIE Z EKSPLOATACJI</w:t>
        </w:r>
        <w:r w:rsidR="0006212C">
          <w:rPr>
            <w:noProof/>
            <w:webHidden/>
          </w:rPr>
          <w:tab/>
        </w:r>
        <w:r w:rsidR="0006212C">
          <w:rPr>
            <w:noProof/>
            <w:webHidden/>
          </w:rPr>
          <w:fldChar w:fldCharType="begin"/>
        </w:r>
        <w:r w:rsidR="0006212C">
          <w:rPr>
            <w:noProof/>
            <w:webHidden/>
          </w:rPr>
          <w:instrText xml:space="preserve"> PAGEREF _Toc141963877 \h </w:instrText>
        </w:r>
        <w:r w:rsidR="0006212C">
          <w:rPr>
            <w:noProof/>
            <w:webHidden/>
          </w:rPr>
        </w:r>
        <w:r w:rsidR="0006212C">
          <w:rPr>
            <w:noProof/>
            <w:webHidden/>
          </w:rPr>
          <w:fldChar w:fldCharType="separate"/>
        </w:r>
        <w:r w:rsidR="004B5298">
          <w:rPr>
            <w:noProof/>
            <w:webHidden/>
          </w:rPr>
          <w:t>54</w:t>
        </w:r>
        <w:r w:rsidR="0006212C">
          <w:rPr>
            <w:noProof/>
            <w:webHidden/>
          </w:rPr>
          <w:fldChar w:fldCharType="end"/>
        </w:r>
      </w:hyperlink>
    </w:p>
    <w:p w14:paraId="168C1A9B" w14:textId="3E2609B6"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78" w:history="1">
        <w:r w:rsidR="0006212C" w:rsidRPr="00343A5D">
          <w:rPr>
            <w:rStyle w:val="Hipercze"/>
            <w:noProof/>
          </w:rPr>
          <w:t>III.4. UZGADNIANIE PRAC EKSPLOATACYJNYCH Z OPERATOREM SYSTEMU PRZESYŁOWEGO I OPERATORAMI SYSTEMÓW DYSTRYBUCYJNYCH</w:t>
        </w:r>
        <w:r w:rsidR="0006212C">
          <w:rPr>
            <w:noProof/>
            <w:webHidden/>
          </w:rPr>
          <w:tab/>
        </w:r>
        <w:r w:rsidR="0006212C">
          <w:rPr>
            <w:noProof/>
            <w:webHidden/>
          </w:rPr>
          <w:fldChar w:fldCharType="begin"/>
        </w:r>
        <w:r w:rsidR="0006212C">
          <w:rPr>
            <w:noProof/>
            <w:webHidden/>
          </w:rPr>
          <w:instrText xml:space="preserve"> PAGEREF _Toc141963878 \h </w:instrText>
        </w:r>
        <w:r w:rsidR="0006212C">
          <w:rPr>
            <w:noProof/>
            <w:webHidden/>
          </w:rPr>
        </w:r>
        <w:r w:rsidR="0006212C">
          <w:rPr>
            <w:noProof/>
            <w:webHidden/>
          </w:rPr>
          <w:fldChar w:fldCharType="separate"/>
        </w:r>
        <w:r w:rsidR="004B5298">
          <w:rPr>
            <w:noProof/>
            <w:webHidden/>
          </w:rPr>
          <w:t>55</w:t>
        </w:r>
        <w:r w:rsidR="0006212C">
          <w:rPr>
            <w:noProof/>
            <w:webHidden/>
          </w:rPr>
          <w:fldChar w:fldCharType="end"/>
        </w:r>
      </w:hyperlink>
    </w:p>
    <w:p w14:paraId="17E5572C" w14:textId="0622CE32"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79" w:history="1">
        <w:r w:rsidR="0006212C" w:rsidRPr="00343A5D">
          <w:rPr>
            <w:rStyle w:val="Hipercze"/>
            <w:noProof/>
          </w:rPr>
          <w:t>III.5. DOKUMENTACJA TECHNICZNA I PRAWNA</w:t>
        </w:r>
        <w:r w:rsidR="0006212C">
          <w:rPr>
            <w:noProof/>
            <w:webHidden/>
          </w:rPr>
          <w:tab/>
        </w:r>
        <w:r w:rsidR="0006212C">
          <w:rPr>
            <w:noProof/>
            <w:webHidden/>
          </w:rPr>
          <w:fldChar w:fldCharType="begin"/>
        </w:r>
        <w:r w:rsidR="0006212C">
          <w:rPr>
            <w:noProof/>
            <w:webHidden/>
          </w:rPr>
          <w:instrText xml:space="preserve"> PAGEREF _Toc141963879 \h </w:instrText>
        </w:r>
        <w:r w:rsidR="0006212C">
          <w:rPr>
            <w:noProof/>
            <w:webHidden/>
          </w:rPr>
        </w:r>
        <w:r w:rsidR="0006212C">
          <w:rPr>
            <w:noProof/>
            <w:webHidden/>
          </w:rPr>
          <w:fldChar w:fldCharType="separate"/>
        </w:r>
        <w:r w:rsidR="004B5298">
          <w:rPr>
            <w:noProof/>
            <w:webHidden/>
          </w:rPr>
          <w:t>55</w:t>
        </w:r>
        <w:r w:rsidR="0006212C">
          <w:rPr>
            <w:noProof/>
            <w:webHidden/>
          </w:rPr>
          <w:fldChar w:fldCharType="end"/>
        </w:r>
      </w:hyperlink>
    </w:p>
    <w:p w14:paraId="544DE290" w14:textId="25EBB319"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80" w:history="1">
        <w:r w:rsidR="0006212C" w:rsidRPr="00343A5D">
          <w:rPr>
            <w:rStyle w:val="Hipercze"/>
            <w:noProof/>
          </w:rPr>
          <w:t>III.6.</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REZERWA URZĄDZEŃ I CZĘŚCI ZAPASOWYCH</w:t>
        </w:r>
        <w:r w:rsidR="0006212C">
          <w:rPr>
            <w:noProof/>
            <w:webHidden/>
          </w:rPr>
          <w:tab/>
        </w:r>
        <w:r w:rsidR="0006212C">
          <w:rPr>
            <w:noProof/>
            <w:webHidden/>
          </w:rPr>
          <w:fldChar w:fldCharType="begin"/>
        </w:r>
        <w:r w:rsidR="0006212C">
          <w:rPr>
            <w:noProof/>
            <w:webHidden/>
          </w:rPr>
          <w:instrText xml:space="preserve"> PAGEREF _Toc141963880 \h </w:instrText>
        </w:r>
        <w:r w:rsidR="0006212C">
          <w:rPr>
            <w:noProof/>
            <w:webHidden/>
          </w:rPr>
        </w:r>
        <w:r w:rsidR="0006212C">
          <w:rPr>
            <w:noProof/>
            <w:webHidden/>
          </w:rPr>
          <w:fldChar w:fldCharType="separate"/>
        </w:r>
        <w:r w:rsidR="004B5298">
          <w:rPr>
            <w:noProof/>
            <w:webHidden/>
          </w:rPr>
          <w:t>56</w:t>
        </w:r>
        <w:r w:rsidR="0006212C">
          <w:rPr>
            <w:noProof/>
            <w:webHidden/>
          </w:rPr>
          <w:fldChar w:fldCharType="end"/>
        </w:r>
      </w:hyperlink>
    </w:p>
    <w:p w14:paraId="4AF99543" w14:textId="3943ABBB"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81" w:history="1">
        <w:r w:rsidR="0006212C" w:rsidRPr="00343A5D">
          <w:rPr>
            <w:rStyle w:val="Hipercze"/>
            <w:noProof/>
          </w:rPr>
          <w:t>III.7. WYMIANA INFORMACJI EKSPLOATACYJNYCH</w:t>
        </w:r>
        <w:r w:rsidR="0006212C">
          <w:rPr>
            <w:noProof/>
            <w:webHidden/>
          </w:rPr>
          <w:tab/>
        </w:r>
        <w:r w:rsidR="0006212C">
          <w:rPr>
            <w:noProof/>
            <w:webHidden/>
          </w:rPr>
          <w:fldChar w:fldCharType="begin"/>
        </w:r>
        <w:r w:rsidR="0006212C">
          <w:rPr>
            <w:noProof/>
            <w:webHidden/>
          </w:rPr>
          <w:instrText xml:space="preserve"> PAGEREF _Toc141963881 \h </w:instrText>
        </w:r>
        <w:r w:rsidR="0006212C">
          <w:rPr>
            <w:noProof/>
            <w:webHidden/>
          </w:rPr>
        </w:r>
        <w:r w:rsidR="0006212C">
          <w:rPr>
            <w:noProof/>
            <w:webHidden/>
          </w:rPr>
          <w:fldChar w:fldCharType="separate"/>
        </w:r>
        <w:r w:rsidR="004B5298">
          <w:rPr>
            <w:noProof/>
            <w:webHidden/>
          </w:rPr>
          <w:t>56</w:t>
        </w:r>
        <w:r w:rsidR="0006212C">
          <w:rPr>
            <w:noProof/>
            <w:webHidden/>
          </w:rPr>
          <w:fldChar w:fldCharType="end"/>
        </w:r>
      </w:hyperlink>
    </w:p>
    <w:p w14:paraId="63E01B35" w14:textId="07C622E7"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82" w:history="1">
        <w:r w:rsidR="0006212C" w:rsidRPr="00343A5D">
          <w:rPr>
            <w:rStyle w:val="Hipercze"/>
            <w:noProof/>
          </w:rPr>
          <w:t>III.8.</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OCHRONA ŚRODOWISKA NATURALNEGO</w:t>
        </w:r>
        <w:r w:rsidR="0006212C">
          <w:rPr>
            <w:noProof/>
            <w:webHidden/>
          </w:rPr>
          <w:tab/>
        </w:r>
        <w:r w:rsidR="0006212C">
          <w:rPr>
            <w:noProof/>
            <w:webHidden/>
          </w:rPr>
          <w:fldChar w:fldCharType="begin"/>
        </w:r>
        <w:r w:rsidR="0006212C">
          <w:rPr>
            <w:noProof/>
            <w:webHidden/>
          </w:rPr>
          <w:instrText xml:space="preserve"> PAGEREF _Toc141963882 \h </w:instrText>
        </w:r>
        <w:r w:rsidR="0006212C">
          <w:rPr>
            <w:noProof/>
            <w:webHidden/>
          </w:rPr>
        </w:r>
        <w:r w:rsidR="0006212C">
          <w:rPr>
            <w:noProof/>
            <w:webHidden/>
          </w:rPr>
          <w:fldChar w:fldCharType="separate"/>
        </w:r>
        <w:r w:rsidR="004B5298">
          <w:rPr>
            <w:noProof/>
            <w:webHidden/>
          </w:rPr>
          <w:t>57</w:t>
        </w:r>
        <w:r w:rsidR="0006212C">
          <w:rPr>
            <w:noProof/>
            <w:webHidden/>
          </w:rPr>
          <w:fldChar w:fldCharType="end"/>
        </w:r>
      </w:hyperlink>
    </w:p>
    <w:p w14:paraId="2780A15D" w14:textId="40E61466"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83" w:history="1">
        <w:r w:rsidR="0006212C" w:rsidRPr="00343A5D">
          <w:rPr>
            <w:rStyle w:val="Hipercze"/>
            <w:noProof/>
          </w:rPr>
          <w:t>III.9.</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OCHRONA PRZECIWPOŻAROWA</w:t>
        </w:r>
        <w:r w:rsidR="0006212C">
          <w:rPr>
            <w:noProof/>
            <w:webHidden/>
          </w:rPr>
          <w:tab/>
        </w:r>
        <w:r w:rsidR="0006212C">
          <w:rPr>
            <w:noProof/>
            <w:webHidden/>
          </w:rPr>
          <w:fldChar w:fldCharType="begin"/>
        </w:r>
        <w:r w:rsidR="0006212C">
          <w:rPr>
            <w:noProof/>
            <w:webHidden/>
          </w:rPr>
          <w:instrText xml:space="preserve"> PAGEREF _Toc141963883 \h </w:instrText>
        </w:r>
        <w:r w:rsidR="0006212C">
          <w:rPr>
            <w:noProof/>
            <w:webHidden/>
          </w:rPr>
        </w:r>
        <w:r w:rsidR="0006212C">
          <w:rPr>
            <w:noProof/>
            <w:webHidden/>
          </w:rPr>
          <w:fldChar w:fldCharType="separate"/>
        </w:r>
        <w:r w:rsidR="004B5298">
          <w:rPr>
            <w:noProof/>
            <w:webHidden/>
          </w:rPr>
          <w:t>57</w:t>
        </w:r>
        <w:r w:rsidR="0006212C">
          <w:rPr>
            <w:noProof/>
            <w:webHidden/>
          </w:rPr>
          <w:fldChar w:fldCharType="end"/>
        </w:r>
      </w:hyperlink>
    </w:p>
    <w:p w14:paraId="0CBB2FD9" w14:textId="5DFCFAF3"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84" w:history="1">
        <w:r w:rsidR="0006212C" w:rsidRPr="00343A5D">
          <w:rPr>
            <w:rStyle w:val="Hipercze"/>
            <w:noProof/>
          </w:rPr>
          <w:t>III.10.</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PLANOWANIE PRAC EKSPLOATACYJNYCH</w:t>
        </w:r>
        <w:r w:rsidR="0006212C">
          <w:rPr>
            <w:noProof/>
            <w:webHidden/>
          </w:rPr>
          <w:tab/>
        </w:r>
        <w:r w:rsidR="0006212C">
          <w:rPr>
            <w:noProof/>
            <w:webHidden/>
          </w:rPr>
          <w:fldChar w:fldCharType="begin"/>
        </w:r>
        <w:r w:rsidR="0006212C">
          <w:rPr>
            <w:noProof/>
            <w:webHidden/>
          </w:rPr>
          <w:instrText xml:space="preserve"> PAGEREF _Toc141963884 \h </w:instrText>
        </w:r>
        <w:r w:rsidR="0006212C">
          <w:rPr>
            <w:noProof/>
            <w:webHidden/>
          </w:rPr>
        </w:r>
        <w:r w:rsidR="0006212C">
          <w:rPr>
            <w:noProof/>
            <w:webHidden/>
          </w:rPr>
          <w:fldChar w:fldCharType="separate"/>
        </w:r>
        <w:r w:rsidR="004B5298">
          <w:rPr>
            <w:noProof/>
            <w:webHidden/>
          </w:rPr>
          <w:t>57</w:t>
        </w:r>
        <w:r w:rsidR="0006212C">
          <w:rPr>
            <w:noProof/>
            <w:webHidden/>
          </w:rPr>
          <w:fldChar w:fldCharType="end"/>
        </w:r>
      </w:hyperlink>
    </w:p>
    <w:p w14:paraId="0427611E" w14:textId="645DB641"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85" w:history="1">
        <w:r w:rsidR="0006212C" w:rsidRPr="00343A5D">
          <w:rPr>
            <w:rStyle w:val="Hipercze"/>
            <w:noProof/>
          </w:rPr>
          <w:t>III.11.</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WARUNKI BEZPIECZNEGO WYKONYWANIA PRAC</w:t>
        </w:r>
        <w:r w:rsidR="0006212C">
          <w:rPr>
            <w:noProof/>
            <w:webHidden/>
          </w:rPr>
          <w:tab/>
        </w:r>
        <w:r w:rsidR="0006212C">
          <w:rPr>
            <w:noProof/>
            <w:webHidden/>
          </w:rPr>
          <w:fldChar w:fldCharType="begin"/>
        </w:r>
        <w:r w:rsidR="0006212C">
          <w:rPr>
            <w:noProof/>
            <w:webHidden/>
          </w:rPr>
          <w:instrText xml:space="preserve"> PAGEREF _Toc141963885 \h </w:instrText>
        </w:r>
        <w:r w:rsidR="0006212C">
          <w:rPr>
            <w:noProof/>
            <w:webHidden/>
          </w:rPr>
        </w:r>
        <w:r w:rsidR="0006212C">
          <w:rPr>
            <w:noProof/>
            <w:webHidden/>
          </w:rPr>
          <w:fldChar w:fldCharType="separate"/>
        </w:r>
        <w:r w:rsidR="004B5298">
          <w:rPr>
            <w:noProof/>
            <w:webHidden/>
          </w:rPr>
          <w:t>58</w:t>
        </w:r>
        <w:r w:rsidR="0006212C">
          <w:rPr>
            <w:noProof/>
            <w:webHidden/>
          </w:rPr>
          <w:fldChar w:fldCharType="end"/>
        </w:r>
      </w:hyperlink>
    </w:p>
    <w:p w14:paraId="75C561BC" w14:textId="183E004F"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886" w:history="1">
        <w:r w:rsidR="0006212C" w:rsidRPr="00343A5D">
          <w:rPr>
            <w:rStyle w:val="Hipercze"/>
            <w:noProof/>
          </w:rPr>
          <w:t>IV.       BEZPIECZEŃSTWO FUNKCJONOWANIA SYSTEMU ELEKTROENERGETYCZNEGO</w:t>
        </w:r>
        <w:r w:rsidR="0006212C">
          <w:rPr>
            <w:noProof/>
            <w:webHidden/>
          </w:rPr>
          <w:tab/>
        </w:r>
        <w:r w:rsidR="0006212C">
          <w:rPr>
            <w:noProof/>
            <w:webHidden/>
          </w:rPr>
          <w:fldChar w:fldCharType="begin"/>
        </w:r>
        <w:r w:rsidR="0006212C">
          <w:rPr>
            <w:noProof/>
            <w:webHidden/>
          </w:rPr>
          <w:instrText xml:space="preserve"> PAGEREF _Toc141963886 \h </w:instrText>
        </w:r>
        <w:r w:rsidR="0006212C">
          <w:rPr>
            <w:noProof/>
            <w:webHidden/>
          </w:rPr>
        </w:r>
        <w:r w:rsidR="0006212C">
          <w:rPr>
            <w:noProof/>
            <w:webHidden/>
          </w:rPr>
          <w:fldChar w:fldCharType="separate"/>
        </w:r>
        <w:r w:rsidR="004B5298">
          <w:rPr>
            <w:noProof/>
            <w:webHidden/>
          </w:rPr>
          <w:t>58</w:t>
        </w:r>
        <w:r w:rsidR="0006212C">
          <w:rPr>
            <w:noProof/>
            <w:webHidden/>
          </w:rPr>
          <w:fldChar w:fldCharType="end"/>
        </w:r>
      </w:hyperlink>
    </w:p>
    <w:p w14:paraId="30435F16" w14:textId="684F9930"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87" w:history="1">
        <w:r w:rsidR="0006212C" w:rsidRPr="00343A5D">
          <w:rPr>
            <w:rStyle w:val="Hipercze"/>
            <w:noProof/>
          </w:rPr>
          <w:t>IV.1. BEZPIECZEŃSTWO DOSTAW ENERGII ELEKTRYCZNEJ, AWARIA SIECIOWA I AWARIA W SYSTEMIE</w:t>
        </w:r>
        <w:r w:rsidR="0006212C">
          <w:rPr>
            <w:noProof/>
            <w:webHidden/>
          </w:rPr>
          <w:tab/>
        </w:r>
        <w:r w:rsidR="0006212C">
          <w:rPr>
            <w:noProof/>
            <w:webHidden/>
          </w:rPr>
          <w:fldChar w:fldCharType="begin"/>
        </w:r>
        <w:r w:rsidR="0006212C">
          <w:rPr>
            <w:noProof/>
            <w:webHidden/>
          </w:rPr>
          <w:instrText xml:space="preserve"> PAGEREF _Toc141963887 \h </w:instrText>
        </w:r>
        <w:r w:rsidR="0006212C">
          <w:rPr>
            <w:noProof/>
            <w:webHidden/>
          </w:rPr>
        </w:r>
        <w:r w:rsidR="0006212C">
          <w:rPr>
            <w:noProof/>
            <w:webHidden/>
          </w:rPr>
          <w:fldChar w:fldCharType="separate"/>
        </w:r>
        <w:r w:rsidR="004B5298">
          <w:rPr>
            <w:noProof/>
            <w:webHidden/>
          </w:rPr>
          <w:t>58</w:t>
        </w:r>
        <w:r w:rsidR="0006212C">
          <w:rPr>
            <w:noProof/>
            <w:webHidden/>
          </w:rPr>
          <w:fldChar w:fldCharType="end"/>
        </w:r>
      </w:hyperlink>
    </w:p>
    <w:p w14:paraId="23A39726" w14:textId="3E8C3D69"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88" w:history="1">
        <w:r w:rsidR="0006212C" w:rsidRPr="00343A5D">
          <w:rPr>
            <w:rStyle w:val="Hipercze"/>
            <w:noProof/>
          </w:rPr>
          <w:t>IV.2.</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BEZPIECZEŃSTWO PRACY SIECI DYSTRYBUCYJNEJ</w:t>
        </w:r>
        <w:r w:rsidR="0006212C">
          <w:rPr>
            <w:noProof/>
            <w:webHidden/>
          </w:rPr>
          <w:tab/>
        </w:r>
        <w:r w:rsidR="0006212C">
          <w:rPr>
            <w:noProof/>
            <w:webHidden/>
          </w:rPr>
          <w:fldChar w:fldCharType="begin"/>
        </w:r>
        <w:r w:rsidR="0006212C">
          <w:rPr>
            <w:noProof/>
            <w:webHidden/>
          </w:rPr>
          <w:instrText xml:space="preserve"> PAGEREF _Toc141963888 \h </w:instrText>
        </w:r>
        <w:r w:rsidR="0006212C">
          <w:rPr>
            <w:noProof/>
            <w:webHidden/>
          </w:rPr>
        </w:r>
        <w:r w:rsidR="0006212C">
          <w:rPr>
            <w:noProof/>
            <w:webHidden/>
          </w:rPr>
          <w:fldChar w:fldCharType="separate"/>
        </w:r>
        <w:r w:rsidR="004B5298">
          <w:rPr>
            <w:noProof/>
            <w:webHidden/>
          </w:rPr>
          <w:t>59</w:t>
        </w:r>
        <w:r w:rsidR="0006212C">
          <w:rPr>
            <w:noProof/>
            <w:webHidden/>
          </w:rPr>
          <w:fldChar w:fldCharType="end"/>
        </w:r>
      </w:hyperlink>
    </w:p>
    <w:p w14:paraId="55EA6392" w14:textId="5AE31AB3"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89" w:history="1">
        <w:r w:rsidR="0006212C" w:rsidRPr="00343A5D">
          <w:rPr>
            <w:rStyle w:val="Hipercze"/>
            <w:noProof/>
          </w:rPr>
          <w:t>IV.3.</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WPROWADZANIE PRZERW ORAZ OGRANICZEŃ W DOSTARCZANIU  I POBORZE ENERGII ELEKTRYCZNEJ</w:t>
        </w:r>
        <w:r w:rsidR="0006212C">
          <w:rPr>
            <w:noProof/>
            <w:webHidden/>
          </w:rPr>
          <w:tab/>
        </w:r>
        <w:r w:rsidR="0006212C">
          <w:rPr>
            <w:noProof/>
            <w:webHidden/>
          </w:rPr>
          <w:fldChar w:fldCharType="begin"/>
        </w:r>
        <w:r w:rsidR="0006212C">
          <w:rPr>
            <w:noProof/>
            <w:webHidden/>
          </w:rPr>
          <w:instrText xml:space="preserve"> PAGEREF _Toc141963889 \h </w:instrText>
        </w:r>
        <w:r w:rsidR="0006212C">
          <w:rPr>
            <w:noProof/>
            <w:webHidden/>
          </w:rPr>
        </w:r>
        <w:r w:rsidR="0006212C">
          <w:rPr>
            <w:noProof/>
            <w:webHidden/>
          </w:rPr>
          <w:fldChar w:fldCharType="separate"/>
        </w:r>
        <w:r w:rsidR="004B5298">
          <w:rPr>
            <w:noProof/>
            <w:webHidden/>
          </w:rPr>
          <w:t>60</w:t>
        </w:r>
        <w:r w:rsidR="0006212C">
          <w:rPr>
            <w:noProof/>
            <w:webHidden/>
          </w:rPr>
          <w:fldChar w:fldCharType="end"/>
        </w:r>
      </w:hyperlink>
    </w:p>
    <w:p w14:paraId="1BFABEEB" w14:textId="4BD71755"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890" w:history="1">
        <w:r w:rsidR="0006212C" w:rsidRPr="00343A5D">
          <w:rPr>
            <w:rStyle w:val="Hipercze"/>
            <w:noProof/>
          </w:rPr>
          <w:t>V.    WSPÓŁPRACA OSDn Z INNYMI OPERATORAMI I PRZEKAZYWANIE INFORMACJI POMIĘDZY OPERATORAMI ORAZ OPERATORAMI  A UŻYTKOWNIKAMI SYSTEMU</w:t>
        </w:r>
        <w:r w:rsidR="0006212C">
          <w:rPr>
            <w:noProof/>
            <w:webHidden/>
          </w:rPr>
          <w:tab/>
        </w:r>
        <w:r w:rsidR="0006212C">
          <w:rPr>
            <w:noProof/>
            <w:webHidden/>
          </w:rPr>
          <w:fldChar w:fldCharType="begin"/>
        </w:r>
        <w:r w:rsidR="0006212C">
          <w:rPr>
            <w:noProof/>
            <w:webHidden/>
          </w:rPr>
          <w:instrText xml:space="preserve"> PAGEREF _Toc141963890 \h </w:instrText>
        </w:r>
        <w:r w:rsidR="0006212C">
          <w:rPr>
            <w:noProof/>
            <w:webHidden/>
          </w:rPr>
        </w:r>
        <w:r w:rsidR="0006212C">
          <w:rPr>
            <w:noProof/>
            <w:webHidden/>
          </w:rPr>
          <w:fldChar w:fldCharType="separate"/>
        </w:r>
        <w:r w:rsidR="004B5298">
          <w:rPr>
            <w:noProof/>
            <w:webHidden/>
          </w:rPr>
          <w:t>72</w:t>
        </w:r>
        <w:r w:rsidR="0006212C">
          <w:rPr>
            <w:noProof/>
            <w:webHidden/>
          </w:rPr>
          <w:fldChar w:fldCharType="end"/>
        </w:r>
      </w:hyperlink>
    </w:p>
    <w:p w14:paraId="7D7AFFE7" w14:textId="421ADFED"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891" w:history="1">
        <w:r w:rsidR="0006212C" w:rsidRPr="00343A5D">
          <w:rPr>
            <w:rStyle w:val="Hipercze"/>
            <w:noProof/>
          </w:rPr>
          <w:t>VI. PROWADZENIE RUCHU SIECI DYSTRYBUCYJNEJ OSDn</w:t>
        </w:r>
        <w:r w:rsidR="0006212C">
          <w:rPr>
            <w:noProof/>
            <w:webHidden/>
          </w:rPr>
          <w:tab/>
        </w:r>
        <w:r w:rsidR="0006212C">
          <w:rPr>
            <w:noProof/>
            <w:webHidden/>
          </w:rPr>
          <w:fldChar w:fldCharType="begin"/>
        </w:r>
        <w:r w:rsidR="0006212C">
          <w:rPr>
            <w:noProof/>
            <w:webHidden/>
          </w:rPr>
          <w:instrText xml:space="preserve"> PAGEREF _Toc141963891 \h </w:instrText>
        </w:r>
        <w:r w:rsidR="0006212C">
          <w:rPr>
            <w:noProof/>
            <w:webHidden/>
          </w:rPr>
        </w:r>
        <w:r w:rsidR="0006212C">
          <w:rPr>
            <w:noProof/>
            <w:webHidden/>
          </w:rPr>
          <w:fldChar w:fldCharType="separate"/>
        </w:r>
        <w:r w:rsidR="004B5298">
          <w:rPr>
            <w:noProof/>
            <w:webHidden/>
          </w:rPr>
          <w:t>73</w:t>
        </w:r>
        <w:r w:rsidR="0006212C">
          <w:rPr>
            <w:noProof/>
            <w:webHidden/>
          </w:rPr>
          <w:fldChar w:fldCharType="end"/>
        </w:r>
      </w:hyperlink>
    </w:p>
    <w:p w14:paraId="72B84C82" w14:textId="4A7A4FC5"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92" w:history="1">
        <w:r w:rsidR="0006212C" w:rsidRPr="00343A5D">
          <w:rPr>
            <w:rStyle w:val="Hipercze"/>
            <w:noProof/>
          </w:rPr>
          <w:t>VI.1. OBOWIĄZKI OSDn</w:t>
        </w:r>
        <w:r w:rsidR="0006212C">
          <w:rPr>
            <w:noProof/>
            <w:webHidden/>
          </w:rPr>
          <w:tab/>
        </w:r>
        <w:r w:rsidR="0006212C">
          <w:rPr>
            <w:noProof/>
            <w:webHidden/>
          </w:rPr>
          <w:fldChar w:fldCharType="begin"/>
        </w:r>
        <w:r w:rsidR="0006212C">
          <w:rPr>
            <w:noProof/>
            <w:webHidden/>
          </w:rPr>
          <w:instrText xml:space="preserve"> PAGEREF _Toc141963892 \h </w:instrText>
        </w:r>
        <w:r w:rsidR="0006212C">
          <w:rPr>
            <w:noProof/>
            <w:webHidden/>
          </w:rPr>
        </w:r>
        <w:r w:rsidR="0006212C">
          <w:rPr>
            <w:noProof/>
            <w:webHidden/>
          </w:rPr>
          <w:fldChar w:fldCharType="separate"/>
        </w:r>
        <w:r w:rsidR="004B5298">
          <w:rPr>
            <w:noProof/>
            <w:webHidden/>
          </w:rPr>
          <w:t>73</w:t>
        </w:r>
        <w:r w:rsidR="0006212C">
          <w:rPr>
            <w:noProof/>
            <w:webHidden/>
          </w:rPr>
          <w:fldChar w:fldCharType="end"/>
        </w:r>
      </w:hyperlink>
    </w:p>
    <w:p w14:paraId="235C005A" w14:textId="7BD0679F"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93" w:history="1">
        <w:r w:rsidR="0006212C" w:rsidRPr="00343A5D">
          <w:rPr>
            <w:rStyle w:val="Hipercze"/>
            <w:noProof/>
          </w:rPr>
          <w:t xml:space="preserve">VI.2. </w:t>
        </w:r>
        <w:r w:rsidR="0006212C" w:rsidRPr="00343A5D">
          <w:rPr>
            <w:rStyle w:val="Hipercze"/>
            <w:noProof/>
            <w:w w:val="99"/>
          </w:rPr>
          <w:t>STRUKTURA I PODZIAŁ KOMPETENCJI SŁUŻB DYSPOZYTORSKICH OPERATORA SYSTEMU DYSTRYBUCYJNEGO</w:t>
        </w:r>
        <w:r w:rsidR="0006212C">
          <w:rPr>
            <w:noProof/>
            <w:webHidden/>
          </w:rPr>
          <w:tab/>
        </w:r>
        <w:r w:rsidR="0006212C">
          <w:rPr>
            <w:noProof/>
            <w:webHidden/>
          </w:rPr>
          <w:fldChar w:fldCharType="begin"/>
        </w:r>
        <w:r w:rsidR="0006212C">
          <w:rPr>
            <w:noProof/>
            <w:webHidden/>
          </w:rPr>
          <w:instrText xml:space="preserve"> PAGEREF _Toc141963893 \h </w:instrText>
        </w:r>
        <w:r w:rsidR="0006212C">
          <w:rPr>
            <w:noProof/>
            <w:webHidden/>
          </w:rPr>
        </w:r>
        <w:r w:rsidR="0006212C">
          <w:rPr>
            <w:noProof/>
            <w:webHidden/>
          </w:rPr>
          <w:fldChar w:fldCharType="separate"/>
        </w:r>
        <w:r w:rsidR="004B5298">
          <w:rPr>
            <w:noProof/>
            <w:webHidden/>
          </w:rPr>
          <w:t>73</w:t>
        </w:r>
        <w:r w:rsidR="0006212C">
          <w:rPr>
            <w:noProof/>
            <w:webHidden/>
          </w:rPr>
          <w:fldChar w:fldCharType="end"/>
        </w:r>
      </w:hyperlink>
    </w:p>
    <w:p w14:paraId="1B86508B" w14:textId="598DA71E"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94" w:history="1">
        <w:r w:rsidR="0006212C" w:rsidRPr="00343A5D">
          <w:rPr>
            <w:rStyle w:val="Hipercze"/>
            <w:noProof/>
          </w:rPr>
          <w:t>VI.4.</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PROGNOZOWANIE ZAPOTRZEBOWANIA NA MOC I ENERGIĘ ELEKTRYCZNĄ</w:t>
        </w:r>
        <w:r w:rsidR="0006212C">
          <w:rPr>
            <w:noProof/>
            <w:webHidden/>
          </w:rPr>
          <w:tab/>
        </w:r>
        <w:r w:rsidR="0006212C">
          <w:rPr>
            <w:noProof/>
            <w:webHidden/>
          </w:rPr>
          <w:fldChar w:fldCharType="begin"/>
        </w:r>
        <w:r w:rsidR="0006212C">
          <w:rPr>
            <w:noProof/>
            <w:webHidden/>
          </w:rPr>
          <w:instrText xml:space="preserve"> PAGEREF _Toc141963894 \h </w:instrText>
        </w:r>
        <w:r w:rsidR="0006212C">
          <w:rPr>
            <w:noProof/>
            <w:webHidden/>
          </w:rPr>
        </w:r>
        <w:r w:rsidR="0006212C">
          <w:rPr>
            <w:noProof/>
            <w:webHidden/>
          </w:rPr>
          <w:fldChar w:fldCharType="separate"/>
        </w:r>
        <w:r w:rsidR="004B5298">
          <w:rPr>
            <w:noProof/>
            <w:webHidden/>
          </w:rPr>
          <w:t>75</w:t>
        </w:r>
        <w:r w:rsidR="0006212C">
          <w:rPr>
            <w:noProof/>
            <w:webHidden/>
          </w:rPr>
          <w:fldChar w:fldCharType="end"/>
        </w:r>
      </w:hyperlink>
    </w:p>
    <w:p w14:paraId="0ACCA1CA" w14:textId="001AA612"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95" w:history="1">
        <w:r w:rsidR="0006212C" w:rsidRPr="00343A5D">
          <w:rPr>
            <w:rStyle w:val="Hipercze"/>
            <w:noProof/>
          </w:rPr>
          <w:t>VI.5.</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PROGRAMY PRACY SIECI DYSTRYBUCYJNEJ</w:t>
        </w:r>
        <w:r w:rsidR="0006212C">
          <w:rPr>
            <w:noProof/>
            <w:webHidden/>
          </w:rPr>
          <w:tab/>
        </w:r>
        <w:r w:rsidR="0006212C">
          <w:rPr>
            <w:noProof/>
            <w:webHidden/>
          </w:rPr>
          <w:fldChar w:fldCharType="begin"/>
        </w:r>
        <w:r w:rsidR="0006212C">
          <w:rPr>
            <w:noProof/>
            <w:webHidden/>
          </w:rPr>
          <w:instrText xml:space="preserve"> PAGEREF _Toc141963895 \h </w:instrText>
        </w:r>
        <w:r w:rsidR="0006212C">
          <w:rPr>
            <w:noProof/>
            <w:webHidden/>
          </w:rPr>
        </w:r>
        <w:r w:rsidR="0006212C">
          <w:rPr>
            <w:noProof/>
            <w:webHidden/>
          </w:rPr>
          <w:fldChar w:fldCharType="separate"/>
        </w:r>
        <w:r w:rsidR="004B5298">
          <w:rPr>
            <w:noProof/>
            <w:webHidden/>
          </w:rPr>
          <w:t>75</w:t>
        </w:r>
        <w:r w:rsidR="0006212C">
          <w:rPr>
            <w:noProof/>
            <w:webHidden/>
          </w:rPr>
          <w:fldChar w:fldCharType="end"/>
        </w:r>
      </w:hyperlink>
    </w:p>
    <w:p w14:paraId="67678C2F" w14:textId="53B6F576"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96" w:history="1">
        <w:r w:rsidR="0006212C" w:rsidRPr="00343A5D">
          <w:rPr>
            <w:rStyle w:val="Hipercze"/>
            <w:noProof/>
          </w:rPr>
          <w:t>VI.6.</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PLANY WYŁĄCZEŃ ELEMENTÓW SIECI DYSTRYBUCYJNEJ</w:t>
        </w:r>
        <w:r w:rsidR="0006212C">
          <w:rPr>
            <w:noProof/>
            <w:webHidden/>
          </w:rPr>
          <w:tab/>
        </w:r>
        <w:r w:rsidR="0006212C">
          <w:rPr>
            <w:noProof/>
            <w:webHidden/>
          </w:rPr>
          <w:fldChar w:fldCharType="begin"/>
        </w:r>
        <w:r w:rsidR="0006212C">
          <w:rPr>
            <w:noProof/>
            <w:webHidden/>
          </w:rPr>
          <w:instrText xml:space="preserve"> PAGEREF _Toc141963896 \h </w:instrText>
        </w:r>
        <w:r w:rsidR="0006212C">
          <w:rPr>
            <w:noProof/>
            <w:webHidden/>
          </w:rPr>
        </w:r>
        <w:r w:rsidR="0006212C">
          <w:rPr>
            <w:noProof/>
            <w:webHidden/>
          </w:rPr>
          <w:fldChar w:fldCharType="separate"/>
        </w:r>
        <w:r w:rsidR="004B5298">
          <w:rPr>
            <w:noProof/>
            <w:webHidden/>
          </w:rPr>
          <w:t>75</w:t>
        </w:r>
        <w:r w:rsidR="0006212C">
          <w:rPr>
            <w:noProof/>
            <w:webHidden/>
          </w:rPr>
          <w:fldChar w:fldCharType="end"/>
        </w:r>
      </w:hyperlink>
    </w:p>
    <w:p w14:paraId="0A79E40F" w14:textId="1990B4F7"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97" w:history="1">
        <w:r w:rsidR="0006212C" w:rsidRPr="00343A5D">
          <w:rPr>
            <w:rStyle w:val="Hipercze"/>
            <w:noProof/>
          </w:rPr>
          <w:t>VI.7.</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PROGRAMY ŁĄCZENIOWE</w:t>
        </w:r>
        <w:r w:rsidR="0006212C">
          <w:rPr>
            <w:noProof/>
            <w:webHidden/>
          </w:rPr>
          <w:tab/>
        </w:r>
        <w:r w:rsidR="0006212C">
          <w:rPr>
            <w:noProof/>
            <w:webHidden/>
          </w:rPr>
          <w:fldChar w:fldCharType="begin"/>
        </w:r>
        <w:r w:rsidR="0006212C">
          <w:rPr>
            <w:noProof/>
            <w:webHidden/>
          </w:rPr>
          <w:instrText xml:space="preserve"> PAGEREF _Toc141963897 \h </w:instrText>
        </w:r>
        <w:r w:rsidR="0006212C">
          <w:rPr>
            <w:noProof/>
            <w:webHidden/>
          </w:rPr>
        </w:r>
        <w:r w:rsidR="0006212C">
          <w:rPr>
            <w:noProof/>
            <w:webHidden/>
          </w:rPr>
          <w:fldChar w:fldCharType="separate"/>
        </w:r>
        <w:r w:rsidR="004B5298">
          <w:rPr>
            <w:noProof/>
            <w:webHidden/>
          </w:rPr>
          <w:t>76</w:t>
        </w:r>
        <w:r w:rsidR="0006212C">
          <w:rPr>
            <w:noProof/>
            <w:webHidden/>
          </w:rPr>
          <w:fldChar w:fldCharType="end"/>
        </w:r>
      </w:hyperlink>
    </w:p>
    <w:p w14:paraId="012EC608" w14:textId="14226BA6"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98" w:history="1">
        <w:r w:rsidR="0006212C" w:rsidRPr="00343A5D">
          <w:rPr>
            <w:rStyle w:val="Hipercze"/>
            <w:noProof/>
          </w:rPr>
          <w:t>VI.8.</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ZASADY DYSPONOWANIA MOCĄ JEDNOSTEK WYTWÓRCZYCH PRZYŁĄCZONYCH DO SIECI DYSTRYBUCYJNEJ</w:t>
        </w:r>
        <w:r w:rsidR="0006212C">
          <w:rPr>
            <w:noProof/>
            <w:webHidden/>
          </w:rPr>
          <w:tab/>
        </w:r>
        <w:r w:rsidR="0006212C">
          <w:rPr>
            <w:noProof/>
            <w:webHidden/>
          </w:rPr>
          <w:fldChar w:fldCharType="begin"/>
        </w:r>
        <w:r w:rsidR="0006212C">
          <w:rPr>
            <w:noProof/>
            <w:webHidden/>
          </w:rPr>
          <w:instrText xml:space="preserve"> PAGEREF _Toc141963898 \h </w:instrText>
        </w:r>
        <w:r w:rsidR="0006212C">
          <w:rPr>
            <w:noProof/>
            <w:webHidden/>
          </w:rPr>
        </w:r>
        <w:r w:rsidR="0006212C">
          <w:rPr>
            <w:noProof/>
            <w:webHidden/>
          </w:rPr>
          <w:fldChar w:fldCharType="separate"/>
        </w:r>
        <w:r w:rsidR="004B5298">
          <w:rPr>
            <w:noProof/>
            <w:webHidden/>
          </w:rPr>
          <w:t>77</w:t>
        </w:r>
        <w:r w:rsidR="0006212C">
          <w:rPr>
            <w:noProof/>
            <w:webHidden/>
          </w:rPr>
          <w:fldChar w:fldCharType="end"/>
        </w:r>
      </w:hyperlink>
    </w:p>
    <w:p w14:paraId="7A6FC551" w14:textId="19C1E7A8"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899" w:history="1">
        <w:r w:rsidR="0006212C" w:rsidRPr="00343A5D">
          <w:rPr>
            <w:rStyle w:val="Hipercze"/>
            <w:noProof/>
          </w:rPr>
          <w:t>VI.9.</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DANE PRZEKAZYWANE PRZEZ PODMIOTY DO OSDn</w:t>
        </w:r>
        <w:r w:rsidR="0006212C">
          <w:rPr>
            <w:noProof/>
            <w:webHidden/>
          </w:rPr>
          <w:tab/>
        </w:r>
        <w:r w:rsidR="0006212C">
          <w:rPr>
            <w:noProof/>
            <w:webHidden/>
          </w:rPr>
          <w:fldChar w:fldCharType="begin"/>
        </w:r>
        <w:r w:rsidR="0006212C">
          <w:rPr>
            <w:noProof/>
            <w:webHidden/>
          </w:rPr>
          <w:instrText xml:space="preserve"> PAGEREF _Toc141963899 \h </w:instrText>
        </w:r>
        <w:r w:rsidR="0006212C">
          <w:rPr>
            <w:noProof/>
            <w:webHidden/>
          </w:rPr>
        </w:r>
        <w:r w:rsidR="0006212C">
          <w:rPr>
            <w:noProof/>
            <w:webHidden/>
          </w:rPr>
          <w:fldChar w:fldCharType="separate"/>
        </w:r>
        <w:r w:rsidR="004B5298">
          <w:rPr>
            <w:noProof/>
            <w:webHidden/>
          </w:rPr>
          <w:t>78</w:t>
        </w:r>
        <w:r w:rsidR="0006212C">
          <w:rPr>
            <w:noProof/>
            <w:webHidden/>
          </w:rPr>
          <w:fldChar w:fldCharType="end"/>
        </w:r>
      </w:hyperlink>
    </w:p>
    <w:p w14:paraId="2CF1BF45" w14:textId="53926D60"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00" w:history="1">
        <w:r w:rsidR="0006212C" w:rsidRPr="00343A5D">
          <w:rPr>
            <w:rStyle w:val="Hipercze"/>
            <w:noProof/>
          </w:rPr>
          <w:t>VII. STANDARDY TECHNICZNE I BEZPIECZEŃSTWA PRACY SIECI DYSTRYBUCYJNEJ OSDn</w:t>
        </w:r>
        <w:r w:rsidR="0006212C">
          <w:rPr>
            <w:noProof/>
            <w:webHidden/>
          </w:rPr>
          <w:tab/>
        </w:r>
        <w:r w:rsidR="0006212C">
          <w:rPr>
            <w:noProof/>
            <w:webHidden/>
          </w:rPr>
          <w:fldChar w:fldCharType="begin"/>
        </w:r>
        <w:r w:rsidR="0006212C">
          <w:rPr>
            <w:noProof/>
            <w:webHidden/>
          </w:rPr>
          <w:instrText xml:space="preserve"> PAGEREF _Toc141963900 \h </w:instrText>
        </w:r>
        <w:r w:rsidR="0006212C">
          <w:rPr>
            <w:noProof/>
            <w:webHidden/>
          </w:rPr>
        </w:r>
        <w:r w:rsidR="0006212C">
          <w:rPr>
            <w:noProof/>
            <w:webHidden/>
          </w:rPr>
          <w:fldChar w:fldCharType="separate"/>
        </w:r>
        <w:r w:rsidR="004B5298">
          <w:rPr>
            <w:noProof/>
            <w:webHidden/>
          </w:rPr>
          <w:t>79</w:t>
        </w:r>
        <w:r w:rsidR="0006212C">
          <w:rPr>
            <w:noProof/>
            <w:webHidden/>
          </w:rPr>
          <w:fldChar w:fldCharType="end"/>
        </w:r>
      </w:hyperlink>
    </w:p>
    <w:p w14:paraId="51438F69" w14:textId="0E0EB4FF" w:rsidR="0006212C" w:rsidRDefault="00000000">
      <w:pPr>
        <w:pStyle w:val="Spistreci1"/>
        <w:tabs>
          <w:tab w:val="left" w:pos="851"/>
        </w:tabs>
        <w:rPr>
          <w:rFonts w:asciiTheme="minorHAnsi" w:eastAsiaTheme="minorEastAsia" w:hAnsiTheme="minorHAnsi" w:cstheme="minorBidi"/>
          <w:noProof/>
          <w:color w:val="auto"/>
          <w:kern w:val="2"/>
          <w:sz w:val="22"/>
          <w:szCs w:val="22"/>
          <w14:ligatures w14:val="standardContextual"/>
        </w:rPr>
      </w:pPr>
      <w:hyperlink w:anchor="_Toc141963901" w:history="1">
        <w:r w:rsidR="0006212C" w:rsidRPr="00343A5D">
          <w:rPr>
            <w:rStyle w:val="Hipercze"/>
            <w:noProof/>
          </w:rPr>
          <w:t>VIII.</w:t>
        </w:r>
        <w:r w:rsidR="0006212C">
          <w:rPr>
            <w:rFonts w:asciiTheme="minorHAnsi" w:eastAsiaTheme="minorEastAsia" w:hAnsiTheme="minorHAnsi" w:cstheme="minorBidi"/>
            <w:noProof/>
            <w:color w:val="auto"/>
            <w:kern w:val="2"/>
            <w:sz w:val="22"/>
            <w:szCs w:val="22"/>
            <w14:ligatures w14:val="standardContextual"/>
          </w:rPr>
          <w:tab/>
        </w:r>
        <w:r w:rsidR="0006212C" w:rsidRPr="00343A5D">
          <w:rPr>
            <w:rStyle w:val="Hipercze"/>
            <w:noProof/>
          </w:rPr>
          <w:t>PARAMETRY JAKOŚCIOWE ENERGII ELEKTRYCZNEJ, WSKAŹNIKI JAKOŚCI I NIEZAWODNOŚCI DOSTAW ENERGII ELEKTRYCZNEJ ORAZ STANDARDY JAKOŚCIOWE OBSŁUGI UŻYTKOWNIKÓW SYSTEMU</w:t>
        </w:r>
        <w:r w:rsidR="0006212C">
          <w:rPr>
            <w:noProof/>
            <w:webHidden/>
          </w:rPr>
          <w:tab/>
        </w:r>
        <w:r w:rsidR="0006212C">
          <w:rPr>
            <w:noProof/>
            <w:webHidden/>
          </w:rPr>
          <w:fldChar w:fldCharType="begin"/>
        </w:r>
        <w:r w:rsidR="0006212C">
          <w:rPr>
            <w:noProof/>
            <w:webHidden/>
          </w:rPr>
          <w:instrText xml:space="preserve"> PAGEREF _Toc141963901 \h </w:instrText>
        </w:r>
        <w:r w:rsidR="0006212C">
          <w:rPr>
            <w:noProof/>
            <w:webHidden/>
          </w:rPr>
        </w:r>
        <w:r w:rsidR="0006212C">
          <w:rPr>
            <w:noProof/>
            <w:webHidden/>
          </w:rPr>
          <w:fldChar w:fldCharType="separate"/>
        </w:r>
        <w:r w:rsidR="004B5298">
          <w:rPr>
            <w:noProof/>
            <w:webHidden/>
          </w:rPr>
          <w:t>80</w:t>
        </w:r>
        <w:r w:rsidR="0006212C">
          <w:rPr>
            <w:noProof/>
            <w:webHidden/>
          </w:rPr>
          <w:fldChar w:fldCharType="end"/>
        </w:r>
      </w:hyperlink>
    </w:p>
    <w:p w14:paraId="27E184B7" w14:textId="3B8D8247"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02" w:history="1">
        <w:r w:rsidR="0006212C" w:rsidRPr="00343A5D">
          <w:rPr>
            <w:rStyle w:val="Hipercze"/>
            <w:noProof/>
          </w:rPr>
          <w:t>VIII.1. PARAMETRY JAKOŚCIOWE ENERGII ELEKTRYCZNEJ</w:t>
        </w:r>
        <w:r w:rsidR="0006212C">
          <w:rPr>
            <w:noProof/>
            <w:webHidden/>
          </w:rPr>
          <w:tab/>
        </w:r>
        <w:r w:rsidR="0006212C">
          <w:rPr>
            <w:noProof/>
            <w:webHidden/>
          </w:rPr>
          <w:fldChar w:fldCharType="begin"/>
        </w:r>
        <w:r w:rsidR="0006212C">
          <w:rPr>
            <w:noProof/>
            <w:webHidden/>
          </w:rPr>
          <w:instrText xml:space="preserve"> PAGEREF _Toc141963902 \h </w:instrText>
        </w:r>
        <w:r w:rsidR="0006212C">
          <w:rPr>
            <w:noProof/>
            <w:webHidden/>
          </w:rPr>
        </w:r>
        <w:r w:rsidR="0006212C">
          <w:rPr>
            <w:noProof/>
            <w:webHidden/>
          </w:rPr>
          <w:fldChar w:fldCharType="separate"/>
        </w:r>
        <w:r w:rsidR="004B5298">
          <w:rPr>
            <w:noProof/>
            <w:webHidden/>
          </w:rPr>
          <w:t>80</w:t>
        </w:r>
        <w:r w:rsidR="0006212C">
          <w:rPr>
            <w:noProof/>
            <w:webHidden/>
          </w:rPr>
          <w:fldChar w:fldCharType="end"/>
        </w:r>
      </w:hyperlink>
    </w:p>
    <w:p w14:paraId="11AD2498" w14:textId="26A166ED"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03" w:history="1">
        <w:r w:rsidR="0006212C" w:rsidRPr="00343A5D">
          <w:rPr>
            <w:rStyle w:val="Hipercze"/>
            <w:noProof/>
          </w:rPr>
          <w:t>VIII.2.</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WSKAŹNIKI JAKOŚCI I NIEZAWODNOŚCI DOSTAW ENERGII ELEKTRYCZNEJ</w:t>
        </w:r>
        <w:r w:rsidR="0006212C">
          <w:rPr>
            <w:noProof/>
            <w:webHidden/>
          </w:rPr>
          <w:tab/>
        </w:r>
        <w:r w:rsidR="0006212C">
          <w:rPr>
            <w:noProof/>
            <w:webHidden/>
          </w:rPr>
          <w:fldChar w:fldCharType="begin"/>
        </w:r>
        <w:r w:rsidR="0006212C">
          <w:rPr>
            <w:noProof/>
            <w:webHidden/>
          </w:rPr>
          <w:instrText xml:space="preserve"> PAGEREF _Toc141963903 \h </w:instrText>
        </w:r>
        <w:r w:rsidR="0006212C">
          <w:rPr>
            <w:noProof/>
            <w:webHidden/>
          </w:rPr>
        </w:r>
        <w:r w:rsidR="0006212C">
          <w:rPr>
            <w:noProof/>
            <w:webHidden/>
          </w:rPr>
          <w:fldChar w:fldCharType="separate"/>
        </w:r>
        <w:r w:rsidR="004B5298">
          <w:rPr>
            <w:noProof/>
            <w:webHidden/>
          </w:rPr>
          <w:t>81</w:t>
        </w:r>
        <w:r w:rsidR="0006212C">
          <w:rPr>
            <w:noProof/>
            <w:webHidden/>
          </w:rPr>
          <w:fldChar w:fldCharType="end"/>
        </w:r>
      </w:hyperlink>
    </w:p>
    <w:p w14:paraId="3A6192F7" w14:textId="3B6D635A"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04" w:history="1">
        <w:r w:rsidR="0006212C" w:rsidRPr="00343A5D">
          <w:rPr>
            <w:rStyle w:val="Hipercze"/>
            <w:noProof/>
          </w:rPr>
          <w:t>VIII.3.</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DOPUSZCZALNE POZIOMY ZABURZEŃ PARAMETRÓW JAKOŚCIOWYCH ENERGII ELEKTRYCZNEJ</w:t>
        </w:r>
        <w:r w:rsidR="0006212C">
          <w:rPr>
            <w:noProof/>
            <w:webHidden/>
          </w:rPr>
          <w:tab/>
        </w:r>
        <w:r w:rsidR="0006212C">
          <w:rPr>
            <w:noProof/>
            <w:webHidden/>
          </w:rPr>
          <w:fldChar w:fldCharType="begin"/>
        </w:r>
        <w:r w:rsidR="0006212C">
          <w:rPr>
            <w:noProof/>
            <w:webHidden/>
          </w:rPr>
          <w:instrText xml:space="preserve"> PAGEREF _Toc141963904 \h </w:instrText>
        </w:r>
        <w:r w:rsidR="0006212C">
          <w:rPr>
            <w:noProof/>
            <w:webHidden/>
          </w:rPr>
        </w:r>
        <w:r w:rsidR="0006212C">
          <w:rPr>
            <w:noProof/>
            <w:webHidden/>
          </w:rPr>
          <w:fldChar w:fldCharType="separate"/>
        </w:r>
        <w:r w:rsidR="004B5298">
          <w:rPr>
            <w:noProof/>
            <w:webHidden/>
          </w:rPr>
          <w:t>82</w:t>
        </w:r>
        <w:r w:rsidR="0006212C">
          <w:rPr>
            <w:noProof/>
            <w:webHidden/>
          </w:rPr>
          <w:fldChar w:fldCharType="end"/>
        </w:r>
      </w:hyperlink>
    </w:p>
    <w:p w14:paraId="4C4FECF7" w14:textId="2100BA04"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05" w:history="1">
        <w:r w:rsidR="0006212C" w:rsidRPr="00343A5D">
          <w:rPr>
            <w:rStyle w:val="Hipercze"/>
            <w:noProof/>
          </w:rPr>
          <w:t>VIII.4. STANDARDY JAKOŚCIOWE OBSŁUGI UŻYTKOWNIKÓW SYSTEMU</w:t>
        </w:r>
        <w:r w:rsidR="0006212C">
          <w:rPr>
            <w:noProof/>
            <w:webHidden/>
          </w:rPr>
          <w:tab/>
        </w:r>
        <w:r w:rsidR="0006212C">
          <w:rPr>
            <w:noProof/>
            <w:webHidden/>
          </w:rPr>
          <w:fldChar w:fldCharType="begin"/>
        </w:r>
        <w:r w:rsidR="0006212C">
          <w:rPr>
            <w:noProof/>
            <w:webHidden/>
          </w:rPr>
          <w:instrText xml:space="preserve"> PAGEREF _Toc141963905 \h </w:instrText>
        </w:r>
        <w:r w:rsidR="0006212C">
          <w:rPr>
            <w:noProof/>
            <w:webHidden/>
          </w:rPr>
        </w:r>
        <w:r w:rsidR="0006212C">
          <w:rPr>
            <w:noProof/>
            <w:webHidden/>
          </w:rPr>
          <w:fldChar w:fldCharType="separate"/>
        </w:r>
        <w:r w:rsidR="004B5298">
          <w:rPr>
            <w:noProof/>
            <w:webHidden/>
          </w:rPr>
          <w:t>85</w:t>
        </w:r>
        <w:r w:rsidR="0006212C">
          <w:rPr>
            <w:noProof/>
            <w:webHidden/>
          </w:rPr>
          <w:fldChar w:fldCharType="end"/>
        </w:r>
      </w:hyperlink>
    </w:p>
    <w:p w14:paraId="31429467" w14:textId="2621E93B"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06" w:history="1">
        <w:r w:rsidR="0006212C" w:rsidRPr="00343A5D">
          <w:rPr>
            <w:rStyle w:val="Hipercze"/>
            <w:noProof/>
          </w:rPr>
          <w:t>BILANSOWANIE SYSTEMU DYSTRYBUCYJNEGO  I ZARZĄDZANIE OGRANICZENIAMI SYSTEMOWYMI</w:t>
        </w:r>
        <w:r w:rsidR="0006212C">
          <w:rPr>
            <w:noProof/>
            <w:webHidden/>
          </w:rPr>
          <w:tab/>
        </w:r>
        <w:r w:rsidR="0006212C">
          <w:rPr>
            <w:noProof/>
            <w:webHidden/>
          </w:rPr>
          <w:fldChar w:fldCharType="begin"/>
        </w:r>
        <w:r w:rsidR="0006212C">
          <w:rPr>
            <w:noProof/>
            <w:webHidden/>
          </w:rPr>
          <w:instrText xml:space="preserve"> PAGEREF _Toc141963906 \h </w:instrText>
        </w:r>
        <w:r w:rsidR="0006212C">
          <w:rPr>
            <w:noProof/>
            <w:webHidden/>
          </w:rPr>
        </w:r>
        <w:r w:rsidR="0006212C">
          <w:rPr>
            <w:noProof/>
            <w:webHidden/>
          </w:rPr>
          <w:fldChar w:fldCharType="separate"/>
        </w:r>
        <w:r w:rsidR="004B5298">
          <w:rPr>
            <w:noProof/>
            <w:webHidden/>
          </w:rPr>
          <w:t>88</w:t>
        </w:r>
        <w:r w:rsidR="0006212C">
          <w:rPr>
            <w:noProof/>
            <w:webHidden/>
          </w:rPr>
          <w:fldChar w:fldCharType="end"/>
        </w:r>
      </w:hyperlink>
    </w:p>
    <w:p w14:paraId="6243F0A2" w14:textId="794B5F76"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07" w:history="1">
        <w:r w:rsidR="0006212C" w:rsidRPr="00343A5D">
          <w:rPr>
            <w:rStyle w:val="Hipercze"/>
            <w:noProof/>
          </w:rPr>
          <w:t>A. POSTANOWIENIA WSTĘPNE</w:t>
        </w:r>
        <w:r w:rsidR="0006212C">
          <w:rPr>
            <w:noProof/>
            <w:webHidden/>
          </w:rPr>
          <w:tab/>
        </w:r>
        <w:r w:rsidR="0006212C">
          <w:rPr>
            <w:noProof/>
            <w:webHidden/>
          </w:rPr>
          <w:fldChar w:fldCharType="begin"/>
        </w:r>
        <w:r w:rsidR="0006212C">
          <w:rPr>
            <w:noProof/>
            <w:webHidden/>
          </w:rPr>
          <w:instrText xml:space="preserve"> PAGEREF _Toc141963907 \h </w:instrText>
        </w:r>
        <w:r w:rsidR="0006212C">
          <w:rPr>
            <w:noProof/>
            <w:webHidden/>
          </w:rPr>
        </w:r>
        <w:r w:rsidR="0006212C">
          <w:rPr>
            <w:noProof/>
            <w:webHidden/>
          </w:rPr>
          <w:fldChar w:fldCharType="separate"/>
        </w:r>
        <w:r w:rsidR="004B5298">
          <w:rPr>
            <w:noProof/>
            <w:webHidden/>
          </w:rPr>
          <w:t>89</w:t>
        </w:r>
        <w:r w:rsidR="0006212C">
          <w:rPr>
            <w:noProof/>
            <w:webHidden/>
          </w:rPr>
          <w:fldChar w:fldCharType="end"/>
        </w:r>
      </w:hyperlink>
    </w:p>
    <w:p w14:paraId="6373600D" w14:textId="46E41E40"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08" w:history="1">
        <w:r w:rsidR="0006212C" w:rsidRPr="00343A5D">
          <w:rPr>
            <w:rStyle w:val="Hipercze"/>
            <w:noProof/>
          </w:rPr>
          <w:t>A.1.</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UWARUNKOWANIA FORMALNO-PRAWNE</w:t>
        </w:r>
        <w:r w:rsidR="0006212C">
          <w:rPr>
            <w:noProof/>
            <w:webHidden/>
          </w:rPr>
          <w:tab/>
        </w:r>
        <w:r w:rsidR="0006212C">
          <w:rPr>
            <w:noProof/>
            <w:webHidden/>
          </w:rPr>
          <w:fldChar w:fldCharType="begin"/>
        </w:r>
        <w:r w:rsidR="0006212C">
          <w:rPr>
            <w:noProof/>
            <w:webHidden/>
          </w:rPr>
          <w:instrText xml:space="preserve"> PAGEREF _Toc141963908 \h </w:instrText>
        </w:r>
        <w:r w:rsidR="0006212C">
          <w:rPr>
            <w:noProof/>
            <w:webHidden/>
          </w:rPr>
        </w:r>
        <w:r w:rsidR="0006212C">
          <w:rPr>
            <w:noProof/>
            <w:webHidden/>
          </w:rPr>
          <w:fldChar w:fldCharType="separate"/>
        </w:r>
        <w:r w:rsidR="004B5298">
          <w:rPr>
            <w:noProof/>
            <w:webHidden/>
          </w:rPr>
          <w:t>89</w:t>
        </w:r>
        <w:r w:rsidR="0006212C">
          <w:rPr>
            <w:noProof/>
            <w:webHidden/>
          </w:rPr>
          <w:fldChar w:fldCharType="end"/>
        </w:r>
      </w:hyperlink>
    </w:p>
    <w:p w14:paraId="5C38AD76" w14:textId="3B6188FC"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09" w:history="1">
        <w:r w:rsidR="0006212C" w:rsidRPr="00343A5D">
          <w:rPr>
            <w:rStyle w:val="Hipercze"/>
            <w:noProof/>
          </w:rPr>
          <w:t>A.2.</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ZAKRES PRZEDMIOTOWY I PODMIOTOWY</w:t>
        </w:r>
        <w:r w:rsidR="0006212C">
          <w:rPr>
            <w:noProof/>
            <w:webHidden/>
          </w:rPr>
          <w:tab/>
        </w:r>
        <w:r w:rsidR="0006212C">
          <w:rPr>
            <w:noProof/>
            <w:webHidden/>
          </w:rPr>
          <w:fldChar w:fldCharType="begin"/>
        </w:r>
        <w:r w:rsidR="0006212C">
          <w:rPr>
            <w:noProof/>
            <w:webHidden/>
          </w:rPr>
          <w:instrText xml:space="preserve"> PAGEREF _Toc141963909 \h </w:instrText>
        </w:r>
        <w:r w:rsidR="0006212C">
          <w:rPr>
            <w:noProof/>
            <w:webHidden/>
          </w:rPr>
        </w:r>
        <w:r w:rsidR="0006212C">
          <w:rPr>
            <w:noProof/>
            <w:webHidden/>
          </w:rPr>
          <w:fldChar w:fldCharType="separate"/>
        </w:r>
        <w:r w:rsidR="004B5298">
          <w:rPr>
            <w:noProof/>
            <w:webHidden/>
          </w:rPr>
          <w:t>90</w:t>
        </w:r>
        <w:r w:rsidR="0006212C">
          <w:rPr>
            <w:noProof/>
            <w:webHidden/>
          </w:rPr>
          <w:fldChar w:fldCharType="end"/>
        </w:r>
      </w:hyperlink>
    </w:p>
    <w:p w14:paraId="05636070" w14:textId="1A46C770"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10" w:history="1">
        <w:r w:rsidR="0006212C" w:rsidRPr="00343A5D">
          <w:rPr>
            <w:rStyle w:val="Hipercze"/>
            <w:noProof/>
          </w:rPr>
          <w:t>A.3. OGÓLNE ZASADY FUNKCJONOWANIA RYNKU BILANSUJĄCEGO  I DETALICZNEGO</w:t>
        </w:r>
        <w:r w:rsidR="0006212C">
          <w:rPr>
            <w:noProof/>
            <w:webHidden/>
          </w:rPr>
          <w:tab/>
        </w:r>
        <w:r w:rsidR="0006212C">
          <w:rPr>
            <w:noProof/>
            <w:webHidden/>
          </w:rPr>
          <w:fldChar w:fldCharType="begin"/>
        </w:r>
        <w:r w:rsidR="0006212C">
          <w:rPr>
            <w:noProof/>
            <w:webHidden/>
          </w:rPr>
          <w:instrText xml:space="preserve"> PAGEREF _Toc141963910 \h </w:instrText>
        </w:r>
        <w:r w:rsidR="0006212C">
          <w:rPr>
            <w:noProof/>
            <w:webHidden/>
          </w:rPr>
        </w:r>
        <w:r w:rsidR="0006212C">
          <w:rPr>
            <w:noProof/>
            <w:webHidden/>
          </w:rPr>
          <w:fldChar w:fldCharType="separate"/>
        </w:r>
        <w:r w:rsidR="004B5298">
          <w:rPr>
            <w:noProof/>
            <w:webHidden/>
          </w:rPr>
          <w:t>91</w:t>
        </w:r>
        <w:r w:rsidR="0006212C">
          <w:rPr>
            <w:noProof/>
            <w:webHidden/>
          </w:rPr>
          <w:fldChar w:fldCharType="end"/>
        </w:r>
      </w:hyperlink>
    </w:p>
    <w:p w14:paraId="507750A0" w14:textId="34B65981"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11" w:history="1">
        <w:r w:rsidR="0006212C" w:rsidRPr="00343A5D">
          <w:rPr>
            <w:rStyle w:val="Hipercze"/>
            <w:noProof/>
          </w:rPr>
          <w:t>A.4.</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WARUNKI REALIZACJI UMÓW SPRZEDAŻY ORAZ UMÓW KOMPLEKSOWYCH I UCZESTNICTWA W PROCESIE BILANSOWANIA</w:t>
        </w:r>
        <w:r w:rsidR="0006212C">
          <w:rPr>
            <w:noProof/>
            <w:webHidden/>
          </w:rPr>
          <w:tab/>
        </w:r>
        <w:r w:rsidR="0006212C">
          <w:rPr>
            <w:noProof/>
            <w:webHidden/>
          </w:rPr>
          <w:fldChar w:fldCharType="begin"/>
        </w:r>
        <w:r w:rsidR="0006212C">
          <w:rPr>
            <w:noProof/>
            <w:webHidden/>
          </w:rPr>
          <w:instrText xml:space="preserve"> PAGEREF _Toc141963911 \h </w:instrText>
        </w:r>
        <w:r w:rsidR="0006212C">
          <w:rPr>
            <w:noProof/>
            <w:webHidden/>
          </w:rPr>
        </w:r>
        <w:r w:rsidR="0006212C">
          <w:rPr>
            <w:noProof/>
            <w:webHidden/>
          </w:rPr>
          <w:fldChar w:fldCharType="separate"/>
        </w:r>
        <w:r w:rsidR="004B5298">
          <w:rPr>
            <w:noProof/>
            <w:webHidden/>
          </w:rPr>
          <w:t>93</w:t>
        </w:r>
        <w:r w:rsidR="0006212C">
          <w:rPr>
            <w:noProof/>
            <w:webHidden/>
          </w:rPr>
          <w:fldChar w:fldCharType="end"/>
        </w:r>
      </w:hyperlink>
    </w:p>
    <w:p w14:paraId="0C5CDCD9" w14:textId="233D6837"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12" w:history="1">
        <w:r w:rsidR="0006212C" w:rsidRPr="00343A5D">
          <w:rPr>
            <w:rStyle w:val="Hipercze"/>
            <w:noProof/>
          </w:rPr>
          <w:t>A.5.</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ZASADY KONFIGURACJI PODMIOTOWEJ I OBIEKTOWEJ RYNKU DETALICZNEGO ORAZ NADAWANIA KODÓW IDENTYFIKACYJNYCH</w:t>
        </w:r>
        <w:r w:rsidR="0006212C">
          <w:rPr>
            <w:noProof/>
            <w:webHidden/>
          </w:rPr>
          <w:tab/>
        </w:r>
        <w:r w:rsidR="0006212C">
          <w:rPr>
            <w:noProof/>
            <w:webHidden/>
          </w:rPr>
          <w:fldChar w:fldCharType="begin"/>
        </w:r>
        <w:r w:rsidR="0006212C">
          <w:rPr>
            <w:noProof/>
            <w:webHidden/>
          </w:rPr>
          <w:instrText xml:space="preserve"> PAGEREF _Toc141963912 \h </w:instrText>
        </w:r>
        <w:r w:rsidR="0006212C">
          <w:rPr>
            <w:noProof/>
            <w:webHidden/>
          </w:rPr>
        </w:r>
        <w:r w:rsidR="0006212C">
          <w:rPr>
            <w:noProof/>
            <w:webHidden/>
          </w:rPr>
          <w:fldChar w:fldCharType="separate"/>
        </w:r>
        <w:r w:rsidR="004B5298">
          <w:rPr>
            <w:noProof/>
            <w:webHidden/>
          </w:rPr>
          <w:t>97</w:t>
        </w:r>
        <w:r w:rsidR="0006212C">
          <w:rPr>
            <w:noProof/>
            <w:webHidden/>
          </w:rPr>
          <w:fldChar w:fldCharType="end"/>
        </w:r>
      </w:hyperlink>
    </w:p>
    <w:p w14:paraId="619138B0" w14:textId="2A64024D"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13" w:history="1">
        <w:r w:rsidR="0006212C" w:rsidRPr="00343A5D">
          <w:rPr>
            <w:rStyle w:val="Hipercze"/>
            <w:noProof/>
          </w:rPr>
          <w:t>A.6.</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ZASADY WSPÓŁPRACY OSDn Z OSDp W ZAKRESIE PRZEKAZYWANIA DANYCH POMIAROWYCH</w:t>
        </w:r>
        <w:r w:rsidR="0006212C">
          <w:rPr>
            <w:noProof/>
            <w:webHidden/>
          </w:rPr>
          <w:tab/>
        </w:r>
        <w:r w:rsidR="0006212C">
          <w:rPr>
            <w:noProof/>
            <w:webHidden/>
          </w:rPr>
          <w:fldChar w:fldCharType="begin"/>
        </w:r>
        <w:r w:rsidR="0006212C">
          <w:rPr>
            <w:noProof/>
            <w:webHidden/>
          </w:rPr>
          <w:instrText xml:space="preserve"> PAGEREF _Toc141963913 \h </w:instrText>
        </w:r>
        <w:r w:rsidR="0006212C">
          <w:rPr>
            <w:noProof/>
            <w:webHidden/>
          </w:rPr>
        </w:r>
        <w:r w:rsidR="0006212C">
          <w:rPr>
            <w:noProof/>
            <w:webHidden/>
          </w:rPr>
          <w:fldChar w:fldCharType="separate"/>
        </w:r>
        <w:r w:rsidR="004B5298">
          <w:rPr>
            <w:noProof/>
            <w:webHidden/>
          </w:rPr>
          <w:t>99</w:t>
        </w:r>
        <w:r w:rsidR="0006212C">
          <w:rPr>
            <w:noProof/>
            <w:webHidden/>
          </w:rPr>
          <w:fldChar w:fldCharType="end"/>
        </w:r>
      </w:hyperlink>
    </w:p>
    <w:p w14:paraId="1B389932" w14:textId="2C12F93F"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14" w:history="1">
        <w:r w:rsidR="0006212C" w:rsidRPr="00343A5D">
          <w:rPr>
            <w:rStyle w:val="Hipercze"/>
            <w:noProof/>
          </w:rPr>
          <w:t>A.7. ZASADY SPRZEDAŻY REZERWOWEJ DLA URD KTÓRZY MAJĄ ZAWARTE UMOWY KOMPLEKSOWE</w:t>
        </w:r>
        <w:r w:rsidR="0006212C">
          <w:rPr>
            <w:noProof/>
            <w:webHidden/>
          </w:rPr>
          <w:tab/>
        </w:r>
        <w:r w:rsidR="0006212C">
          <w:rPr>
            <w:noProof/>
            <w:webHidden/>
          </w:rPr>
          <w:fldChar w:fldCharType="begin"/>
        </w:r>
        <w:r w:rsidR="0006212C">
          <w:rPr>
            <w:noProof/>
            <w:webHidden/>
          </w:rPr>
          <w:instrText xml:space="preserve"> PAGEREF _Toc141963914 \h </w:instrText>
        </w:r>
        <w:r w:rsidR="0006212C">
          <w:rPr>
            <w:noProof/>
            <w:webHidden/>
          </w:rPr>
        </w:r>
        <w:r w:rsidR="0006212C">
          <w:rPr>
            <w:noProof/>
            <w:webHidden/>
          </w:rPr>
          <w:fldChar w:fldCharType="separate"/>
        </w:r>
        <w:r w:rsidR="004B5298">
          <w:rPr>
            <w:noProof/>
            <w:webHidden/>
          </w:rPr>
          <w:t>103</w:t>
        </w:r>
        <w:r w:rsidR="0006212C">
          <w:rPr>
            <w:noProof/>
            <w:webHidden/>
          </w:rPr>
          <w:fldChar w:fldCharType="end"/>
        </w:r>
      </w:hyperlink>
    </w:p>
    <w:p w14:paraId="6559E429" w14:textId="23B342DC"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15" w:history="1">
        <w:r w:rsidR="0006212C" w:rsidRPr="00343A5D">
          <w:rPr>
            <w:rStyle w:val="Hipercze"/>
            <w:noProof/>
          </w:rPr>
          <w:t>A.8.</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ZASADY REZERWOWEJ SPRZEDAŻY ENERGII ELEKTRYCZNEJ DLA URD KTÓRZY MAJĄ ZAWARTE UMOWY DYSTRYBUCJI</w:t>
        </w:r>
        <w:r w:rsidR="0006212C">
          <w:rPr>
            <w:noProof/>
            <w:webHidden/>
          </w:rPr>
          <w:tab/>
        </w:r>
        <w:r w:rsidR="0006212C">
          <w:rPr>
            <w:noProof/>
            <w:webHidden/>
          </w:rPr>
          <w:fldChar w:fldCharType="begin"/>
        </w:r>
        <w:r w:rsidR="0006212C">
          <w:rPr>
            <w:noProof/>
            <w:webHidden/>
          </w:rPr>
          <w:instrText xml:space="preserve"> PAGEREF _Toc141963915 \h </w:instrText>
        </w:r>
        <w:r w:rsidR="0006212C">
          <w:rPr>
            <w:noProof/>
            <w:webHidden/>
          </w:rPr>
        </w:r>
        <w:r w:rsidR="0006212C">
          <w:rPr>
            <w:noProof/>
            <w:webHidden/>
          </w:rPr>
          <w:fldChar w:fldCharType="separate"/>
        </w:r>
        <w:r w:rsidR="004B5298">
          <w:rPr>
            <w:noProof/>
            <w:webHidden/>
          </w:rPr>
          <w:t>106</w:t>
        </w:r>
        <w:r w:rsidR="0006212C">
          <w:rPr>
            <w:noProof/>
            <w:webHidden/>
          </w:rPr>
          <w:fldChar w:fldCharType="end"/>
        </w:r>
      </w:hyperlink>
    </w:p>
    <w:p w14:paraId="4492E04C" w14:textId="604BC330"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16" w:history="1">
        <w:r w:rsidR="0006212C" w:rsidRPr="00343A5D">
          <w:rPr>
            <w:rStyle w:val="Hipercze"/>
            <w:noProof/>
          </w:rPr>
          <w:t>A.9.</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ZASADY WYMIANY INFORMACJI</w:t>
        </w:r>
        <w:r w:rsidR="0006212C">
          <w:rPr>
            <w:noProof/>
            <w:webHidden/>
          </w:rPr>
          <w:tab/>
        </w:r>
        <w:r w:rsidR="0006212C">
          <w:rPr>
            <w:noProof/>
            <w:webHidden/>
          </w:rPr>
          <w:fldChar w:fldCharType="begin"/>
        </w:r>
        <w:r w:rsidR="0006212C">
          <w:rPr>
            <w:noProof/>
            <w:webHidden/>
          </w:rPr>
          <w:instrText xml:space="preserve"> PAGEREF _Toc141963916 \h </w:instrText>
        </w:r>
        <w:r w:rsidR="0006212C">
          <w:rPr>
            <w:noProof/>
            <w:webHidden/>
          </w:rPr>
        </w:r>
        <w:r w:rsidR="0006212C">
          <w:rPr>
            <w:noProof/>
            <w:webHidden/>
          </w:rPr>
          <w:fldChar w:fldCharType="separate"/>
        </w:r>
        <w:r w:rsidR="004B5298">
          <w:rPr>
            <w:noProof/>
            <w:webHidden/>
          </w:rPr>
          <w:t>109</w:t>
        </w:r>
        <w:r w:rsidR="0006212C">
          <w:rPr>
            <w:noProof/>
            <w:webHidden/>
          </w:rPr>
          <w:fldChar w:fldCharType="end"/>
        </w:r>
      </w:hyperlink>
    </w:p>
    <w:p w14:paraId="51B3908F" w14:textId="779ED3F9"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17" w:history="1">
        <w:r w:rsidR="0006212C" w:rsidRPr="00343A5D">
          <w:rPr>
            <w:rStyle w:val="Hipercze"/>
            <w:noProof/>
          </w:rPr>
          <w:t>A.10.</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ZASADY WSPÓŁPRACY DOTYCZĄCE REGULACYJNYCH USŁUG SYSTEMOWYCH W ZAKRESIE REZERWY INTERWENCYJNEJ</w:t>
        </w:r>
        <w:r w:rsidR="0006212C">
          <w:rPr>
            <w:noProof/>
            <w:webHidden/>
          </w:rPr>
          <w:tab/>
        </w:r>
        <w:r w:rsidR="0006212C">
          <w:rPr>
            <w:noProof/>
            <w:webHidden/>
          </w:rPr>
          <w:fldChar w:fldCharType="begin"/>
        </w:r>
        <w:r w:rsidR="0006212C">
          <w:rPr>
            <w:noProof/>
            <w:webHidden/>
          </w:rPr>
          <w:instrText xml:space="preserve"> PAGEREF _Toc141963917 \h </w:instrText>
        </w:r>
        <w:r w:rsidR="0006212C">
          <w:rPr>
            <w:noProof/>
            <w:webHidden/>
          </w:rPr>
        </w:r>
        <w:r w:rsidR="0006212C">
          <w:rPr>
            <w:noProof/>
            <w:webHidden/>
          </w:rPr>
          <w:fldChar w:fldCharType="separate"/>
        </w:r>
        <w:r w:rsidR="004B5298">
          <w:rPr>
            <w:noProof/>
            <w:webHidden/>
          </w:rPr>
          <w:t>110</w:t>
        </w:r>
        <w:r w:rsidR="0006212C">
          <w:rPr>
            <w:noProof/>
            <w:webHidden/>
          </w:rPr>
          <w:fldChar w:fldCharType="end"/>
        </w:r>
      </w:hyperlink>
    </w:p>
    <w:p w14:paraId="70BDACB1" w14:textId="0C553C56"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18" w:history="1">
        <w:r w:rsidR="0006212C" w:rsidRPr="00343A5D">
          <w:rPr>
            <w:rStyle w:val="Hipercze"/>
            <w:noProof/>
          </w:rPr>
          <w:t>B.</w:t>
        </w:r>
        <w:r w:rsidR="0006212C">
          <w:rPr>
            <w:rFonts w:asciiTheme="minorHAnsi" w:eastAsiaTheme="minorEastAsia" w:hAnsiTheme="minorHAnsi" w:cstheme="minorBidi"/>
            <w:noProof/>
            <w:color w:val="auto"/>
            <w:kern w:val="2"/>
            <w:sz w:val="22"/>
            <w:szCs w:val="22"/>
            <w14:ligatures w14:val="standardContextual"/>
          </w:rPr>
          <w:tab/>
        </w:r>
        <w:r w:rsidR="0006212C" w:rsidRPr="00343A5D">
          <w:rPr>
            <w:rStyle w:val="Hipercze"/>
            <w:noProof/>
          </w:rPr>
          <w:t>ZASADY ZAWIERANIA UMÓW DYSTRYBUCJI Z URD</w:t>
        </w:r>
        <w:r w:rsidR="0006212C">
          <w:rPr>
            <w:noProof/>
            <w:webHidden/>
          </w:rPr>
          <w:tab/>
        </w:r>
        <w:r w:rsidR="0006212C">
          <w:rPr>
            <w:noProof/>
            <w:webHidden/>
          </w:rPr>
          <w:fldChar w:fldCharType="begin"/>
        </w:r>
        <w:r w:rsidR="0006212C">
          <w:rPr>
            <w:noProof/>
            <w:webHidden/>
          </w:rPr>
          <w:instrText xml:space="preserve"> PAGEREF _Toc141963918 \h </w:instrText>
        </w:r>
        <w:r w:rsidR="0006212C">
          <w:rPr>
            <w:noProof/>
            <w:webHidden/>
          </w:rPr>
        </w:r>
        <w:r w:rsidR="0006212C">
          <w:rPr>
            <w:noProof/>
            <w:webHidden/>
          </w:rPr>
          <w:fldChar w:fldCharType="separate"/>
        </w:r>
        <w:r w:rsidR="004B5298">
          <w:rPr>
            <w:noProof/>
            <w:webHidden/>
          </w:rPr>
          <w:t>121</w:t>
        </w:r>
        <w:r w:rsidR="0006212C">
          <w:rPr>
            <w:noProof/>
            <w:webHidden/>
          </w:rPr>
          <w:fldChar w:fldCharType="end"/>
        </w:r>
      </w:hyperlink>
    </w:p>
    <w:p w14:paraId="3796EDF9" w14:textId="23513797"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19" w:history="1">
        <w:r w:rsidR="0006212C" w:rsidRPr="00343A5D">
          <w:rPr>
            <w:rStyle w:val="Hipercze"/>
            <w:noProof/>
          </w:rPr>
          <w:t>C.</w:t>
        </w:r>
        <w:r w:rsidR="0006212C">
          <w:rPr>
            <w:rFonts w:asciiTheme="minorHAnsi" w:eastAsiaTheme="minorEastAsia" w:hAnsiTheme="minorHAnsi" w:cstheme="minorBidi"/>
            <w:noProof/>
            <w:color w:val="auto"/>
            <w:kern w:val="2"/>
            <w:sz w:val="22"/>
            <w:szCs w:val="22"/>
            <w14:ligatures w14:val="standardContextual"/>
          </w:rPr>
          <w:tab/>
        </w:r>
        <w:r w:rsidR="0006212C" w:rsidRPr="00343A5D">
          <w:rPr>
            <w:rStyle w:val="Hipercze"/>
            <w:noProof/>
          </w:rPr>
          <w:t>ZASADY WYZNACZANIA, PRZEKAZYWANIA  I UDOSTĘPNIANIA DANYCH POMIAROWYCH</w:t>
        </w:r>
        <w:r w:rsidR="0006212C">
          <w:rPr>
            <w:noProof/>
            <w:webHidden/>
          </w:rPr>
          <w:tab/>
        </w:r>
        <w:r w:rsidR="0006212C">
          <w:rPr>
            <w:noProof/>
            <w:webHidden/>
          </w:rPr>
          <w:fldChar w:fldCharType="begin"/>
        </w:r>
        <w:r w:rsidR="0006212C">
          <w:rPr>
            <w:noProof/>
            <w:webHidden/>
          </w:rPr>
          <w:instrText xml:space="preserve"> PAGEREF _Toc141963919 \h </w:instrText>
        </w:r>
        <w:r w:rsidR="0006212C">
          <w:rPr>
            <w:noProof/>
            <w:webHidden/>
          </w:rPr>
        </w:r>
        <w:r w:rsidR="0006212C">
          <w:rPr>
            <w:noProof/>
            <w:webHidden/>
          </w:rPr>
          <w:fldChar w:fldCharType="separate"/>
        </w:r>
        <w:r w:rsidR="004B5298">
          <w:rPr>
            <w:noProof/>
            <w:webHidden/>
          </w:rPr>
          <w:t>123</w:t>
        </w:r>
        <w:r w:rsidR="0006212C">
          <w:rPr>
            <w:noProof/>
            <w:webHidden/>
          </w:rPr>
          <w:fldChar w:fldCharType="end"/>
        </w:r>
      </w:hyperlink>
    </w:p>
    <w:p w14:paraId="3434440C" w14:textId="72893639"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20" w:history="1">
        <w:r w:rsidR="0006212C" w:rsidRPr="00343A5D">
          <w:rPr>
            <w:rStyle w:val="Hipercze"/>
            <w:noProof/>
          </w:rPr>
          <w:t>D. PROCEDURA ZMIANY SPRZEDAWCY ORAZ ZASADY UDZIELANIA INFORMACJI I OBSŁUGI ODBIORCÓW</w:t>
        </w:r>
        <w:r w:rsidR="0006212C">
          <w:rPr>
            <w:noProof/>
            <w:webHidden/>
          </w:rPr>
          <w:tab/>
        </w:r>
        <w:r w:rsidR="0006212C">
          <w:rPr>
            <w:noProof/>
            <w:webHidden/>
          </w:rPr>
          <w:fldChar w:fldCharType="begin"/>
        </w:r>
        <w:r w:rsidR="0006212C">
          <w:rPr>
            <w:noProof/>
            <w:webHidden/>
          </w:rPr>
          <w:instrText xml:space="preserve"> PAGEREF _Toc141963920 \h </w:instrText>
        </w:r>
        <w:r w:rsidR="0006212C">
          <w:rPr>
            <w:noProof/>
            <w:webHidden/>
          </w:rPr>
        </w:r>
        <w:r w:rsidR="0006212C">
          <w:rPr>
            <w:noProof/>
            <w:webHidden/>
          </w:rPr>
          <w:fldChar w:fldCharType="separate"/>
        </w:r>
        <w:r w:rsidR="004B5298">
          <w:rPr>
            <w:noProof/>
            <w:webHidden/>
          </w:rPr>
          <w:t>128</w:t>
        </w:r>
        <w:r w:rsidR="0006212C">
          <w:rPr>
            <w:noProof/>
            <w:webHidden/>
          </w:rPr>
          <w:fldChar w:fldCharType="end"/>
        </w:r>
      </w:hyperlink>
    </w:p>
    <w:p w14:paraId="54234AFD" w14:textId="291E0422"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21" w:history="1">
        <w:r w:rsidR="0006212C" w:rsidRPr="00343A5D">
          <w:rPr>
            <w:rStyle w:val="Hipercze"/>
            <w:noProof/>
          </w:rPr>
          <w:t>D.1.</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 xml:space="preserve"> WYMAGANIA OGÓLNE</w:t>
        </w:r>
        <w:r w:rsidR="0006212C">
          <w:rPr>
            <w:noProof/>
            <w:webHidden/>
          </w:rPr>
          <w:tab/>
        </w:r>
        <w:r w:rsidR="0006212C">
          <w:rPr>
            <w:noProof/>
            <w:webHidden/>
          </w:rPr>
          <w:fldChar w:fldCharType="begin"/>
        </w:r>
        <w:r w:rsidR="0006212C">
          <w:rPr>
            <w:noProof/>
            <w:webHidden/>
          </w:rPr>
          <w:instrText xml:space="preserve"> PAGEREF _Toc141963921 \h </w:instrText>
        </w:r>
        <w:r w:rsidR="0006212C">
          <w:rPr>
            <w:noProof/>
            <w:webHidden/>
          </w:rPr>
        </w:r>
        <w:r w:rsidR="0006212C">
          <w:rPr>
            <w:noProof/>
            <w:webHidden/>
          </w:rPr>
          <w:fldChar w:fldCharType="separate"/>
        </w:r>
        <w:r w:rsidR="004B5298">
          <w:rPr>
            <w:noProof/>
            <w:webHidden/>
          </w:rPr>
          <w:t>128</w:t>
        </w:r>
        <w:r w:rsidR="0006212C">
          <w:rPr>
            <w:noProof/>
            <w:webHidden/>
          </w:rPr>
          <w:fldChar w:fldCharType="end"/>
        </w:r>
      </w:hyperlink>
    </w:p>
    <w:p w14:paraId="6900A273" w14:textId="07C81A73"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22" w:history="1">
        <w:r w:rsidR="0006212C" w:rsidRPr="00343A5D">
          <w:rPr>
            <w:rStyle w:val="Hipercze"/>
            <w:noProof/>
          </w:rPr>
          <w:t>D.2.</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ZASADY POWIADAMIANIA O ZAWARTYCH UMOWACH SPRZEDAŻY ENERGII ELEKTRYCZNEJ</w:t>
        </w:r>
        <w:r w:rsidR="0006212C">
          <w:rPr>
            <w:noProof/>
            <w:webHidden/>
          </w:rPr>
          <w:tab/>
        </w:r>
        <w:r w:rsidR="0006212C">
          <w:rPr>
            <w:noProof/>
            <w:webHidden/>
          </w:rPr>
          <w:fldChar w:fldCharType="begin"/>
        </w:r>
        <w:r w:rsidR="0006212C">
          <w:rPr>
            <w:noProof/>
            <w:webHidden/>
          </w:rPr>
          <w:instrText xml:space="preserve"> PAGEREF _Toc141963922 \h </w:instrText>
        </w:r>
        <w:r w:rsidR="0006212C">
          <w:rPr>
            <w:noProof/>
            <w:webHidden/>
          </w:rPr>
        </w:r>
        <w:r w:rsidR="0006212C">
          <w:rPr>
            <w:noProof/>
            <w:webHidden/>
          </w:rPr>
          <w:fldChar w:fldCharType="separate"/>
        </w:r>
        <w:r w:rsidR="004B5298">
          <w:rPr>
            <w:noProof/>
            <w:webHidden/>
          </w:rPr>
          <w:t>129</w:t>
        </w:r>
        <w:r w:rsidR="0006212C">
          <w:rPr>
            <w:noProof/>
            <w:webHidden/>
          </w:rPr>
          <w:fldChar w:fldCharType="end"/>
        </w:r>
      </w:hyperlink>
    </w:p>
    <w:p w14:paraId="58650E1C" w14:textId="26652DC4"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23" w:history="1">
        <w:r w:rsidR="0006212C" w:rsidRPr="00343A5D">
          <w:rPr>
            <w:rStyle w:val="Hipercze"/>
            <w:noProof/>
          </w:rPr>
          <w:t>D.3.</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PROCEDURA ZMIANY SPRZEDAWCY PRZEZ URDo</w:t>
        </w:r>
        <w:r w:rsidR="0006212C">
          <w:rPr>
            <w:noProof/>
            <w:webHidden/>
          </w:rPr>
          <w:tab/>
        </w:r>
        <w:r w:rsidR="0006212C">
          <w:rPr>
            <w:noProof/>
            <w:webHidden/>
          </w:rPr>
          <w:fldChar w:fldCharType="begin"/>
        </w:r>
        <w:r w:rsidR="0006212C">
          <w:rPr>
            <w:noProof/>
            <w:webHidden/>
          </w:rPr>
          <w:instrText xml:space="preserve"> PAGEREF _Toc141963923 \h </w:instrText>
        </w:r>
        <w:r w:rsidR="0006212C">
          <w:rPr>
            <w:noProof/>
            <w:webHidden/>
          </w:rPr>
        </w:r>
        <w:r w:rsidR="0006212C">
          <w:rPr>
            <w:noProof/>
            <w:webHidden/>
          </w:rPr>
          <w:fldChar w:fldCharType="separate"/>
        </w:r>
        <w:r w:rsidR="004B5298">
          <w:rPr>
            <w:noProof/>
            <w:webHidden/>
          </w:rPr>
          <w:t>131</w:t>
        </w:r>
        <w:r w:rsidR="0006212C">
          <w:rPr>
            <w:noProof/>
            <w:webHidden/>
          </w:rPr>
          <w:fldChar w:fldCharType="end"/>
        </w:r>
      </w:hyperlink>
    </w:p>
    <w:p w14:paraId="37DB3D6F" w14:textId="266DD9B9"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24" w:history="1">
        <w:r w:rsidR="0006212C" w:rsidRPr="00343A5D">
          <w:rPr>
            <w:rStyle w:val="Hipercze"/>
            <w:noProof/>
          </w:rPr>
          <w:t>D.4.</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ZASADY UDZIELANIA INFORMACJI I OBSŁUGI ODBIORCÓW</w:t>
        </w:r>
        <w:r w:rsidR="0006212C">
          <w:rPr>
            <w:noProof/>
            <w:webHidden/>
          </w:rPr>
          <w:tab/>
        </w:r>
        <w:r w:rsidR="0006212C">
          <w:rPr>
            <w:noProof/>
            <w:webHidden/>
          </w:rPr>
          <w:fldChar w:fldCharType="begin"/>
        </w:r>
        <w:r w:rsidR="0006212C">
          <w:rPr>
            <w:noProof/>
            <w:webHidden/>
          </w:rPr>
          <w:instrText xml:space="preserve"> PAGEREF _Toc141963924 \h </w:instrText>
        </w:r>
        <w:r w:rsidR="0006212C">
          <w:rPr>
            <w:noProof/>
            <w:webHidden/>
          </w:rPr>
        </w:r>
        <w:r w:rsidR="0006212C">
          <w:rPr>
            <w:noProof/>
            <w:webHidden/>
          </w:rPr>
          <w:fldChar w:fldCharType="separate"/>
        </w:r>
        <w:r w:rsidR="004B5298">
          <w:rPr>
            <w:noProof/>
            <w:webHidden/>
          </w:rPr>
          <w:t>132</w:t>
        </w:r>
        <w:r w:rsidR="0006212C">
          <w:rPr>
            <w:noProof/>
            <w:webHidden/>
          </w:rPr>
          <w:fldChar w:fldCharType="end"/>
        </w:r>
      </w:hyperlink>
    </w:p>
    <w:p w14:paraId="70D0AF6D" w14:textId="2AE4681A"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25" w:history="1">
        <w:r w:rsidR="0006212C" w:rsidRPr="00343A5D">
          <w:rPr>
            <w:rStyle w:val="Hipercze"/>
            <w:noProof/>
          </w:rPr>
          <w:t>E. PROCEDURY USTANAWIANIA I ZMIANY PODMIOTÓW ODPOWIEDZIALNYCH ZA BILANSOWANIE HANDLOWE</w:t>
        </w:r>
        <w:r w:rsidR="0006212C">
          <w:rPr>
            <w:noProof/>
            <w:webHidden/>
          </w:rPr>
          <w:tab/>
        </w:r>
        <w:r w:rsidR="0006212C">
          <w:rPr>
            <w:noProof/>
            <w:webHidden/>
          </w:rPr>
          <w:fldChar w:fldCharType="begin"/>
        </w:r>
        <w:r w:rsidR="0006212C">
          <w:rPr>
            <w:noProof/>
            <w:webHidden/>
          </w:rPr>
          <w:instrText xml:space="preserve"> PAGEREF _Toc141963925 \h </w:instrText>
        </w:r>
        <w:r w:rsidR="0006212C">
          <w:rPr>
            <w:noProof/>
            <w:webHidden/>
          </w:rPr>
        </w:r>
        <w:r w:rsidR="0006212C">
          <w:rPr>
            <w:noProof/>
            <w:webHidden/>
          </w:rPr>
          <w:fldChar w:fldCharType="separate"/>
        </w:r>
        <w:r w:rsidR="004B5298">
          <w:rPr>
            <w:noProof/>
            <w:webHidden/>
          </w:rPr>
          <w:t>133</w:t>
        </w:r>
        <w:r w:rsidR="0006212C">
          <w:rPr>
            <w:noProof/>
            <w:webHidden/>
          </w:rPr>
          <w:fldChar w:fldCharType="end"/>
        </w:r>
      </w:hyperlink>
    </w:p>
    <w:p w14:paraId="10E6DC37" w14:textId="50F5A097"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26" w:history="1">
        <w:r w:rsidR="0006212C" w:rsidRPr="00343A5D">
          <w:rPr>
            <w:rStyle w:val="Hipercze"/>
            <w:noProof/>
          </w:rPr>
          <w:t>F.</w:t>
        </w:r>
        <w:r w:rsidR="0006212C">
          <w:rPr>
            <w:rFonts w:asciiTheme="minorHAnsi" w:eastAsiaTheme="minorEastAsia" w:hAnsiTheme="minorHAnsi" w:cstheme="minorBidi"/>
            <w:noProof/>
            <w:color w:val="auto"/>
            <w:kern w:val="2"/>
            <w:sz w:val="22"/>
            <w:szCs w:val="22"/>
            <w14:ligatures w14:val="standardContextual"/>
          </w:rPr>
          <w:tab/>
        </w:r>
        <w:r w:rsidR="0006212C" w:rsidRPr="00343A5D">
          <w:rPr>
            <w:rStyle w:val="Hipercze"/>
            <w:noProof/>
          </w:rPr>
          <w:t>ZASADY OPRACOWANIA, AKTUALIZACJI I UDOSTĘPNIANIA STANDARDOWYCH PROFILI ZUŻYCIA</w:t>
        </w:r>
        <w:r w:rsidR="0006212C">
          <w:rPr>
            <w:noProof/>
            <w:webHidden/>
          </w:rPr>
          <w:tab/>
        </w:r>
        <w:r w:rsidR="0006212C">
          <w:rPr>
            <w:noProof/>
            <w:webHidden/>
          </w:rPr>
          <w:fldChar w:fldCharType="begin"/>
        </w:r>
        <w:r w:rsidR="0006212C">
          <w:rPr>
            <w:noProof/>
            <w:webHidden/>
          </w:rPr>
          <w:instrText xml:space="preserve"> PAGEREF _Toc141963926 \h </w:instrText>
        </w:r>
        <w:r w:rsidR="0006212C">
          <w:rPr>
            <w:noProof/>
            <w:webHidden/>
          </w:rPr>
        </w:r>
        <w:r w:rsidR="0006212C">
          <w:rPr>
            <w:noProof/>
            <w:webHidden/>
          </w:rPr>
          <w:fldChar w:fldCharType="separate"/>
        </w:r>
        <w:r w:rsidR="004B5298">
          <w:rPr>
            <w:noProof/>
            <w:webHidden/>
          </w:rPr>
          <w:t>136</w:t>
        </w:r>
        <w:r w:rsidR="0006212C">
          <w:rPr>
            <w:noProof/>
            <w:webHidden/>
          </w:rPr>
          <w:fldChar w:fldCharType="end"/>
        </w:r>
      </w:hyperlink>
    </w:p>
    <w:p w14:paraId="039AE7F3" w14:textId="03B6E99D"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27" w:history="1">
        <w:r w:rsidR="0006212C" w:rsidRPr="00343A5D">
          <w:rPr>
            <w:rStyle w:val="Hipercze"/>
            <w:noProof/>
          </w:rPr>
          <w:t>G.</w:t>
        </w:r>
        <w:r w:rsidR="0006212C">
          <w:rPr>
            <w:rFonts w:asciiTheme="minorHAnsi" w:eastAsiaTheme="minorEastAsia" w:hAnsiTheme="minorHAnsi" w:cstheme="minorBidi"/>
            <w:noProof/>
            <w:color w:val="auto"/>
            <w:kern w:val="2"/>
            <w:sz w:val="22"/>
            <w:szCs w:val="22"/>
            <w14:ligatures w14:val="standardContextual"/>
          </w:rPr>
          <w:tab/>
        </w:r>
        <w:r w:rsidR="0006212C" w:rsidRPr="00343A5D">
          <w:rPr>
            <w:rStyle w:val="Hipercze"/>
            <w:noProof/>
          </w:rPr>
          <w:t>POSTĘPOWANIE REKLAMACYJNE I OBOWIĄZKI INFORMACYJNE</w:t>
        </w:r>
        <w:r w:rsidR="0006212C">
          <w:rPr>
            <w:noProof/>
            <w:webHidden/>
          </w:rPr>
          <w:tab/>
        </w:r>
        <w:r w:rsidR="0006212C">
          <w:rPr>
            <w:noProof/>
            <w:webHidden/>
          </w:rPr>
          <w:fldChar w:fldCharType="begin"/>
        </w:r>
        <w:r w:rsidR="0006212C">
          <w:rPr>
            <w:noProof/>
            <w:webHidden/>
          </w:rPr>
          <w:instrText xml:space="preserve"> PAGEREF _Toc141963927 \h </w:instrText>
        </w:r>
        <w:r w:rsidR="0006212C">
          <w:rPr>
            <w:noProof/>
            <w:webHidden/>
          </w:rPr>
        </w:r>
        <w:r w:rsidR="0006212C">
          <w:rPr>
            <w:noProof/>
            <w:webHidden/>
          </w:rPr>
          <w:fldChar w:fldCharType="separate"/>
        </w:r>
        <w:r w:rsidR="004B5298">
          <w:rPr>
            <w:noProof/>
            <w:webHidden/>
          </w:rPr>
          <w:t>137</w:t>
        </w:r>
        <w:r w:rsidR="0006212C">
          <w:rPr>
            <w:noProof/>
            <w:webHidden/>
          </w:rPr>
          <w:fldChar w:fldCharType="end"/>
        </w:r>
      </w:hyperlink>
    </w:p>
    <w:p w14:paraId="68C11111" w14:textId="25DD5B5D"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28" w:history="1">
        <w:r w:rsidR="0006212C" w:rsidRPr="00343A5D">
          <w:rPr>
            <w:rStyle w:val="Hipercze"/>
            <w:noProof/>
          </w:rPr>
          <w:t>H. ZARZĄDZANIE OGRANICZENIAMI SYSTEMOWYMI</w:t>
        </w:r>
        <w:r w:rsidR="0006212C">
          <w:rPr>
            <w:noProof/>
            <w:webHidden/>
          </w:rPr>
          <w:tab/>
        </w:r>
        <w:r w:rsidR="0006212C">
          <w:rPr>
            <w:noProof/>
            <w:webHidden/>
          </w:rPr>
          <w:fldChar w:fldCharType="begin"/>
        </w:r>
        <w:r w:rsidR="0006212C">
          <w:rPr>
            <w:noProof/>
            <w:webHidden/>
          </w:rPr>
          <w:instrText xml:space="preserve"> PAGEREF _Toc141963928 \h </w:instrText>
        </w:r>
        <w:r w:rsidR="0006212C">
          <w:rPr>
            <w:noProof/>
            <w:webHidden/>
          </w:rPr>
        </w:r>
        <w:r w:rsidR="0006212C">
          <w:rPr>
            <w:noProof/>
            <w:webHidden/>
          </w:rPr>
          <w:fldChar w:fldCharType="separate"/>
        </w:r>
        <w:r w:rsidR="004B5298">
          <w:rPr>
            <w:noProof/>
            <w:webHidden/>
          </w:rPr>
          <w:t>141</w:t>
        </w:r>
        <w:r w:rsidR="0006212C">
          <w:rPr>
            <w:noProof/>
            <w:webHidden/>
          </w:rPr>
          <w:fldChar w:fldCharType="end"/>
        </w:r>
      </w:hyperlink>
    </w:p>
    <w:p w14:paraId="51B8B76E" w14:textId="77A61B55"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29" w:history="1">
        <w:r w:rsidR="0006212C" w:rsidRPr="00343A5D">
          <w:rPr>
            <w:rStyle w:val="Hipercze"/>
            <w:noProof/>
          </w:rPr>
          <w:t>SŁOWNIK SKRÓTÓW I DEFINICJI</w:t>
        </w:r>
        <w:r w:rsidR="0006212C">
          <w:rPr>
            <w:noProof/>
            <w:webHidden/>
          </w:rPr>
          <w:tab/>
        </w:r>
        <w:r w:rsidR="0006212C">
          <w:rPr>
            <w:noProof/>
            <w:webHidden/>
          </w:rPr>
          <w:fldChar w:fldCharType="begin"/>
        </w:r>
        <w:r w:rsidR="0006212C">
          <w:rPr>
            <w:noProof/>
            <w:webHidden/>
          </w:rPr>
          <w:instrText xml:space="preserve"> PAGEREF _Toc141963929 \h </w:instrText>
        </w:r>
        <w:r w:rsidR="0006212C">
          <w:rPr>
            <w:noProof/>
            <w:webHidden/>
          </w:rPr>
        </w:r>
        <w:r w:rsidR="0006212C">
          <w:rPr>
            <w:noProof/>
            <w:webHidden/>
          </w:rPr>
          <w:fldChar w:fldCharType="separate"/>
        </w:r>
        <w:r w:rsidR="004B5298">
          <w:rPr>
            <w:noProof/>
            <w:webHidden/>
          </w:rPr>
          <w:t>144</w:t>
        </w:r>
        <w:r w:rsidR="0006212C">
          <w:rPr>
            <w:noProof/>
            <w:webHidden/>
          </w:rPr>
          <w:fldChar w:fldCharType="end"/>
        </w:r>
      </w:hyperlink>
    </w:p>
    <w:p w14:paraId="3661D346" w14:textId="7B2B71E5"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30" w:history="1">
        <w:r w:rsidR="0006212C" w:rsidRPr="00343A5D">
          <w:rPr>
            <w:rStyle w:val="Hipercze"/>
            <w:noProof/>
          </w:rPr>
          <w:t>1.</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OZNACZENIA SKRÓTÓW</w:t>
        </w:r>
        <w:r w:rsidR="0006212C">
          <w:rPr>
            <w:noProof/>
            <w:webHidden/>
          </w:rPr>
          <w:tab/>
        </w:r>
        <w:r w:rsidR="0006212C">
          <w:rPr>
            <w:noProof/>
            <w:webHidden/>
          </w:rPr>
          <w:fldChar w:fldCharType="begin"/>
        </w:r>
        <w:r w:rsidR="0006212C">
          <w:rPr>
            <w:noProof/>
            <w:webHidden/>
          </w:rPr>
          <w:instrText xml:space="preserve"> PAGEREF _Toc141963930 \h </w:instrText>
        </w:r>
        <w:r w:rsidR="0006212C">
          <w:rPr>
            <w:noProof/>
            <w:webHidden/>
          </w:rPr>
        </w:r>
        <w:r w:rsidR="0006212C">
          <w:rPr>
            <w:noProof/>
            <w:webHidden/>
          </w:rPr>
          <w:fldChar w:fldCharType="separate"/>
        </w:r>
        <w:r w:rsidR="004B5298">
          <w:rPr>
            <w:noProof/>
            <w:webHidden/>
          </w:rPr>
          <w:t>144</w:t>
        </w:r>
        <w:r w:rsidR="0006212C">
          <w:rPr>
            <w:noProof/>
            <w:webHidden/>
          </w:rPr>
          <w:fldChar w:fldCharType="end"/>
        </w:r>
      </w:hyperlink>
    </w:p>
    <w:p w14:paraId="61F2F5E0" w14:textId="151ADA33" w:rsidR="0006212C" w:rsidRDefault="00000000">
      <w:pPr>
        <w:pStyle w:val="Spistreci2"/>
        <w:rPr>
          <w:rFonts w:asciiTheme="minorHAnsi" w:eastAsiaTheme="minorEastAsia" w:hAnsiTheme="minorHAnsi" w:cstheme="minorBidi"/>
          <w:noProof/>
          <w:kern w:val="2"/>
          <w:sz w:val="22"/>
          <w:szCs w:val="22"/>
          <w14:ligatures w14:val="standardContextual"/>
        </w:rPr>
      </w:pPr>
      <w:hyperlink w:anchor="_Toc141963931" w:history="1">
        <w:r w:rsidR="0006212C" w:rsidRPr="00343A5D">
          <w:rPr>
            <w:rStyle w:val="Hipercze"/>
            <w:noProof/>
          </w:rPr>
          <w:t>2.</w:t>
        </w:r>
        <w:r w:rsidR="0006212C">
          <w:rPr>
            <w:rFonts w:asciiTheme="minorHAnsi" w:eastAsiaTheme="minorEastAsia" w:hAnsiTheme="minorHAnsi" w:cstheme="minorBidi"/>
            <w:noProof/>
            <w:kern w:val="2"/>
            <w:sz w:val="22"/>
            <w:szCs w:val="22"/>
            <w14:ligatures w14:val="standardContextual"/>
          </w:rPr>
          <w:tab/>
        </w:r>
        <w:r w:rsidR="0006212C" w:rsidRPr="00343A5D">
          <w:rPr>
            <w:rStyle w:val="Hipercze"/>
            <w:noProof/>
          </w:rPr>
          <w:t>POJĘCIA I DEFINICJE</w:t>
        </w:r>
        <w:r w:rsidR="0006212C">
          <w:rPr>
            <w:noProof/>
            <w:webHidden/>
          </w:rPr>
          <w:tab/>
        </w:r>
        <w:r w:rsidR="0006212C">
          <w:rPr>
            <w:noProof/>
            <w:webHidden/>
          </w:rPr>
          <w:fldChar w:fldCharType="begin"/>
        </w:r>
        <w:r w:rsidR="0006212C">
          <w:rPr>
            <w:noProof/>
            <w:webHidden/>
          </w:rPr>
          <w:instrText xml:space="preserve"> PAGEREF _Toc141963931 \h </w:instrText>
        </w:r>
        <w:r w:rsidR="0006212C">
          <w:rPr>
            <w:noProof/>
            <w:webHidden/>
          </w:rPr>
        </w:r>
        <w:r w:rsidR="0006212C">
          <w:rPr>
            <w:noProof/>
            <w:webHidden/>
          </w:rPr>
          <w:fldChar w:fldCharType="separate"/>
        </w:r>
        <w:r w:rsidR="004B5298">
          <w:rPr>
            <w:noProof/>
            <w:webHidden/>
          </w:rPr>
          <w:t>147</w:t>
        </w:r>
        <w:r w:rsidR="0006212C">
          <w:rPr>
            <w:noProof/>
            <w:webHidden/>
          </w:rPr>
          <w:fldChar w:fldCharType="end"/>
        </w:r>
      </w:hyperlink>
    </w:p>
    <w:p w14:paraId="40CF7D39" w14:textId="05620DAE"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32" w:history="1">
        <w:r w:rsidR="0006212C" w:rsidRPr="00343A5D">
          <w:rPr>
            <w:rStyle w:val="Hipercze"/>
            <w:noProof/>
          </w:rPr>
          <w:t xml:space="preserve">Załącznik nr 1 </w:t>
        </w:r>
        <w:r w:rsidR="0006212C" w:rsidRPr="00343A5D">
          <w:rPr>
            <w:rStyle w:val="Hipercze"/>
            <w:i/>
            <w:noProof/>
          </w:rPr>
          <w:t>– Szczegółowe wymagania techniczne dla jednostek wytwórczych oraz magazynów energii elektrycznej przyłączanych i przyłączonych do sieci dystrybucyjnej</w:t>
        </w:r>
        <w:r w:rsidR="0006212C" w:rsidRPr="00343A5D">
          <w:rPr>
            <w:rStyle w:val="Hipercze"/>
            <w:i/>
            <w:iCs/>
            <w:noProof/>
          </w:rPr>
          <w:t>.</w:t>
        </w:r>
        <w:r w:rsidR="0006212C">
          <w:rPr>
            <w:noProof/>
            <w:webHidden/>
          </w:rPr>
          <w:tab/>
        </w:r>
        <w:r w:rsidR="0006212C">
          <w:rPr>
            <w:noProof/>
            <w:webHidden/>
          </w:rPr>
          <w:fldChar w:fldCharType="begin"/>
        </w:r>
        <w:r w:rsidR="0006212C">
          <w:rPr>
            <w:noProof/>
            <w:webHidden/>
          </w:rPr>
          <w:instrText xml:space="preserve"> PAGEREF _Toc141963932 \h </w:instrText>
        </w:r>
        <w:r w:rsidR="0006212C">
          <w:rPr>
            <w:noProof/>
            <w:webHidden/>
          </w:rPr>
        </w:r>
        <w:r w:rsidR="0006212C">
          <w:rPr>
            <w:noProof/>
            <w:webHidden/>
          </w:rPr>
          <w:fldChar w:fldCharType="separate"/>
        </w:r>
        <w:r w:rsidR="004B5298">
          <w:rPr>
            <w:noProof/>
            <w:webHidden/>
          </w:rPr>
          <w:t>165</w:t>
        </w:r>
        <w:r w:rsidR="0006212C">
          <w:rPr>
            <w:noProof/>
            <w:webHidden/>
          </w:rPr>
          <w:fldChar w:fldCharType="end"/>
        </w:r>
      </w:hyperlink>
    </w:p>
    <w:p w14:paraId="7303CE4B" w14:textId="0B082B2C"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33" w:history="1">
        <w:r w:rsidR="0006212C" w:rsidRPr="00343A5D">
          <w:rPr>
            <w:rStyle w:val="Hipercze"/>
            <w:noProof/>
          </w:rPr>
          <w:t xml:space="preserve">Załącznik nr 2 </w:t>
        </w:r>
        <w:r w:rsidR="0006212C" w:rsidRPr="00343A5D">
          <w:rPr>
            <w:rStyle w:val="Hipercze"/>
            <w:i/>
            <w:noProof/>
          </w:rPr>
          <w:t>- zakres wymaganych danych podczas powiadamiania OSD przez sprzedawcę w imieniu własnym i odbiorcy końcowego o zawartej umowie sprzedaży energii elektrycznej</w:t>
        </w:r>
        <w:r w:rsidR="0006212C">
          <w:rPr>
            <w:noProof/>
            <w:webHidden/>
          </w:rPr>
          <w:tab/>
        </w:r>
        <w:r w:rsidR="0006212C">
          <w:rPr>
            <w:noProof/>
            <w:webHidden/>
          </w:rPr>
          <w:fldChar w:fldCharType="begin"/>
        </w:r>
        <w:r w:rsidR="0006212C">
          <w:rPr>
            <w:noProof/>
            <w:webHidden/>
          </w:rPr>
          <w:instrText xml:space="preserve"> PAGEREF _Toc141963933 \h </w:instrText>
        </w:r>
        <w:r w:rsidR="0006212C">
          <w:rPr>
            <w:noProof/>
            <w:webHidden/>
          </w:rPr>
        </w:r>
        <w:r w:rsidR="0006212C">
          <w:rPr>
            <w:noProof/>
            <w:webHidden/>
          </w:rPr>
          <w:fldChar w:fldCharType="separate"/>
        </w:r>
        <w:r w:rsidR="004B5298">
          <w:rPr>
            <w:noProof/>
            <w:webHidden/>
          </w:rPr>
          <w:t>189</w:t>
        </w:r>
        <w:r w:rsidR="0006212C">
          <w:rPr>
            <w:noProof/>
            <w:webHidden/>
          </w:rPr>
          <w:fldChar w:fldCharType="end"/>
        </w:r>
      </w:hyperlink>
    </w:p>
    <w:p w14:paraId="740E043C" w14:textId="154318D8"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34" w:history="1">
        <w:r w:rsidR="0006212C" w:rsidRPr="00343A5D">
          <w:rPr>
            <w:rStyle w:val="Hipercze"/>
            <w:noProof/>
          </w:rPr>
          <w:t xml:space="preserve">Załącznik nr 3 </w:t>
        </w:r>
        <w:r w:rsidR="0006212C" w:rsidRPr="00343A5D">
          <w:rPr>
            <w:rStyle w:val="Hipercze"/>
            <w:i/>
            <w:noProof/>
          </w:rPr>
          <w:t>- lista kodów, którymi OSD informuje sprzedawcę  o wyniku przeprowadzonej weryfikacji zgłoszonych umów sprzedaży energii elektrycznej –</w:t>
        </w:r>
        <w:r w:rsidR="0006212C">
          <w:rPr>
            <w:noProof/>
            <w:webHidden/>
          </w:rPr>
          <w:tab/>
        </w:r>
        <w:r w:rsidR="0006212C">
          <w:rPr>
            <w:noProof/>
            <w:webHidden/>
          </w:rPr>
          <w:fldChar w:fldCharType="begin"/>
        </w:r>
        <w:r w:rsidR="0006212C">
          <w:rPr>
            <w:noProof/>
            <w:webHidden/>
          </w:rPr>
          <w:instrText xml:space="preserve"> PAGEREF _Toc141963934 \h </w:instrText>
        </w:r>
        <w:r w:rsidR="0006212C">
          <w:rPr>
            <w:noProof/>
            <w:webHidden/>
          </w:rPr>
        </w:r>
        <w:r w:rsidR="0006212C">
          <w:rPr>
            <w:noProof/>
            <w:webHidden/>
          </w:rPr>
          <w:fldChar w:fldCharType="separate"/>
        </w:r>
        <w:r w:rsidR="004B5298">
          <w:rPr>
            <w:noProof/>
            <w:webHidden/>
          </w:rPr>
          <w:t>191</w:t>
        </w:r>
        <w:r w:rsidR="0006212C">
          <w:rPr>
            <w:noProof/>
            <w:webHidden/>
          </w:rPr>
          <w:fldChar w:fldCharType="end"/>
        </w:r>
      </w:hyperlink>
    </w:p>
    <w:p w14:paraId="58C56EB3" w14:textId="4D177F1D"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35" w:history="1">
        <w:r w:rsidR="0006212C" w:rsidRPr="00343A5D">
          <w:rPr>
            <w:rStyle w:val="Hipercze"/>
            <w:noProof/>
            <w:w w:val="105"/>
          </w:rPr>
          <w:t>Załącznik</w:t>
        </w:r>
        <w:r w:rsidR="0006212C" w:rsidRPr="00343A5D">
          <w:rPr>
            <w:rStyle w:val="Hipercze"/>
            <w:noProof/>
            <w:spacing w:val="-1"/>
            <w:w w:val="105"/>
          </w:rPr>
          <w:t xml:space="preserve"> </w:t>
        </w:r>
        <w:r w:rsidR="0006212C" w:rsidRPr="00343A5D">
          <w:rPr>
            <w:rStyle w:val="Hipercze"/>
            <w:noProof/>
            <w:w w:val="105"/>
          </w:rPr>
          <w:t>nr</w:t>
        </w:r>
        <w:r w:rsidR="0006212C" w:rsidRPr="00343A5D">
          <w:rPr>
            <w:rStyle w:val="Hipercze"/>
            <w:noProof/>
            <w:spacing w:val="-20"/>
            <w:w w:val="105"/>
          </w:rPr>
          <w:t xml:space="preserve"> 4</w:t>
        </w:r>
        <w:r w:rsidR="0006212C" w:rsidRPr="00343A5D">
          <w:rPr>
            <w:rStyle w:val="Hipercze"/>
            <w:noProof/>
            <w:spacing w:val="-22"/>
            <w:w w:val="105"/>
          </w:rPr>
          <w:t xml:space="preserve"> - </w:t>
        </w:r>
        <w:r w:rsidR="0006212C" w:rsidRPr="00343A5D">
          <w:rPr>
            <w:rStyle w:val="Hipercze"/>
            <w:noProof/>
            <w:w w:val="105"/>
          </w:rPr>
          <w:t>Istotne</w:t>
        </w:r>
        <w:r w:rsidR="0006212C" w:rsidRPr="00343A5D">
          <w:rPr>
            <w:rStyle w:val="Hipercze"/>
            <w:noProof/>
            <w:spacing w:val="-7"/>
            <w:w w:val="105"/>
          </w:rPr>
          <w:t xml:space="preserve"> </w:t>
        </w:r>
        <w:r w:rsidR="0006212C" w:rsidRPr="00343A5D">
          <w:rPr>
            <w:rStyle w:val="Hipercze"/>
            <w:noProof/>
            <w:w w:val="105"/>
          </w:rPr>
          <w:t>postanowienia</w:t>
        </w:r>
        <w:r w:rsidR="0006212C" w:rsidRPr="00343A5D">
          <w:rPr>
            <w:rStyle w:val="Hipercze"/>
            <w:noProof/>
            <w:spacing w:val="6"/>
            <w:w w:val="105"/>
          </w:rPr>
          <w:t xml:space="preserve"> </w:t>
        </w:r>
        <w:r w:rsidR="0006212C" w:rsidRPr="00343A5D">
          <w:rPr>
            <w:rStyle w:val="Hipercze"/>
            <w:noProof/>
            <w:w w:val="105"/>
          </w:rPr>
          <w:t>umów</w:t>
        </w:r>
        <w:r w:rsidR="0006212C" w:rsidRPr="00343A5D">
          <w:rPr>
            <w:rStyle w:val="Hipercze"/>
            <w:noProof/>
            <w:spacing w:val="-11"/>
            <w:w w:val="105"/>
          </w:rPr>
          <w:t xml:space="preserve"> </w:t>
        </w:r>
        <w:r w:rsidR="0006212C" w:rsidRPr="00343A5D">
          <w:rPr>
            <w:rStyle w:val="Hipercze"/>
            <w:noProof/>
            <w:w w:val="105"/>
          </w:rPr>
          <w:t>o</w:t>
        </w:r>
        <w:r w:rsidR="0006212C" w:rsidRPr="00343A5D">
          <w:rPr>
            <w:rStyle w:val="Hipercze"/>
            <w:noProof/>
            <w:spacing w:val="-16"/>
            <w:w w:val="105"/>
          </w:rPr>
          <w:t xml:space="preserve"> </w:t>
        </w:r>
        <w:r w:rsidR="0006212C" w:rsidRPr="00343A5D">
          <w:rPr>
            <w:rStyle w:val="Hipercze"/>
            <w:noProof/>
            <w:w w:val="105"/>
          </w:rPr>
          <w:t>świadczenie usług dystrybucji zawieranych ze sprzedawcami</w:t>
        </w:r>
        <w:r w:rsidR="0006212C">
          <w:rPr>
            <w:noProof/>
            <w:webHidden/>
          </w:rPr>
          <w:tab/>
        </w:r>
        <w:r w:rsidR="0006212C">
          <w:rPr>
            <w:noProof/>
            <w:webHidden/>
          </w:rPr>
          <w:fldChar w:fldCharType="begin"/>
        </w:r>
        <w:r w:rsidR="0006212C">
          <w:rPr>
            <w:noProof/>
            <w:webHidden/>
          </w:rPr>
          <w:instrText xml:space="preserve"> PAGEREF _Toc141963935 \h </w:instrText>
        </w:r>
        <w:r w:rsidR="0006212C">
          <w:rPr>
            <w:noProof/>
            <w:webHidden/>
          </w:rPr>
        </w:r>
        <w:r w:rsidR="0006212C">
          <w:rPr>
            <w:noProof/>
            <w:webHidden/>
          </w:rPr>
          <w:fldChar w:fldCharType="separate"/>
        </w:r>
        <w:r w:rsidR="004B5298">
          <w:rPr>
            <w:noProof/>
            <w:webHidden/>
          </w:rPr>
          <w:t>193</w:t>
        </w:r>
        <w:r w:rsidR="0006212C">
          <w:rPr>
            <w:noProof/>
            <w:webHidden/>
          </w:rPr>
          <w:fldChar w:fldCharType="end"/>
        </w:r>
      </w:hyperlink>
    </w:p>
    <w:p w14:paraId="2934C170" w14:textId="1D89463B" w:rsidR="0006212C" w:rsidRDefault="00000000">
      <w:pPr>
        <w:pStyle w:val="Spistreci1"/>
        <w:rPr>
          <w:rFonts w:asciiTheme="minorHAnsi" w:eastAsiaTheme="minorEastAsia" w:hAnsiTheme="minorHAnsi" w:cstheme="minorBidi"/>
          <w:noProof/>
          <w:color w:val="auto"/>
          <w:kern w:val="2"/>
          <w:sz w:val="22"/>
          <w:szCs w:val="22"/>
          <w14:ligatures w14:val="standardContextual"/>
        </w:rPr>
      </w:pPr>
      <w:hyperlink w:anchor="_Toc141963936" w:history="1">
        <w:r w:rsidR="0006212C" w:rsidRPr="00343A5D">
          <w:rPr>
            <w:rStyle w:val="Hipercze"/>
            <w:noProof/>
          </w:rPr>
          <w:t xml:space="preserve">Załącznik nr 5 </w:t>
        </w:r>
        <w:r w:rsidR="0006212C" w:rsidRPr="00343A5D">
          <w:rPr>
            <w:rStyle w:val="Hipercze"/>
            <w:i/>
            <w:noProof/>
          </w:rPr>
          <w:t>- S</w:t>
        </w:r>
        <w:r w:rsidR="0006212C" w:rsidRPr="00343A5D">
          <w:rPr>
            <w:rStyle w:val="Hipercze"/>
            <w:i/>
            <w:iCs/>
            <w:noProof/>
          </w:rPr>
          <w:t>tandardowe profile zużycia wykorzystywane  w bilansowaniu handlowym miejsc dostarczania energii elektrycznej dla odbiorców  o mocy umownej nie większej niż 40 kW</w:t>
        </w:r>
        <w:r w:rsidR="0006212C">
          <w:rPr>
            <w:noProof/>
            <w:webHidden/>
          </w:rPr>
          <w:tab/>
        </w:r>
        <w:r w:rsidR="0006212C">
          <w:rPr>
            <w:noProof/>
            <w:webHidden/>
          </w:rPr>
          <w:fldChar w:fldCharType="begin"/>
        </w:r>
        <w:r w:rsidR="0006212C">
          <w:rPr>
            <w:noProof/>
            <w:webHidden/>
          </w:rPr>
          <w:instrText xml:space="preserve"> PAGEREF _Toc141963936 \h </w:instrText>
        </w:r>
        <w:r w:rsidR="0006212C">
          <w:rPr>
            <w:noProof/>
            <w:webHidden/>
          </w:rPr>
        </w:r>
        <w:r w:rsidR="0006212C">
          <w:rPr>
            <w:noProof/>
            <w:webHidden/>
          </w:rPr>
          <w:fldChar w:fldCharType="separate"/>
        </w:r>
        <w:r w:rsidR="004B5298">
          <w:rPr>
            <w:noProof/>
            <w:webHidden/>
          </w:rPr>
          <w:t>205</w:t>
        </w:r>
        <w:r w:rsidR="0006212C">
          <w:rPr>
            <w:noProof/>
            <w:webHidden/>
          </w:rPr>
          <w:fldChar w:fldCharType="end"/>
        </w:r>
      </w:hyperlink>
    </w:p>
    <w:p w14:paraId="4FD81A11" w14:textId="67EDBB8E" w:rsidR="00353B2B" w:rsidRDefault="000A7F08">
      <w:r w:rsidRPr="006B0EF3">
        <w:rPr>
          <w:b/>
          <w:bCs/>
          <w:color w:val="000000"/>
        </w:rPr>
        <w:fldChar w:fldCharType="end"/>
      </w:r>
    </w:p>
    <w:p w14:paraId="306CD17F" w14:textId="77777777" w:rsidR="00572BA3" w:rsidRDefault="00572BA3">
      <w:pPr>
        <w:spacing w:line="200" w:lineRule="exact"/>
        <w:rPr>
          <w:rFonts w:eastAsia="Times New Roman"/>
        </w:rPr>
      </w:pPr>
    </w:p>
    <w:p w14:paraId="59ADCE60" w14:textId="77777777" w:rsidR="00572BA3" w:rsidRDefault="00572BA3">
      <w:pPr>
        <w:spacing w:line="200" w:lineRule="exact"/>
        <w:rPr>
          <w:rFonts w:eastAsia="Times New Roman"/>
        </w:rPr>
      </w:pPr>
    </w:p>
    <w:p w14:paraId="7BD31F86" w14:textId="77777777" w:rsidR="00572BA3" w:rsidRDefault="00572BA3">
      <w:pPr>
        <w:spacing w:line="224" w:lineRule="exact"/>
        <w:rPr>
          <w:rFonts w:eastAsia="Times New Roman"/>
        </w:rPr>
      </w:pPr>
    </w:p>
    <w:p w14:paraId="6D6D5209" w14:textId="77777777" w:rsidR="002B3A6F" w:rsidRDefault="002B3A6F" w:rsidP="002B3A6F">
      <w:pPr>
        <w:spacing w:line="360" w:lineRule="auto"/>
        <w:jc w:val="center"/>
        <w:rPr>
          <w:rFonts w:ascii="Arial" w:hAnsi="Arial"/>
          <w:b/>
          <w:bCs/>
          <w:sz w:val="50"/>
          <w:szCs w:val="22"/>
        </w:rPr>
      </w:pPr>
    </w:p>
    <w:p w14:paraId="15F114F0" w14:textId="77777777" w:rsidR="002B3A6F" w:rsidRDefault="002B3A6F" w:rsidP="002B3A6F">
      <w:pPr>
        <w:spacing w:line="360" w:lineRule="auto"/>
        <w:jc w:val="center"/>
        <w:rPr>
          <w:rFonts w:ascii="Arial" w:hAnsi="Arial"/>
          <w:b/>
          <w:bCs/>
          <w:sz w:val="50"/>
          <w:szCs w:val="22"/>
        </w:rPr>
      </w:pPr>
    </w:p>
    <w:p w14:paraId="5CBD03CB" w14:textId="77777777" w:rsidR="002B3A6F" w:rsidRDefault="002B3A6F" w:rsidP="002B3A6F">
      <w:pPr>
        <w:spacing w:line="360" w:lineRule="auto"/>
        <w:jc w:val="center"/>
        <w:rPr>
          <w:rFonts w:ascii="Arial" w:hAnsi="Arial"/>
          <w:b/>
          <w:bCs/>
          <w:sz w:val="50"/>
          <w:szCs w:val="22"/>
        </w:rPr>
      </w:pPr>
    </w:p>
    <w:p w14:paraId="5A475CF5" w14:textId="77777777" w:rsidR="002B3A6F" w:rsidRDefault="002B3A6F" w:rsidP="002B3A6F">
      <w:pPr>
        <w:spacing w:line="360" w:lineRule="auto"/>
        <w:jc w:val="center"/>
        <w:rPr>
          <w:rFonts w:ascii="Arial" w:hAnsi="Arial"/>
          <w:b/>
          <w:bCs/>
          <w:sz w:val="50"/>
          <w:szCs w:val="22"/>
        </w:rPr>
      </w:pPr>
    </w:p>
    <w:p w14:paraId="7EC61784" w14:textId="77777777" w:rsidR="00970E28" w:rsidRDefault="00970E28" w:rsidP="002B3A6F">
      <w:pPr>
        <w:spacing w:line="360" w:lineRule="auto"/>
        <w:jc w:val="center"/>
        <w:rPr>
          <w:rFonts w:ascii="Arial" w:hAnsi="Arial"/>
          <w:b/>
          <w:bCs/>
          <w:sz w:val="50"/>
          <w:szCs w:val="22"/>
        </w:rPr>
      </w:pPr>
    </w:p>
    <w:p w14:paraId="10810E1B" w14:textId="77777777" w:rsidR="00970E28" w:rsidRDefault="00970E28" w:rsidP="002B3A6F">
      <w:pPr>
        <w:spacing w:line="360" w:lineRule="auto"/>
        <w:jc w:val="center"/>
        <w:rPr>
          <w:rFonts w:ascii="Arial" w:hAnsi="Arial"/>
          <w:b/>
          <w:bCs/>
          <w:sz w:val="50"/>
          <w:szCs w:val="22"/>
        </w:rPr>
      </w:pPr>
    </w:p>
    <w:p w14:paraId="4206CBB2" w14:textId="77777777" w:rsidR="00970E28" w:rsidRDefault="00970E28" w:rsidP="002B3A6F">
      <w:pPr>
        <w:spacing w:line="360" w:lineRule="auto"/>
        <w:jc w:val="center"/>
        <w:rPr>
          <w:rFonts w:ascii="Arial" w:hAnsi="Arial"/>
          <w:b/>
          <w:bCs/>
          <w:sz w:val="50"/>
          <w:szCs w:val="22"/>
        </w:rPr>
      </w:pPr>
    </w:p>
    <w:p w14:paraId="19C133BF" w14:textId="77777777" w:rsidR="00522193" w:rsidRDefault="00522193" w:rsidP="002B3A6F">
      <w:pPr>
        <w:spacing w:line="360" w:lineRule="auto"/>
        <w:jc w:val="center"/>
        <w:rPr>
          <w:rFonts w:ascii="Arial" w:hAnsi="Arial"/>
          <w:b/>
          <w:bCs/>
          <w:sz w:val="50"/>
          <w:szCs w:val="22"/>
        </w:rPr>
      </w:pPr>
    </w:p>
    <w:p w14:paraId="23EAF630" w14:textId="77777777" w:rsidR="00522193" w:rsidRDefault="00522193" w:rsidP="002B3A6F">
      <w:pPr>
        <w:spacing w:line="360" w:lineRule="auto"/>
        <w:jc w:val="center"/>
        <w:rPr>
          <w:rFonts w:ascii="Arial" w:hAnsi="Arial"/>
          <w:b/>
          <w:bCs/>
          <w:sz w:val="50"/>
          <w:szCs w:val="22"/>
        </w:rPr>
      </w:pPr>
    </w:p>
    <w:p w14:paraId="1CED1F11" w14:textId="77777777" w:rsidR="00970E28" w:rsidRPr="00F7565D" w:rsidRDefault="00970E28" w:rsidP="00970E28">
      <w:pPr>
        <w:jc w:val="center"/>
        <w:rPr>
          <w:rFonts w:ascii="Arial" w:hAnsi="Arial"/>
          <w:b/>
          <w:i/>
          <w:iCs/>
          <w:sz w:val="22"/>
          <w:szCs w:val="22"/>
        </w:rPr>
      </w:pPr>
    </w:p>
    <w:p w14:paraId="4FCD9190" w14:textId="77777777" w:rsidR="00970E28" w:rsidRPr="00F7565D" w:rsidRDefault="00970E28" w:rsidP="00970E28">
      <w:pPr>
        <w:jc w:val="center"/>
        <w:rPr>
          <w:rFonts w:ascii="Arial" w:hAnsi="Arial"/>
          <w:b/>
          <w:i/>
          <w:iCs/>
          <w:sz w:val="22"/>
          <w:szCs w:val="22"/>
        </w:rPr>
      </w:pPr>
    </w:p>
    <w:p w14:paraId="3A2D37BC" w14:textId="2A58DFBB" w:rsidR="00627925" w:rsidRPr="00ED140B" w:rsidRDefault="00627925" w:rsidP="00627925">
      <w:pPr>
        <w:pStyle w:val="Nagwek"/>
        <w:jc w:val="center"/>
        <w:rPr>
          <w:rFonts w:cs="Times New Roman"/>
          <w:b/>
          <w:i/>
          <w:color w:val="000000"/>
        </w:rPr>
      </w:pPr>
    </w:p>
    <w:p w14:paraId="11FD8153" w14:textId="77777777" w:rsidR="00461CBC" w:rsidRDefault="00461CBC" w:rsidP="00461CBC">
      <w:pPr>
        <w:jc w:val="center"/>
        <w:rPr>
          <w:rFonts w:cs="Times New Roman"/>
          <w:b/>
          <w:bCs/>
          <w:i/>
          <w:color w:val="FF0000"/>
          <w:sz w:val="56"/>
          <w:szCs w:val="56"/>
        </w:rPr>
      </w:pPr>
    </w:p>
    <w:p w14:paraId="46EB5486" w14:textId="77777777" w:rsidR="009A3ACA" w:rsidRDefault="009A3ACA" w:rsidP="00DF0E79">
      <w:pPr>
        <w:jc w:val="center"/>
        <w:rPr>
          <w:rFonts w:cs="Times New Roman"/>
          <w:b/>
          <w:bCs/>
          <w:i/>
          <w:iCs/>
          <w:color w:val="FF0000"/>
          <w:sz w:val="56"/>
          <w:szCs w:val="56"/>
        </w:rPr>
      </w:pPr>
    </w:p>
    <w:p w14:paraId="40A66074" w14:textId="6A0FDC41" w:rsidR="00DF0E79" w:rsidRPr="00257739" w:rsidRDefault="00DF0E79" w:rsidP="00DF0E79">
      <w:pPr>
        <w:jc w:val="center"/>
        <w:rPr>
          <w:rFonts w:cs="Times New Roman"/>
          <w:b/>
          <w:bCs/>
          <w:i/>
          <w:iCs/>
          <w:color w:val="FF0000"/>
          <w:sz w:val="56"/>
          <w:szCs w:val="56"/>
        </w:rPr>
      </w:pPr>
    </w:p>
    <w:p w14:paraId="26908FFE" w14:textId="77777777" w:rsidR="00970E28" w:rsidRPr="00F67B53" w:rsidRDefault="00970E28" w:rsidP="00970E28">
      <w:pPr>
        <w:jc w:val="center"/>
        <w:rPr>
          <w:rFonts w:cs="Times New Roman"/>
          <w:b/>
          <w:bCs/>
          <w:sz w:val="56"/>
          <w:szCs w:val="56"/>
        </w:rPr>
      </w:pPr>
      <w:r w:rsidRPr="00F67B53">
        <w:rPr>
          <w:rFonts w:cs="Times New Roman"/>
          <w:b/>
          <w:bCs/>
          <w:sz w:val="56"/>
          <w:szCs w:val="56"/>
        </w:rPr>
        <w:t>INSTRUKCJA</w:t>
      </w:r>
    </w:p>
    <w:p w14:paraId="12F0D95E" w14:textId="77777777" w:rsidR="00970E28" w:rsidRPr="00F67B53" w:rsidRDefault="00970E28" w:rsidP="00970E28">
      <w:pPr>
        <w:jc w:val="center"/>
        <w:rPr>
          <w:rFonts w:cs="Times New Roman"/>
          <w:b/>
          <w:bCs/>
          <w:sz w:val="56"/>
          <w:szCs w:val="56"/>
        </w:rPr>
      </w:pPr>
      <w:r w:rsidRPr="00F67B53">
        <w:rPr>
          <w:rFonts w:cs="Times New Roman"/>
          <w:b/>
          <w:bCs/>
          <w:sz w:val="56"/>
          <w:szCs w:val="56"/>
        </w:rPr>
        <w:t>RUCHU I EKSPLOATACJI</w:t>
      </w:r>
    </w:p>
    <w:p w14:paraId="3CCFB9AC" w14:textId="77777777" w:rsidR="00970E28" w:rsidRPr="00F67B53" w:rsidRDefault="00970E28" w:rsidP="00970E28">
      <w:pPr>
        <w:jc w:val="center"/>
        <w:rPr>
          <w:rFonts w:cs="Times New Roman"/>
          <w:b/>
          <w:bCs/>
          <w:sz w:val="56"/>
          <w:szCs w:val="56"/>
        </w:rPr>
      </w:pPr>
      <w:r w:rsidRPr="00F67B53">
        <w:rPr>
          <w:rFonts w:cs="Times New Roman"/>
          <w:b/>
          <w:bCs/>
          <w:sz w:val="56"/>
          <w:szCs w:val="56"/>
        </w:rPr>
        <w:t>SIECI DYSTRYBUCYJNEJ</w:t>
      </w:r>
    </w:p>
    <w:p w14:paraId="0812E31D" w14:textId="77777777" w:rsidR="00970E28" w:rsidRPr="00970E28" w:rsidRDefault="00970E28" w:rsidP="002B3A6F">
      <w:pPr>
        <w:spacing w:line="360" w:lineRule="auto"/>
        <w:jc w:val="center"/>
        <w:rPr>
          <w:rFonts w:ascii="Arial" w:hAnsi="Arial"/>
          <w:b/>
          <w:bCs/>
          <w:sz w:val="36"/>
          <w:szCs w:val="36"/>
        </w:rPr>
      </w:pPr>
    </w:p>
    <w:p w14:paraId="579F8B07" w14:textId="77777777" w:rsidR="00C84505" w:rsidRDefault="00C84505" w:rsidP="00153C57">
      <w:pPr>
        <w:spacing w:line="360" w:lineRule="auto"/>
        <w:jc w:val="center"/>
        <w:rPr>
          <w:rFonts w:cs="Times New Roman"/>
          <w:b/>
          <w:bCs/>
          <w:sz w:val="36"/>
          <w:szCs w:val="36"/>
        </w:rPr>
      </w:pPr>
      <w:r>
        <w:rPr>
          <w:rFonts w:cs="Times New Roman"/>
          <w:b/>
          <w:bCs/>
          <w:sz w:val="36"/>
          <w:szCs w:val="36"/>
        </w:rPr>
        <w:t>Część ogólna</w:t>
      </w:r>
    </w:p>
    <w:p w14:paraId="1EA56DED" w14:textId="77777777" w:rsidR="00153C57" w:rsidRPr="002D6F8F" w:rsidRDefault="00153C57" w:rsidP="00153C57">
      <w:pPr>
        <w:spacing w:line="360" w:lineRule="auto"/>
        <w:jc w:val="center"/>
        <w:rPr>
          <w:rFonts w:cs="Times New Roman"/>
          <w:b/>
          <w:bCs/>
          <w:sz w:val="32"/>
          <w:szCs w:val="32"/>
        </w:rPr>
      </w:pPr>
      <w:r w:rsidRPr="00153C57">
        <w:rPr>
          <w:rFonts w:cs="Times New Roman"/>
          <w:b/>
          <w:bCs/>
          <w:sz w:val="36"/>
          <w:szCs w:val="36"/>
        </w:rPr>
        <w:t xml:space="preserve">Warunki korzystania, prowadzenia ruchu, eksploatacji </w:t>
      </w:r>
      <w:r>
        <w:rPr>
          <w:rFonts w:cs="Times New Roman"/>
          <w:b/>
          <w:bCs/>
          <w:sz w:val="36"/>
          <w:szCs w:val="36"/>
        </w:rPr>
        <w:br/>
      </w:r>
      <w:r w:rsidRPr="00153C57">
        <w:rPr>
          <w:rFonts w:cs="Times New Roman"/>
          <w:b/>
          <w:bCs/>
          <w:sz w:val="36"/>
          <w:szCs w:val="36"/>
        </w:rPr>
        <w:t>i planowania rozwoju sieci</w:t>
      </w:r>
    </w:p>
    <w:p w14:paraId="2B03A85B" w14:textId="77777777" w:rsidR="00970E28" w:rsidRDefault="00970E28" w:rsidP="002B3A6F">
      <w:pPr>
        <w:spacing w:line="360" w:lineRule="auto"/>
        <w:jc w:val="center"/>
        <w:rPr>
          <w:rFonts w:ascii="Arial" w:hAnsi="Arial"/>
          <w:b/>
          <w:bCs/>
          <w:sz w:val="50"/>
          <w:szCs w:val="22"/>
        </w:rPr>
      </w:pPr>
    </w:p>
    <w:p w14:paraId="465E7DA1" w14:textId="77777777" w:rsidR="002B3A6F" w:rsidRDefault="002B3A6F" w:rsidP="002B3A6F">
      <w:pPr>
        <w:spacing w:line="360" w:lineRule="auto"/>
        <w:jc w:val="center"/>
        <w:rPr>
          <w:rFonts w:ascii="Arial" w:hAnsi="Arial"/>
          <w:b/>
          <w:bCs/>
          <w:sz w:val="50"/>
          <w:szCs w:val="22"/>
        </w:rPr>
      </w:pPr>
    </w:p>
    <w:p w14:paraId="1F81206D" w14:textId="77777777" w:rsidR="00572BA3" w:rsidRDefault="00572BA3">
      <w:pPr>
        <w:rPr>
          <w:rFonts w:eastAsia="Times New Roman"/>
        </w:rPr>
        <w:sectPr w:rsidR="00572BA3" w:rsidSect="009016E8">
          <w:headerReference w:type="default" r:id="rId9"/>
          <w:footerReference w:type="default" r:id="rId10"/>
          <w:pgSz w:w="11900" w:h="16841"/>
          <w:pgMar w:top="909" w:right="1440" w:bottom="624" w:left="1419" w:header="454" w:footer="0" w:gutter="0"/>
          <w:cols w:space="0" w:equalWidth="0">
            <w:col w:w="9048"/>
          </w:cols>
          <w:titlePg/>
          <w:docGrid w:linePitch="360"/>
        </w:sectPr>
      </w:pPr>
    </w:p>
    <w:p w14:paraId="37C5BDAE" w14:textId="77777777" w:rsidR="00572BA3" w:rsidRDefault="00572BA3">
      <w:pPr>
        <w:pStyle w:val="Nagwek1"/>
        <w:numPr>
          <w:ilvl w:val="0"/>
          <w:numId w:val="225"/>
        </w:numPr>
        <w:ind w:left="284" w:hanging="284"/>
        <w:jc w:val="both"/>
      </w:pPr>
      <w:bookmarkStart w:id="2" w:name="page8"/>
      <w:bookmarkStart w:id="3" w:name="_Toc141963863"/>
      <w:bookmarkEnd w:id="2"/>
      <w:r>
        <w:lastRenderedPageBreak/>
        <w:t>KORZYSTANIE Z SYSTEMU ELEKTROENERGETYCZNEGO</w:t>
      </w:r>
      <w:bookmarkEnd w:id="3"/>
    </w:p>
    <w:p w14:paraId="380A8C03" w14:textId="77777777" w:rsidR="00572BA3" w:rsidRDefault="00572BA3">
      <w:pPr>
        <w:spacing w:line="394" w:lineRule="exact"/>
        <w:rPr>
          <w:rFonts w:eastAsia="Times New Roman"/>
        </w:rPr>
      </w:pPr>
    </w:p>
    <w:p w14:paraId="07AA13BA" w14:textId="77777777" w:rsidR="00572BA3" w:rsidRDefault="00572BA3" w:rsidP="00801ABF">
      <w:pPr>
        <w:pStyle w:val="Nagwek2"/>
        <w:ind w:left="426" w:hanging="426"/>
        <w:jc w:val="both"/>
      </w:pPr>
      <w:bookmarkStart w:id="4" w:name="_Toc141963864"/>
      <w:r>
        <w:t>I.1.</w:t>
      </w:r>
      <w:r>
        <w:tab/>
        <w:t>POSTANOWIENIA OGÓLNE</w:t>
      </w:r>
      <w:bookmarkEnd w:id="4"/>
    </w:p>
    <w:p w14:paraId="22C388BC" w14:textId="77777777" w:rsidR="00572BA3" w:rsidRDefault="00572BA3" w:rsidP="0008709D">
      <w:pPr>
        <w:rPr>
          <w:rFonts w:eastAsia="Times New Roman"/>
        </w:rPr>
      </w:pPr>
    </w:p>
    <w:p w14:paraId="27916A8E" w14:textId="5AE60964" w:rsidR="0067718D" w:rsidRPr="006B6809" w:rsidRDefault="00D57274">
      <w:pPr>
        <w:numPr>
          <w:ilvl w:val="0"/>
          <w:numId w:val="39"/>
        </w:numPr>
        <w:ind w:left="1134" w:hanging="1134"/>
        <w:jc w:val="both"/>
        <w:rPr>
          <w:rFonts w:eastAsia="Times New Roman"/>
          <w:szCs w:val="24"/>
        </w:rPr>
      </w:pPr>
      <w:r>
        <w:rPr>
          <w:rFonts w:cs="Times New Roman"/>
          <w:i/>
          <w:iCs/>
          <w:szCs w:val="24"/>
        </w:rPr>
        <w:t>ERG S.A.</w:t>
      </w:r>
      <w:r w:rsidR="0067718D">
        <w:rPr>
          <w:rFonts w:cs="Times New Roman"/>
          <w:i/>
          <w:iCs/>
          <w:szCs w:val="24"/>
        </w:rPr>
        <w:t xml:space="preserve"> </w:t>
      </w:r>
      <w:r w:rsidR="0067718D" w:rsidRPr="006B6809">
        <w:rPr>
          <w:rFonts w:eastAsia="Times New Roman" w:cs="Times New Roman"/>
          <w:szCs w:val="24"/>
        </w:rPr>
        <w:t>jako operator systemu dystrybucyjnego</w:t>
      </w:r>
      <w:r w:rsidR="0067718D" w:rsidRPr="006B6809">
        <w:rPr>
          <w:rFonts w:eastAsia="Times New Roman"/>
          <w:szCs w:val="24"/>
        </w:rPr>
        <w:t xml:space="preserve"> (z</w:t>
      </w:r>
      <w:r w:rsidR="0067718D" w:rsidRPr="006B6809">
        <w:rPr>
          <w:rFonts w:eastAsia="Times New Roman" w:cs="Times New Roman"/>
          <w:szCs w:val="24"/>
        </w:rPr>
        <w:t xml:space="preserve">wany dalej „OSDn”) </w:t>
      </w:r>
      <w:r w:rsidR="0067718D" w:rsidRPr="006B6809">
        <w:rPr>
          <w:rFonts w:eastAsia="Times New Roman"/>
          <w:szCs w:val="24"/>
        </w:rPr>
        <w:t>wprowadza niniejszą Instrukcję Ruchu i Eksploatacji Sieci Dystrybucyjnej (zwaną dalej IRiESD), na podstawie zapisów ustawy Prawo energetyczne.</w:t>
      </w:r>
    </w:p>
    <w:p w14:paraId="10B19857" w14:textId="63ED24A1" w:rsidR="0067718D" w:rsidRPr="00A774A2" w:rsidRDefault="00D57274">
      <w:pPr>
        <w:numPr>
          <w:ilvl w:val="0"/>
          <w:numId w:val="39"/>
        </w:numPr>
        <w:ind w:left="1134" w:hanging="1134"/>
        <w:jc w:val="both"/>
        <w:rPr>
          <w:rFonts w:eastAsia="Times New Roman"/>
          <w:szCs w:val="24"/>
        </w:rPr>
      </w:pPr>
      <w:r>
        <w:rPr>
          <w:rFonts w:cs="Times New Roman"/>
          <w:i/>
          <w:iCs/>
          <w:szCs w:val="24"/>
        </w:rPr>
        <w:t>ERG S.A.</w:t>
      </w:r>
      <w:r w:rsidR="0067718D">
        <w:rPr>
          <w:rFonts w:cs="Times New Roman"/>
          <w:i/>
          <w:iCs/>
          <w:szCs w:val="24"/>
        </w:rPr>
        <w:t xml:space="preserve"> j</w:t>
      </w:r>
      <w:r w:rsidR="0067718D" w:rsidRPr="006B6809">
        <w:rPr>
          <w:rFonts w:cs="Times New Roman"/>
          <w:szCs w:val="24"/>
        </w:rPr>
        <w:t xml:space="preserve">ako operator systemu dystrybucyjnego nie posiadający bezpośredniego połączenia z sieciami przesyłowymi (operator systemu dystrybucyjnego typu OSDn) prowadzi ruch, eksploatację i planowanie rozwoju sieci, a także bilansowanie systemu dystrybucyjnego i zarządzanie ograniczeniami systemowymi w sieci, na której został wyznaczony operatorem systemu dystrybucyjnego (zwanej dalej „siecią dystrybucyjną OSDn”), zgodnie z niniejszą IRiESD. OSDn jest bezpośrednio połączony z siecią dystrybucyjną </w:t>
      </w:r>
      <w:r w:rsidR="0067718D" w:rsidRPr="00A774A2">
        <w:rPr>
          <w:rFonts w:cs="Times New Roman"/>
          <w:szCs w:val="24"/>
        </w:rPr>
        <w:t>operatora systemu dystrybucyjnego mającym bezpośrednie połączenie z siecią OSP, którym jest TAURON Dystrybucyjna S.A. (OSDp).</w:t>
      </w:r>
    </w:p>
    <w:p w14:paraId="082DF16A" w14:textId="77777777" w:rsidR="0067718D" w:rsidRPr="00D57274" w:rsidRDefault="0067718D" w:rsidP="0067718D">
      <w:pPr>
        <w:ind w:left="1418"/>
        <w:jc w:val="both"/>
        <w:rPr>
          <w:rFonts w:eastAsia="Times New Roman"/>
          <w:szCs w:val="24"/>
        </w:rPr>
      </w:pPr>
    </w:p>
    <w:p w14:paraId="4B19A097" w14:textId="77777777" w:rsidR="00D57274" w:rsidRPr="00D57274" w:rsidRDefault="00D57274" w:rsidP="00D57274">
      <w:pPr>
        <w:pStyle w:val="Default"/>
        <w:ind w:left="1134"/>
        <w:jc w:val="both"/>
        <w:rPr>
          <w:rFonts w:ascii="Cambria" w:hAnsi="Cambria" w:cs="Cambria"/>
        </w:rPr>
      </w:pPr>
      <w:r w:rsidRPr="00D57274">
        <w:rPr>
          <w:i/>
          <w:iCs/>
        </w:rPr>
        <w:t xml:space="preserve">ERG S.A. </w:t>
      </w:r>
      <w:r w:rsidRPr="00D57274">
        <w:t xml:space="preserve">będąc OSDn prowadzi dystrybucję energii elektrycznej na potrzeby odbiorców zlokalizowanych na terenie Dąbrowy Górniczej, sieciami o napięciu </w:t>
      </w:r>
      <w:r w:rsidRPr="00D57274">
        <w:br/>
        <w:t>6 kV oraz sieciami niskiego napięcia.</w:t>
      </w:r>
    </w:p>
    <w:p w14:paraId="1FD499CB" w14:textId="77777777" w:rsidR="00E609EA" w:rsidRPr="006B6809" w:rsidRDefault="00E609EA" w:rsidP="00E609EA">
      <w:pPr>
        <w:ind w:left="1494"/>
        <w:jc w:val="both"/>
        <w:rPr>
          <w:rFonts w:eastAsia="Times New Roman"/>
          <w:szCs w:val="24"/>
        </w:rPr>
      </w:pPr>
    </w:p>
    <w:p w14:paraId="3A1CC2D5" w14:textId="7FDF93A2" w:rsidR="00572BA3" w:rsidRPr="006B6809" w:rsidRDefault="00572BA3">
      <w:pPr>
        <w:numPr>
          <w:ilvl w:val="0"/>
          <w:numId w:val="39"/>
        </w:numPr>
        <w:ind w:left="1134" w:hanging="1134"/>
        <w:jc w:val="both"/>
        <w:rPr>
          <w:rFonts w:eastAsia="Times New Roman"/>
          <w:szCs w:val="24"/>
        </w:rPr>
      </w:pPr>
      <w:r w:rsidRPr="006B6809">
        <w:rPr>
          <w:rFonts w:eastAsia="Times New Roman"/>
          <w:szCs w:val="24"/>
        </w:rPr>
        <w:t>Niniejsza IRiESD spełnia w szczególności wymagania:</w:t>
      </w:r>
    </w:p>
    <w:p w14:paraId="75230FC2" w14:textId="33E25783" w:rsidR="008A1C99" w:rsidRDefault="008A1C99">
      <w:pPr>
        <w:numPr>
          <w:ilvl w:val="0"/>
          <w:numId w:val="40"/>
        </w:numPr>
        <w:ind w:left="1418" w:right="60" w:hanging="284"/>
        <w:jc w:val="both"/>
        <w:rPr>
          <w:rFonts w:eastAsia="Times New Roman" w:cs="Times New Roman"/>
          <w:color w:val="000000"/>
          <w:szCs w:val="24"/>
        </w:rPr>
      </w:pPr>
      <w:r>
        <w:rPr>
          <w:rFonts w:eastAsia="Times New Roman" w:cs="Times New Roman"/>
          <w:color w:val="000000"/>
          <w:szCs w:val="24"/>
        </w:rPr>
        <w:t>ustawy z dnia 10 kwietnia 1997 r. Prawo energetyczne (t.j. Dz. U. z</w:t>
      </w:r>
      <w:bookmarkStart w:id="5" w:name="_Hlk34217686"/>
      <w:r>
        <w:rPr>
          <w:rFonts w:eastAsia="Times New Roman" w:cs="Times New Roman"/>
          <w:color w:val="000000"/>
          <w:szCs w:val="24"/>
        </w:rPr>
        <w:t xml:space="preserve"> 2022 r. poz. 1385, 1723</w:t>
      </w:r>
      <w:r w:rsidR="002C0C2C">
        <w:rPr>
          <w:rFonts w:eastAsia="Times New Roman" w:cs="Times New Roman"/>
          <w:color w:val="000000"/>
          <w:szCs w:val="24"/>
        </w:rPr>
        <w:t>, 2127, 2243, 2370, 2687, z 2023 r. poz. 295</w:t>
      </w:r>
      <w:r>
        <w:rPr>
          <w:rFonts w:eastAsia="Times New Roman" w:cs="Times New Roman"/>
          <w:color w:val="000000"/>
          <w:szCs w:val="24"/>
        </w:rPr>
        <w:t>) zwanej dalej: „Ustawą” oraz wydanymi na jej podstawie aktami wykonawczymi,</w:t>
      </w:r>
    </w:p>
    <w:p w14:paraId="5D2074AB" w14:textId="69743988" w:rsidR="008A1C99" w:rsidRDefault="008A1C99">
      <w:pPr>
        <w:numPr>
          <w:ilvl w:val="0"/>
          <w:numId w:val="40"/>
        </w:numPr>
        <w:autoSpaceDE w:val="0"/>
        <w:autoSpaceDN w:val="0"/>
        <w:adjustRightInd w:val="0"/>
        <w:ind w:left="1418" w:right="60" w:hanging="284"/>
        <w:jc w:val="both"/>
        <w:rPr>
          <w:rFonts w:cs="Times New Roman"/>
          <w:color w:val="000000"/>
          <w:szCs w:val="24"/>
        </w:rPr>
      </w:pPr>
      <w:r>
        <w:rPr>
          <w:rFonts w:cs="Times New Roman"/>
          <w:color w:val="000000"/>
          <w:szCs w:val="24"/>
        </w:rPr>
        <w:t>ustawy z dnia 20 lutego 2015 r., o odnawialnych źródłach energii – zwanej dalej „Ustawą OZE” (t.j. Dz. U. z 2022 r. poz. 1378, 1383</w:t>
      </w:r>
      <w:r w:rsidR="00A44D96">
        <w:rPr>
          <w:rFonts w:cs="Times New Roman"/>
          <w:color w:val="000000"/>
          <w:szCs w:val="24"/>
        </w:rPr>
        <w:t>, 2370, 2687</w:t>
      </w:r>
      <w:r>
        <w:rPr>
          <w:rFonts w:cs="Times New Roman"/>
          <w:color w:val="000000"/>
          <w:szCs w:val="24"/>
        </w:rPr>
        <w:t>),</w:t>
      </w:r>
    </w:p>
    <w:p w14:paraId="4128B33D" w14:textId="7E38A7EF" w:rsidR="008A1C99" w:rsidRDefault="008A1C99">
      <w:pPr>
        <w:numPr>
          <w:ilvl w:val="0"/>
          <w:numId w:val="40"/>
        </w:numPr>
        <w:ind w:left="1418" w:right="60" w:hanging="284"/>
        <w:jc w:val="both"/>
        <w:rPr>
          <w:rFonts w:eastAsia="Times New Roman" w:cs="Times New Roman"/>
          <w:color w:val="000000"/>
          <w:szCs w:val="24"/>
        </w:rPr>
      </w:pPr>
      <w:r>
        <w:rPr>
          <w:rFonts w:eastAsia="Times New Roman" w:cs="Times New Roman"/>
          <w:color w:val="000000"/>
          <w:szCs w:val="24"/>
        </w:rPr>
        <w:t xml:space="preserve">ustawy z dnia 7 lipca 1994 r. Prawo budowlane (t.j. Dz. U. z 2021 poz. 2351, </w:t>
      </w:r>
      <w:r>
        <w:rPr>
          <w:rFonts w:eastAsia="Times New Roman" w:cs="Times New Roman"/>
          <w:color w:val="000000"/>
          <w:szCs w:val="24"/>
        </w:rPr>
        <w:br/>
        <w:t>z 2022 r. poz. 88</w:t>
      </w:r>
      <w:r w:rsidR="008E3E81">
        <w:rPr>
          <w:rFonts w:eastAsia="Times New Roman" w:cs="Times New Roman"/>
          <w:color w:val="000000"/>
          <w:szCs w:val="24"/>
        </w:rPr>
        <w:t>, 1557, 1768, 1783, 1846, 2206, 2687, z 2023 r. poz. 553</w:t>
      </w:r>
      <w:r>
        <w:rPr>
          <w:rFonts w:eastAsia="Times New Roman" w:cs="Times New Roman"/>
          <w:color w:val="000000"/>
          <w:szCs w:val="24"/>
        </w:rPr>
        <w:t>),</w:t>
      </w:r>
    </w:p>
    <w:p w14:paraId="5171134F" w14:textId="393FF273" w:rsidR="008A1C99" w:rsidRDefault="008A1C99">
      <w:pPr>
        <w:numPr>
          <w:ilvl w:val="0"/>
          <w:numId w:val="40"/>
        </w:numPr>
        <w:ind w:left="1418" w:right="60" w:hanging="284"/>
        <w:jc w:val="both"/>
        <w:rPr>
          <w:rFonts w:eastAsia="Times New Roman" w:cs="Times New Roman"/>
          <w:color w:val="000000"/>
          <w:szCs w:val="24"/>
        </w:rPr>
      </w:pPr>
      <w:r>
        <w:rPr>
          <w:rFonts w:eastAsia="Times New Roman" w:cs="Times New Roman"/>
          <w:color w:val="000000"/>
          <w:szCs w:val="24"/>
        </w:rPr>
        <w:t>ustawy z dnia 26 czerwca 1974 r. Kodeks Pracy (t.j. Dz. U. z 202</w:t>
      </w:r>
      <w:r w:rsidR="00277B5E">
        <w:rPr>
          <w:rFonts w:eastAsia="Times New Roman" w:cs="Times New Roman"/>
          <w:color w:val="000000"/>
          <w:szCs w:val="24"/>
        </w:rPr>
        <w:t>2</w:t>
      </w:r>
      <w:r>
        <w:rPr>
          <w:rFonts w:eastAsia="Times New Roman" w:cs="Times New Roman"/>
          <w:color w:val="000000"/>
          <w:szCs w:val="24"/>
        </w:rPr>
        <w:t xml:space="preserve"> r. poz. </w:t>
      </w:r>
      <w:r w:rsidR="00277B5E">
        <w:rPr>
          <w:rFonts w:eastAsia="Times New Roman" w:cs="Times New Roman"/>
          <w:color w:val="000000"/>
          <w:szCs w:val="24"/>
        </w:rPr>
        <w:t>1510, 1700, 2140, z 2023 r. poz. 240</w:t>
      </w:r>
      <w:r>
        <w:rPr>
          <w:rFonts w:eastAsia="Times New Roman" w:cs="Times New Roman"/>
          <w:color w:val="000000"/>
          <w:szCs w:val="24"/>
        </w:rPr>
        <w:t>),</w:t>
      </w:r>
    </w:p>
    <w:bookmarkEnd w:id="5"/>
    <w:p w14:paraId="5BC13D85" w14:textId="77777777" w:rsidR="00D57274" w:rsidRPr="00541D43" w:rsidRDefault="00D57274" w:rsidP="00D57274">
      <w:pPr>
        <w:numPr>
          <w:ilvl w:val="0"/>
          <w:numId w:val="40"/>
        </w:numPr>
        <w:spacing w:line="234" w:lineRule="auto"/>
        <w:ind w:left="1418" w:hanging="284"/>
        <w:jc w:val="both"/>
        <w:rPr>
          <w:rFonts w:eastAsia="Times New Roman"/>
          <w:szCs w:val="24"/>
        </w:rPr>
      </w:pPr>
      <w:r w:rsidRPr="00541D43">
        <w:rPr>
          <w:rFonts w:eastAsia="Times New Roman" w:cs="Times New Roman"/>
          <w:szCs w:val="24"/>
        </w:rPr>
        <w:t>koncesji</w:t>
      </w:r>
      <w:r>
        <w:rPr>
          <w:rFonts w:eastAsia="Times New Roman" w:cs="Times New Roman"/>
          <w:szCs w:val="24"/>
        </w:rPr>
        <w:t xml:space="preserve"> </w:t>
      </w:r>
      <w:r>
        <w:rPr>
          <w:rFonts w:cs="Times New Roman"/>
          <w:i/>
          <w:iCs/>
          <w:szCs w:val="24"/>
        </w:rPr>
        <w:t xml:space="preserve">ERG S.A. </w:t>
      </w:r>
      <w:r w:rsidRPr="00541D43">
        <w:rPr>
          <w:rFonts w:eastAsia="Times New Roman" w:cs="Times New Roman"/>
          <w:szCs w:val="24"/>
        </w:rPr>
        <w:t>na dystrybucję energii elektrycznej</w:t>
      </w:r>
      <w:r>
        <w:rPr>
          <w:rFonts w:eastAsia="Times New Roman" w:cs="Times New Roman"/>
          <w:szCs w:val="24"/>
        </w:rPr>
        <w:t xml:space="preserve"> </w:t>
      </w:r>
      <w:r>
        <w:rPr>
          <w:rFonts w:eastAsia="Times New Roman" w:cs="Times New Roman"/>
          <w:szCs w:val="24"/>
        </w:rPr>
        <w:br/>
      </w:r>
      <w:r w:rsidRPr="00541D43">
        <w:rPr>
          <w:rFonts w:eastAsia="Times New Roman" w:cs="Times New Roman"/>
          <w:szCs w:val="24"/>
        </w:rPr>
        <w:t xml:space="preserve">nr </w:t>
      </w:r>
      <w:r>
        <w:rPr>
          <w:rFonts w:eastAsia="Times New Roman" w:cs="Times New Roman"/>
          <w:szCs w:val="24"/>
        </w:rPr>
        <w:t>DEE/410/1198/W/OKA/2020/PS</w:t>
      </w:r>
      <w:r>
        <w:rPr>
          <w:rFonts w:cs="Times New Roman"/>
          <w:szCs w:val="24"/>
        </w:rPr>
        <w:t xml:space="preserve"> wydaną przez Prezesa Urzędu Regulacji Energetyki </w:t>
      </w:r>
      <w:r>
        <w:rPr>
          <w:rFonts w:eastAsia="Times New Roman"/>
          <w:szCs w:val="24"/>
        </w:rPr>
        <w:t>na okres od 6 września 2020 r. do 4 września 2030 r.</w:t>
      </w:r>
    </w:p>
    <w:p w14:paraId="1F61EB77" w14:textId="77777777" w:rsidR="00D57274" w:rsidRPr="00541D43" w:rsidRDefault="00D57274" w:rsidP="00D57274">
      <w:pPr>
        <w:numPr>
          <w:ilvl w:val="0"/>
          <w:numId w:val="40"/>
        </w:numPr>
        <w:spacing w:line="234" w:lineRule="auto"/>
        <w:ind w:left="1418" w:hanging="284"/>
        <w:jc w:val="both"/>
        <w:rPr>
          <w:rFonts w:eastAsia="Times New Roman"/>
          <w:szCs w:val="24"/>
        </w:rPr>
      </w:pPr>
      <w:r w:rsidRPr="00541D43">
        <w:rPr>
          <w:rFonts w:eastAsia="Times New Roman" w:cs="Times New Roman"/>
          <w:szCs w:val="24"/>
        </w:rPr>
        <w:t>decyzji Prezesa U</w:t>
      </w:r>
      <w:r>
        <w:rPr>
          <w:rFonts w:eastAsia="Times New Roman" w:cs="Times New Roman"/>
          <w:szCs w:val="24"/>
        </w:rPr>
        <w:t xml:space="preserve">rzędu Regulacji nr DRE.WOSE.4711.4.6.2020.DSł z dnia </w:t>
      </w:r>
      <w:r>
        <w:rPr>
          <w:rFonts w:eastAsia="Times New Roman" w:cs="Times New Roman"/>
          <w:szCs w:val="24"/>
        </w:rPr>
        <w:br/>
        <w:t xml:space="preserve">15 lipca 2020 r. o </w:t>
      </w:r>
      <w:r w:rsidRPr="00541D43">
        <w:rPr>
          <w:rFonts w:eastAsia="Times New Roman"/>
          <w:szCs w:val="24"/>
        </w:rPr>
        <w:t xml:space="preserve">wyznaczeniu </w:t>
      </w:r>
      <w:r>
        <w:rPr>
          <w:rFonts w:cs="Times New Roman"/>
          <w:i/>
          <w:iCs/>
          <w:szCs w:val="24"/>
        </w:rPr>
        <w:t xml:space="preserve">ERG S.A. </w:t>
      </w:r>
      <w:r w:rsidRPr="00541D43">
        <w:rPr>
          <w:rFonts w:eastAsia="Times New Roman"/>
          <w:szCs w:val="24"/>
        </w:rPr>
        <w:t>Operatorem Systemu Dystrybucyjnego</w:t>
      </w:r>
      <w:r>
        <w:rPr>
          <w:rFonts w:eastAsia="Times New Roman"/>
          <w:szCs w:val="24"/>
        </w:rPr>
        <w:t>.</w:t>
      </w:r>
    </w:p>
    <w:p w14:paraId="42B69062" w14:textId="05CF9AAC" w:rsidR="008D69E0" w:rsidRPr="00167889" w:rsidRDefault="008D69E0">
      <w:pPr>
        <w:numPr>
          <w:ilvl w:val="0"/>
          <w:numId w:val="40"/>
        </w:numPr>
        <w:spacing w:line="0" w:lineRule="atLeast"/>
        <w:ind w:left="1418" w:hanging="284"/>
        <w:jc w:val="both"/>
        <w:rPr>
          <w:rFonts w:eastAsia="Times New Roman"/>
          <w:szCs w:val="24"/>
        </w:rPr>
      </w:pPr>
      <w:r w:rsidRPr="00541D43">
        <w:rPr>
          <w:rFonts w:eastAsia="Times New Roman"/>
          <w:szCs w:val="24"/>
        </w:rPr>
        <w:t xml:space="preserve">Taryfy dla energii elektrycznej </w:t>
      </w:r>
      <w:r>
        <w:rPr>
          <w:rFonts w:eastAsia="Times New Roman"/>
          <w:szCs w:val="24"/>
        </w:rPr>
        <w:t xml:space="preserve">w zakresie dystrybucji energii elektrycznej </w:t>
      </w:r>
      <w:r>
        <w:rPr>
          <w:rFonts w:eastAsia="Times New Roman"/>
          <w:szCs w:val="24"/>
        </w:rPr>
        <w:br/>
      </w:r>
      <w:r w:rsidR="00D57274">
        <w:rPr>
          <w:rFonts w:eastAsia="Times New Roman"/>
          <w:i/>
          <w:iCs/>
        </w:rPr>
        <w:t>ERG S.A.</w:t>
      </w:r>
      <w:r>
        <w:rPr>
          <w:rFonts w:eastAsia="Times New Roman"/>
          <w:i/>
          <w:iCs/>
        </w:rPr>
        <w:t>,</w:t>
      </w:r>
    </w:p>
    <w:p w14:paraId="289D132E" w14:textId="77777777" w:rsidR="008A1C99" w:rsidRDefault="008A1C99">
      <w:pPr>
        <w:numPr>
          <w:ilvl w:val="0"/>
          <w:numId w:val="40"/>
        </w:numPr>
        <w:ind w:left="1418" w:right="60" w:hanging="284"/>
        <w:jc w:val="both"/>
        <w:rPr>
          <w:rFonts w:eastAsia="Times New Roman" w:cs="Times New Roman"/>
          <w:color w:val="000000"/>
          <w:szCs w:val="24"/>
        </w:rPr>
      </w:pPr>
      <w:r>
        <w:rPr>
          <w:rFonts w:eastAsia="Times New Roman" w:cs="Times New Roman"/>
          <w:color w:val="000000"/>
          <w:szCs w:val="24"/>
        </w:rPr>
        <w:t>określone w opracowanej przez operatora systemu przesyłowego (zwanego dalej: „OSP”) Instrukcji Ruchu i Eksploatacji Sieci Przesyłowej (zwaną dalej „IRiESP”), zatwierdzonej decyzją Prezesa URE,</w:t>
      </w:r>
    </w:p>
    <w:p w14:paraId="2CF58123" w14:textId="41D86EBD" w:rsidR="008A1C99" w:rsidRDefault="008A1C99">
      <w:pPr>
        <w:numPr>
          <w:ilvl w:val="0"/>
          <w:numId w:val="40"/>
        </w:numPr>
        <w:ind w:left="1418" w:right="60" w:hanging="284"/>
        <w:jc w:val="both"/>
        <w:rPr>
          <w:rFonts w:eastAsia="Times New Roman" w:cs="Times New Roman"/>
          <w:color w:val="000000"/>
          <w:szCs w:val="24"/>
        </w:rPr>
      </w:pPr>
      <w:r>
        <w:rPr>
          <w:rFonts w:eastAsia="Times New Roman" w:cs="Times New Roman"/>
          <w:color w:val="000000"/>
          <w:szCs w:val="24"/>
        </w:rPr>
        <w:t>określone w opracowanej przez operatora systemu dystrybucyjnego (zwanego dalej: „OSDp”) Instrukcji Ruchu i Eksploatacji Sieci Dystrybucyjnej (zwaną dalej „IRiESDp”), zatwierdzonej decyzją Prezesa URE.</w:t>
      </w:r>
    </w:p>
    <w:p w14:paraId="7A913410" w14:textId="77777777" w:rsidR="00836539" w:rsidRDefault="00836539" w:rsidP="00836539">
      <w:pPr>
        <w:ind w:right="60"/>
        <w:jc w:val="both"/>
        <w:rPr>
          <w:rFonts w:eastAsia="Times New Roman" w:cs="Times New Roman"/>
          <w:color w:val="000000"/>
          <w:szCs w:val="24"/>
        </w:rPr>
      </w:pPr>
    </w:p>
    <w:p w14:paraId="72E79BF1" w14:textId="77777777" w:rsidR="00836539" w:rsidRDefault="00836539" w:rsidP="00836539">
      <w:pPr>
        <w:ind w:right="60"/>
        <w:jc w:val="both"/>
        <w:rPr>
          <w:rFonts w:eastAsia="Times New Roman" w:cs="Times New Roman"/>
          <w:color w:val="000000"/>
          <w:szCs w:val="24"/>
        </w:rPr>
      </w:pPr>
    </w:p>
    <w:p w14:paraId="1D3B8075" w14:textId="77777777" w:rsidR="00836539" w:rsidRDefault="00836539" w:rsidP="00836539">
      <w:pPr>
        <w:ind w:right="60"/>
        <w:jc w:val="both"/>
        <w:rPr>
          <w:rFonts w:eastAsia="Times New Roman" w:cs="Times New Roman"/>
          <w:color w:val="000000"/>
          <w:szCs w:val="24"/>
        </w:rPr>
      </w:pPr>
    </w:p>
    <w:p w14:paraId="6167E2BF" w14:textId="77777777" w:rsidR="008A1C99" w:rsidRDefault="008A1C99">
      <w:pPr>
        <w:numPr>
          <w:ilvl w:val="0"/>
          <w:numId w:val="40"/>
        </w:numPr>
        <w:autoSpaceDE w:val="0"/>
        <w:autoSpaceDN w:val="0"/>
        <w:adjustRightInd w:val="0"/>
        <w:ind w:left="1560" w:right="60" w:hanging="426"/>
        <w:jc w:val="both"/>
        <w:rPr>
          <w:rFonts w:cs="Times New Roman"/>
          <w:color w:val="000000"/>
          <w:szCs w:val="24"/>
        </w:rPr>
      </w:pPr>
      <w:r>
        <w:rPr>
          <w:rFonts w:cs="Times New Roman"/>
          <w:color w:val="000000"/>
          <w:szCs w:val="24"/>
        </w:rPr>
        <w:lastRenderedPageBreak/>
        <w:t xml:space="preserve">zawarte w: </w:t>
      </w:r>
    </w:p>
    <w:p w14:paraId="69729AB7" w14:textId="098BB00C" w:rsidR="008A1C99" w:rsidRDefault="008A1C99">
      <w:pPr>
        <w:numPr>
          <w:ilvl w:val="0"/>
          <w:numId w:val="267"/>
        </w:numPr>
        <w:autoSpaceDE w:val="0"/>
        <w:autoSpaceDN w:val="0"/>
        <w:adjustRightInd w:val="0"/>
        <w:ind w:left="1701" w:right="60" w:hanging="283"/>
        <w:jc w:val="both"/>
        <w:rPr>
          <w:rFonts w:cs="Times New Roman"/>
          <w:color w:val="000000"/>
          <w:szCs w:val="24"/>
        </w:rPr>
      </w:pPr>
      <w:r>
        <w:rPr>
          <w:rFonts w:cs="Times New Roman"/>
          <w:color w:val="000000"/>
          <w:szCs w:val="24"/>
        </w:rPr>
        <w:t xml:space="preserve">rozporządzeniu Komisji (UE) 2017/2195 z dnia 23 listopada 2017 r. ustanawiającym wytyczne dotyczące bilansowania (Dz. Urz. UE L 312/6 </w:t>
      </w:r>
      <w:r>
        <w:rPr>
          <w:rFonts w:cs="Times New Roman"/>
          <w:color w:val="000000"/>
          <w:szCs w:val="24"/>
        </w:rPr>
        <w:br/>
        <w:t>z 28.11.2017 r.</w:t>
      </w:r>
      <w:r w:rsidR="00BA4E63">
        <w:rPr>
          <w:rFonts w:cs="Times New Roman"/>
          <w:color w:val="000000"/>
          <w:szCs w:val="24"/>
        </w:rPr>
        <w:t xml:space="preserve"> z późn. zm.</w:t>
      </w:r>
      <w:r>
        <w:rPr>
          <w:rFonts w:cs="Times New Roman"/>
          <w:color w:val="000000"/>
          <w:szCs w:val="24"/>
        </w:rPr>
        <w:t xml:space="preserve">) - EB GL, </w:t>
      </w:r>
    </w:p>
    <w:p w14:paraId="6CA65CCF" w14:textId="77777777" w:rsidR="008A1C99" w:rsidRDefault="008A1C99">
      <w:pPr>
        <w:numPr>
          <w:ilvl w:val="0"/>
          <w:numId w:val="267"/>
        </w:numPr>
        <w:autoSpaceDE w:val="0"/>
        <w:autoSpaceDN w:val="0"/>
        <w:adjustRightInd w:val="0"/>
        <w:ind w:left="1701" w:right="60" w:hanging="283"/>
        <w:jc w:val="both"/>
        <w:rPr>
          <w:rFonts w:cs="Times New Roman"/>
          <w:color w:val="000000"/>
          <w:szCs w:val="24"/>
        </w:rPr>
      </w:pPr>
      <w:r>
        <w:rPr>
          <w:rFonts w:cs="Times New Roman"/>
          <w:color w:val="000000"/>
          <w:szCs w:val="24"/>
        </w:rPr>
        <w:t xml:space="preserve">rozporządzeniu Komisji (UE) 2016/631 z dnia 14 kwietnia 2016 r. ustanawiającym kodeks sieci dotyczący wymogów w zakresie przyłączenia jednostek wytwórczych do sieci (Dz. Urz. UE L 112/1 z 27.4.2016) - NC RfG, </w:t>
      </w:r>
    </w:p>
    <w:p w14:paraId="4543547B" w14:textId="77777777" w:rsidR="008A1C99" w:rsidRDefault="008A1C99">
      <w:pPr>
        <w:numPr>
          <w:ilvl w:val="0"/>
          <w:numId w:val="267"/>
        </w:numPr>
        <w:autoSpaceDE w:val="0"/>
        <w:autoSpaceDN w:val="0"/>
        <w:adjustRightInd w:val="0"/>
        <w:ind w:left="1701" w:right="60" w:hanging="283"/>
        <w:jc w:val="both"/>
        <w:rPr>
          <w:rFonts w:cs="Times New Roman"/>
          <w:color w:val="000000"/>
          <w:szCs w:val="24"/>
        </w:rPr>
      </w:pPr>
      <w:r>
        <w:rPr>
          <w:rFonts w:cs="Times New Roman"/>
          <w:color w:val="000000"/>
          <w:szCs w:val="24"/>
        </w:rPr>
        <w:t xml:space="preserve">rozporządzeniu Komisji (UE) 2016/1388 z dnia 17 sierpnia 2016 r. ustanawiającym kodeks sieci dotyczący przyłączenia odbioru (Dz. Urz. UE </w:t>
      </w:r>
      <w:r>
        <w:rPr>
          <w:rFonts w:cs="Times New Roman"/>
          <w:color w:val="000000"/>
          <w:szCs w:val="24"/>
        </w:rPr>
        <w:br/>
        <w:t xml:space="preserve">L 223/10 z 18.8.2016) - NC DC, </w:t>
      </w:r>
    </w:p>
    <w:p w14:paraId="430CC016" w14:textId="77777777" w:rsidR="008A1C99" w:rsidRDefault="008A1C99">
      <w:pPr>
        <w:numPr>
          <w:ilvl w:val="0"/>
          <w:numId w:val="267"/>
        </w:numPr>
        <w:autoSpaceDE w:val="0"/>
        <w:autoSpaceDN w:val="0"/>
        <w:adjustRightInd w:val="0"/>
        <w:ind w:left="1701" w:right="60" w:hanging="283"/>
        <w:jc w:val="both"/>
        <w:rPr>
          <w:rFonts w:cs="Times New Roman"/>
          <w:color w:val="000000"/>
          <w:szCs w:val="24"/>
        </w:rPr>
      </w:pPr>
      <w:r>
        <w:rPr>
          <w:rFonts w:cs="Times New Roman"/>
          <w:color w:val="000000"/>
          <w:szCs w:val="24"/>
        </w:rPr>
        <w:t xml:space="preserve">rozporządzeniu Komisji (UE) 2016/1447 z dnia 26 sierpnia 2016 r. ustanawiającym kodeks sieci określający wymogi dotyczące przyłączenia do sieci systemów wysokiego napięcia prądu stałego oraz modułów parku energii z podłączeniem prądu stałego (Dz. Urz. UE L 241/1 z 8.9.2016) - NC HVDC, </w:t>
      </w:r>
    </w:p>
    <w:p w14:paraId="5B31D7D1" w14:textId="77777777" w:rsidR="008A1C99" w:rsidRDefault="008A1C99">
      <w:pPr>
        <w:numPr>
          <w:ilvl w:val="0"/>
          <w:numId w:val="267"/>
        </w:numPr>
        <w:autoSpaceDE w:val="0"/>
        <w:autoSpaceDN w:val="0"/>
        <w:adjustRightInd w:val="0"/>
        <w:ind w:left="1701" w:right="60" w:hanging="283"/>
        <w:jc w:val="both"/>
        <w:rPr>
          <w:rFonts w:cs="Times New Roman"/>
          <w:color w:val="000000"/>
          <w:szCs w:val="24"/>
        </w:rPr>
      </w:pPr>
      <w:r>
        <w:rPr>
          <w:rFonts w:cs="Times New Roman"/>
          <w:color w:val="000000"/>
          <w:szCs w:val="24"/>
        </w:rPr>
        <w:t xml:space="preserve">rozporządzeniu Komisji (UE) 2017/1485 z dnia 2 sierpnia 2017 r. ustanawiającym wytyczne dotyczące pracy systemu przesyłowego energii elektrycznej (Dz. Urz. UE L 220/1 z 25.8.2017) - SO GL, </w:t>
      </w:r>
    </w:p>
    <w:p w14:paraId="2231663D" w14:textId="77777777" w:rsidR="008A1C99" w:rsidRDefault="008A1C99">
      <w:pPr>
        <w:numPr>
          <w:ilvl w:val="0"/>
          <w:numId w:val="267"/>
        </w:numPr>
        <w:autoSpaceDE w:val="0"/>
        <w:autoSpaceDN w:val="0"/>
        <w:adjustRightInd w:val="0"/>
        <w:ind w:left="1701" w:right="60" w:hanging="283"/>
        <w:jc w:val="both"/>
        <w:rPr>
          <w:rFonts w:cs="Times New Roman"/>
          <w:color w:val="000000"/>
          <w:szCs w:val="24"/>
        </w:rPr>
      </w:pPr>
      <w:r>
        <w:rPr>
          <w:rFonts w:cs="Times New Roman"/>
          <w:color w:val="000000"/>
          <w:szCs w:val="24"/>
        </w:rPr>
        <w:t xml:space="preserve">rozporządzeniu Komisji (UE) 2017/2196 z dnia 24 listopada 2017 r. ustanawiającym kodeks sieci dotyczący stanu zagrożenia i stanu odbudowy systemów elektroenergetycznych (Dz. Urz. UE L 312/54 z 28.11.2017 r.) - </w:t>
      </w:r>
      <w:r>
        <w:rPr>
          <w:rFonts w:cs="Times New Roman"/>
          <w:color w:val="000000"/>
          <w:szCs w:val="24"/>
        </w:rPr>
        <w:br/>
        <w:t xml:space="preserve">NC ER; </w:t>
      </w:r>
    </w:p>
    <w:p w14:paraId="5C2BE88F" w14:textId="77777777" w:rsidR="008A1C99" w:rsidRDefault="008A1C99" w:rsidP="008A1C99">
      <w:pPr>
        <w:autoSpaceDE w:val="0"/>
        <w:autoSpaceDN w:val="0"/>
        <w:adjustRightInd w:val="0"/>
        <w:ind w:left="1418" w:right="60" w:hanging="284"/>
        <w:jc w:val="both"/>
        <w:rPr>
          <w:rFonts w:cs="Times New Roman"/>
          <w:color w:val="000000"/>
          <w:szCs w:val="24"/>
        </w:rPr>
      </w:pPr>
      <w:r>
        <w:rPr>
          <w:rFonts w:cs="Times New Roman"/>
          <w:color w:val="000000"/>
          <w:szCs w:val="24"/>
        </w:rPr>
        <w:t xml:space="preserve">zwanymi dalej łącznie „Kodeksami sieci”. </w:t>
      </w:r>
    </w:p>
    <w:p w14:paraId="1B858AD8" w14:textId="77777777" w:rsidR="008A1C99" w:rsidRDefault="008A1C99" w:rsidP="008A1C99">
      <w:pPr>
        <w:autoSpaceDE w:val="0"/>
        <w:autoSpaceDN w:val="0"/>
        <w:adjustRightInd w:val="0"/>
        <w:ind w:left="1418" w:right="60" w:hanging="284"/>
        <w:jc w:val="both"/>
        <w:rPr>
          <w:rFonts w:cs="Times New Roman"/>
          <w:color w:val="000000"/>
          <w:szCs w:val="24"/>
        </w:rPr>
      </w:pPr>
    </w:p>
    <w:p w14:paraId="6D2C5296" w14:textId="2FF4D76B" w:rsidR="008A1C99" w:rsidRDefault="008A1C99">
      <w:pPr>
        <w:numPr>
          <w:ilvl w:val="0"/>
          <w:numId w:val="40"/>
        </w:numPr>
        <w:autoSpaceDE w:val="0"/>
        <w:autoSpaceDN w:val="0"/>
        <w:adjustRightInd w:val="0"/>
        <w:ind w:left="1560" w:right="60" w:hanging="426"/>
        <w:jc w:val="both"/>
        <w:rPr>
          <w:rFonts w:cs="Times New Roman"/>
          <w:color w:val="000000"/>
          <w:sz w:val="23"/>
          <w:szCs w:val="23"/>
        </w:rPr>
      </w:pPr>
      <w:r>
        <w:rPr>
          <w:rFonts w:cs="Times New Roman"/>
          <w:color w:val="000000"/>
          <w:sz w:val="23"/>
          <w:szCs w:val="23"/>
        </w:rPr>
        <w:t>ustawy z dnia 8 grudnia 2017 r. o rynku mocy, zwanej dalej „ustawą o rynku mocy” (Dz. U. z 2021 r. poz. 1854</w:t>
      </w:r>
      <w:r w:rsidR="00AF62AB">
        <w:rPr>
          <w:rFonts w:cs="Times New Roman"/>
          <w:color w:val="000000"/>
          <w:sz w:val="23"/>
          <w:szCs w:val="23"/>
        </w:rPr>
        <w:t>, z 2022 r. poz. 2243</w:t>
      </w:r>
      <w:r>
        <w:rPr>
          <w:rFonts w:cs="Times New Roman"/>
          <w:color w:val="000000"/>
          <w:sz w:val="23"/>
          <w:szCs w:val="23"/>
        </w:rPr>
        <w:t xml:space="preserve">), </w:t>
      </w:r>
    </w:p>
    <w:p w14:paraId="586947B1" w14:textId="09075277" w:rsidR="008A1C99" w:rsidRPr="00BA4E63" w:rsidRDefault="008A1C99">
      <w:pPr>
        <w:numPr>
          <w:ilvl w:val="0"/>
          <w:numId w:val="40"/>
        </w:numPr>
        <w:autoSpaceDE w:val="0"/>
        <w:autoSpaceDN w:val="0"/>
        <w:adjustRightInd w:val="0"/>
        <w:ind w:left="1560" w:right="60" w:hanging="426"/>
        <w:jc w:val="both"/>
        <w:rPr>
          <w:rFonts w:cs="Times New Roman"/>
          <w:color w:val="000000"/>
          <w:szCs w:val="24"/>
        </w:rPr>
      </w:pPr>
      <w:r>
        <w:rPr>
          <w:rFonts w:cs="Times New Roman"/>
          <w:color w:val="000000"/>
          <w:sz w:val="23"/>
          <w:szCs w:val="23"/>
        </w:rPr>
        <w:t>ustawy z dnia 11 stycznia 2018 r. o elektromobilności i paliwach alternatywnych, zwanej dalej „ustawą o elektromobilności” (Dz. U. z 2022 r. poz. 1083, 1260</w:t>
      </w:r>
      <w:r w:rsidR="00736F8B">
        <w:rPr>
          <w:rFonts w:cs="Times New Roman"/>
          <w:color w:val="000000"/>
          <w:sz w:val="23"/>
          <w:szCs w:val="23"/>
        </w:rPr>
        <w:t>, 2687</w:t>
      </w:r>
      <w:r>
        <w:rPr>
          <w:rFonts w:cs="Times New Roman"/>
          <w:color w:val="000000"/>
          <w:sz w:val="23"/>
          <w:szCs w:val="23"/>
        </w:rPr>
        <w:t>)</w:t>
      </w:r>
      <w:r w:rsidR="00BA4E63">
        <w:rPr>
          <w:rFonts w:cs="Times New Roman"/>
          <w:color w:val="000000"/>
          <w:sz w:val="23"/>
          <w:szCs w:val="23"/>
        </w:rPr>
        <w:t>,</w:t>
      </w:r>
    </w:p>
    <w:p w14:paraId="2A70B327" w14:textId="062A73A1" w:rsidR="00BA4E63" w:rsidRPr="00BA4E63" w:rsidRDefault="00BA4E63">
      <w:pPr>
        <w:numPr>
          <w:ilvl w:val="0"/>
          <w:numId w:val="40"/>
        </w:numPr>
        <w:autoSpaceDE w:val="0"/>
        <w:autoSpaceDN w:val="0"/>
        <w:adjustRightInd w:val="0"/>
        <w:ind w:left="1560" w:right="60" w:hanging="426"/>
        <w:jc w:val="both"/>
        <w:rPr>
          <w:rFonts w:cs="Times New Roman"/>
          <w:color w:val="000000"/>
          <w:szCs w:val="24"/>
        </w:rPr>
      </w:pPr>
      <w:r>
        <w:rPr>
          <w:rFonts w:cs="Times New Roman"/>
          <w:color w:val="000000"/>
          <w:sz w:val="23"/>
          <w:szCs w:val="23"/>
        </w:rPr>
        <w:t>IRiESP,</w:t>
      </w:r>
    </w:p>
    <w:p w14:paraId="6BFA1210" w14:textId="077F01B4" w:rsidR="00BA4E63" w:rsidRPr="00BA4E63" w:rsidRDefault="00BA4E63">
      <w:pPr>
        <w:numPr>
          <w:ilvl w:val="0"/>
          <w:numId w:val="40"/>
        </w:numPr>
        <w:autoSpaceDE w:val="0"/>
        <w:autoSpaceDN w:val="0"/>
        <w:adjustRightInd w:val="0"/>
        <w:ind w:left="1560" w:right="60" w:hanging="426"/>
        <w:jc w:val="both"/>
        <w:rPr>
          <w:rFonts w:cs="Times New Roman"/>
          <w:color w:val="000000"/>
          <w:szCs w:val="24"/>
        </w:rPr>
      </w:pPr>
      <w:r>
        <w:rPr>
          <w:rFonts w:cs="Times New Roman"/>
          <w:color w:val="000000"/>
          <w:sz w:val="23"/>
          <w:szCs w:val="23"/>
        </w:rPr>
        <w:t>IRiESP-OIRE,</w:t>
      </w:r>
    </w:p>
    <w:p w14:paraId="41831C19" w14:textId="23E8A761" w:rsidR="00BA4E63" w:rsidRDefault="00BA4E63">
      <w:pPr>
        <w:numPr>
          <w:ilvl w:val="0"/>
          <w:numId w:val="40"/>
        </w:numPr>
        <w:autoSpaceDE w:val="0"/>
        <w:autoSpaceDN w:val="0"/>
        <w:adjustRightInd w:val="0"/>
        <w:ind w:left="1560" w:right="60" w:hanging="426"/>
        <w:jc w:val="both"/>
        <w:rPr>
          <w:rFonts w:cs="Times New Roman"/>
          <w:color w:val="000000"/>
          <w:szCs w:val="24"/>
        </w:rPr>
      </w:pPr>
      <w:r>
        <w:rPr>
          <w:rFonts w:cs="Times New Roman"/>
          <w:color w:val="000000"/>
          <w:sz w:val="23"/>
          <w:szCs w:val="23"/>
        </w:rPr>
        <w:t>Taryfy OSDn.</w:t>
      </w:r>
    </w:p>
    <w:p w14:paraId="71311970" w14:textId="77777777" w:rsidR="00C450DF" w:rsidRPr="00541D43" w:rsidRDefault="00C450DF" w:rsidP="006B6809">
      <w:pPr>
        <w:ind w:left="1134" w:right="40"/>
        <w:jc w:val="both"/>
        <w:rPr>
          <w:rFonts w:eastAsia="Times New Roman"/>
          <w:szCs w:val="24"/>
        </w:rPr>
      </w:pPr>
    </w:p>
    <w:p w14:paraId="03A9CDEF" w14:textId="7FB0E0F9" w:rsidR="00572BA3" w:rsidRPr="006B6809" w:rsidRDefault="0039084D">
      <w:pPr>
        <w:numPr>
          <w:ilvl w:val="0"/>
          <w:numId w:val="39"/>
        </w:numPr>
        <w:ind w:left="1134" w:hanging="1134"/>
        <w:jc w:val="both"/>
        <w:rPr>
          <w:rFonts w:eastAsia="Times New Roman"/>
          <w:szCs w:val="24"/>
        </w:rPr>
      </w:pPr>
      <w:r w:rsidRPr="00D80DE5">
        <w:t xml:space="preserve">Uwzględniając warunki określone w niniejszej IRiESD - OSDn w celu realizacji ustawowych zadań przyjmuje do stosowania instrukcje eksploatacji obiektów </w:t>
      </w:r>
      <w:r w:rsidRPr="00D80DE5">
        <w:br/>
        <w:t xml:space="preserve">i urządzeń, instrukcje ruchowe oraz instrukcje organizacji bezpiecznej pracy, </w:t>
      </w:r>
      <w:r>
        <w:br/>
      </w:r>
      <w:r w:rsidRPr="00D80DE5">
        <w:t>a także dokumenty opracowane na podstawie Kodeksów sieci.</w:t>
      </w:r>
    </w:p>
    <w:p w14:paraId="244E0133" w14:textId="655E2941" w:rsidR="00572BA3" w:rsidRDefault="00572BA3">
      <w:pPr>
        <w:numPr>
          <w:ilvl w:val="0"/>
          <w:numId w:val="39"/>
        </w:numPr>
        <w:ind w:left="1134" w:hanging="1134"/>
        <w:jc w:val="both"/>
        <w:rPr>
          <w:rFonts w:eastAsia="Times New Roman"/>
        </w:rPr>
      </w:pPr>
      <w:r w:rsidRPr="00541D43">
        <w:rPr>
          <w:rFonts w:eastAsia="Times New Roman"/>
          <w:szCs w:val="24"/>
        </w:rPr>
        <w:t xml:space="preserve">Niniejsza IRiESD określa szczegółowe warunki korzystania z sieci dystrybucyjnych </w:t>
      </w:r>
      <w:r w:rsidR="0007785F" w:rsidRPr="00541D43">
        <w:rPr>
          <w:rFonts w:eastAsia="Times New Roman"/>
          <w:szCs w:val="24"/>
        </w:rPr>
        <w:t xml:space="preserve">OSDn </w:t>
      </w:r>
      <w:r w:rsidRPr="00541D43">
        <w:rPr>
          <w:rFonts w:eastAsia="Times New Roman"/>
          <w:szCs w:val="24"/>
        </w:rPr>
        <w:t>przez jej użytkowników oraz warunki i sposób</w:t>
      </w:r>
      <w:r>
        <w:rPr>
          <w:rFonts w:eastAsia="Times New Roman"/>
        </w:rPr>
        <w:t xml:space="preserve"> prowadzenia ruchu, eksploatacji, planowania rozwoju tych sieci, a także bilansowania systemu dystrybucyjnego i zarządzania ograniczeniami systemowymi w sieci </w:t>
      </w:r>
      <w:r w:rsidR="003A4CEB">
        <w:rPr>
          <w:rFonts w:eastAsia="Times New Roman"/>
        </w:rPr>
        <w:t>OSDn</w:t>
      </w:r>
      <w:r>
        <w:rPr>
          <w:rFonts w:eastAsia="Times New Roman"/>
        </w:rPr>
        <w:t xml:space="preserve">, </w:t>
      </w:r>
      <w:r w:rsidR="003F2CEC">
        <w:rPr>
          <w:rFonts w:eastAsia="Times New Roman"/>
        </w:rPr>
        <w:br/>
      </w:r>
      <w:r>
        <w:rPr>
          <w:rFonts w:eastAsia="Times New Roman"/>
        </w:rPr>
        <w:t>w szczególności dotyczące:</w:t>
      </w:r>
    </w:p>
    <w:p w14:paraId="5F90BDEB" w14:textId="0704C368" w:rsidR="00572BA3" w:rsidRDefault="00572BA3" w:rsidP="0008709D">
      <w:pPr>
        <w:numPr>
          <w:ilvl w:val="0"/>
          <w:numId w:val="1"/>
        </w:numPr>
        <w:tabs>
          <w:tab w:val="left" w:pos="1500"/>
        </w:tabs>
        <w:ind w:left="1500" w:hanging="368"/>
        <w:jc w:val="both"/>
        <w:rPr>
          <w:rFonts w:eastAsia="Times New Roman"/>
          <w:sz w:val="23"/>
        </w:rPr>
      </w:pPr>
      <w:bookmarkStart w:id="6" w:name="page9"/>
      <w:bookmarkEnd w:id="6"/>
      <w:r>
        <w:rPr>
          <w:rFonts w:eastAsia="Times New Roman"/>
          <w:sz w:val="23"/>
        </w:rPr>
        <w:t>przyłączania urządzeń wytwórczych,</w:t>
      </w:r>
      <w:r w:rsidR="00BB7AA1">
        <w:rPr>
          <w:rFonts w:eastAsia="Times New Roman"/>
          <w:sz w:val="23"/>
        </w:rPr>
        <w:t xml:space="preserve"> magazynów energii,</w:t>
      </w:r>
      <w:r>
        <w:rPr>
          <w:rFonts w:eastAsia="Times New Roman"/>
          <w:sz w:val="23"/>
        </w:rPr>
        <w:t xml:space="preserve"> sieci dystrybucyjnych, urządzeń odbiorców końcowych</w:t>
      </w:r>
      <w:r w:rsidR="00CB2758">
        <w:rPr>
          <w:rFonts w:eastAsia="Times New Roman"/>
          <w:sz w:val="23"/>
        </w:rPr>
        <w:t xml:space="preserve"> o</w:t>
      </w:r>
      <w:r>
        <w:rPr>
          <w:rFonts w:eastAsia="Times New Roman"/>
          <w:sz w:val="23"/>
        </w:rPr>
        <w:t>raz linii bezpośrednich,</w:t>
      </w:r>
    </w:p>
    <w:p w14:paraId="4ED2C9A5" w14:textId="77777777" w:rsidR="00572BA3" w:rsidRDefault="00572BA3" w:rsidP="0008709D">
      <w:pPr>
        <w:numPr>
          <w:ilvl w:val="0"/>
          <w:numId w:val="1"/>
        </w:numPr>
        <w:tabs>
          <w:tab w:val="left" w:pos="1500"/>
        </w:tabs>
        <w:ind w:left="1500" w:hanging="368"/>
        <w:jc w:val="both"/>
        <w:rPr>
          <w:rFonts w:eastAsia="Times New Roman"/>
        </w:rPr>
      </w:pPr>
      <w:r>
        <w:rPr>
          <w:rFonts w:eastAsia="Times New Roman"/>
        </w:rPr>
        <w:t>wymagań technicznych dla urządzeń, instalacji i sieci wraz z niezbędną infrastrukturą pomocniczą,</w:t>
      </w:r>
    </w:p>
    <w:p w14:paraId="078EA0A7" w14:textId="77777777" w:rsidR="00572BA3" w:rsidRPr="00031FA2" w:rsidRDefault="00572BA3" w:rsidP="0008709D">
      <w:pPr>
        <w:numPr>
          <w:ilvl w:val="0"/>
          <w:numId w:val="1"/>
        </w:numPr>
        <w:tabs>
          <w:tab w:val="left" w:pos="1500"/>
        </w:tabs>
        <w:ind w:left="1500" w:hanging="368"/>
        <w:jc w:val="both"/>
        <w:rPr>
          <w:rFonts w:eastAsia="Times New Roman"/>
        </w:rPr>
      </w:pPr>
      <w:r>
        <w:rPr>
          <w:rFonts w:eastAsia="Times New Roman"/>
        </w:rPr>
        <w:t xml:space="preserve">kryteriów bezpieczeństwa funkcjonowania systemu elektroenergetycznego, </w:t>
      </w:r>
      <w:r w:rsidR="004478BB">
        <w:rPr>
          <w:rFonts w:eastAsia="Times New Roman"/>
        </w:rPr>
        <w:br/>
      </w:r>
      <w:r>
        <w:rPr>
          <w:rFonts w:eastAsia="Times New Roman"/>
        </w:rPr>
        <w:t xml:space="preserve">w tym uzgadniania planów działania na wypadek zagrożenia wystąpienia awarii o znacznych rozmiarach w systemie elektroenergetycznym oraz odbudowy tego </w:t>
      </w:r>
      <w:r w:rsidRPr="00031FA2">
        <w:rPr>
          <w:rFonts w:eastAsia="Times New Roman"/>
        </w:rPr>
        <w:t>systemu po wystąpieniu awarii,</w:t>
      </w:r>
    </w:p>
    <w:p w14:paraId="05B5D4C1" w14:textId="77777777" w:rsidR="00572BA3" w:rsidRPr="00031FA2" w:rsidRDefault="00572BA3" w:rsidP="0008709D">
      <w:pPr>
        <w:numPr>
          <w:ilvl w:val="0"/>
          <w:numId w:val="1"/>
        </w:numPr>
        <w:tabs>
          <w:tab w:val="left" w:pos="1500"/>
        </w:tabs>
        <w:ind w:left="1500" w:hanging="368"/>
        <w:jc w:val="both"/>
        <w:rPr>
          <w:rFonts w:eastAsia="Times New Roman"/>
        </w:rPr>
      </w:pPr>
      <w:r w:rsidRPr="00031FA2">
        <w:rPr>
          <w:rFonts w:eastAsia="Times New Roman"/>
        </w:rPr>
        <w:lastRenderedPageBreak/>
        <w:t xml:space="preserve">współpracy między operatorami systemów elektroenergetycznych, w tym </w:t>
      </w:r>
      <w:r w:rsidR="001B28C7" w:rsidRPr="00031FA2">
        <w:rPr>
          <w:rFonts w:eastAsia="Times New Roman"/>
        </w:rPr>
        <w:br/>
      </w:r>
      <w:r w:rsidRPr="00031FA2">
        <w:rPr>
          <w:rFonts w:eastAsia="Times New Roman"/>
        </w:rPr>
        <w:t xml:space="preserve">w zakresie niezbędnego układu połączeń sieci oraz zakresu, sposobu </w:t>
      </w:r>
      <w:r w:rsidR="00B20568" w:rsidRPr="00031FA2">
        <w:rPr>
          <w:rFonts w:eastAsia="Times New Roman"/>
        </w:rPr>
        <w:br/>
      </w:r>
      <w:r w:rsidRPr="00031FA2">
        <w:rPr>
          <w:rFonts w:eastAsia="Times New Roman"/>
        </w:rPr>
        <w:t>i harmonogramu przekazywania informacji,</w:t>
      </w:r>
    </w:p>
    <w:p w14:paraId="2BAF986D" w14:textId="77777777" w:rsidR="00572BA3" w:rsidRPr="00031FA2" w:rsidRDefault="00572BA3" w:rsidP="0008709D">
      <w:pPr>
        <w:numPr>
          <w:ilvl w:val="0"/>
          <w:numId w:val="1"/>
        </w:numPr>
        <w:tabs>
          <w:tab w:val="left" w:pos="1500"/>
        </w:tabs>
        <w:ind w:left="1500" w:hanging="368"/>
        <w:jc w:val="both"/>
        <w:rPr>
          <w:rFonts w:eastAsia="Times New Roman"/>
          <w:i/>
          <w:iCs/>
        </w:rPr>
      </w:pPr>
      <w:r w:rsidRPr="00031FA2">
        <w:rPr>
          <w:rFonts w:eastAsia="Times New Roman"/>
        </w:rPr>
        <w:t>przekazywania informacji pomiędzy przedsiębiorstwami energetycznymi oraz pomiędzy przedsiębiorstwami</w:t>
      </w:r>
      <w:r w:rsidRPr="00031FA2">
        <w:rPr>
          <w:rFonts w:eastAsia="Times New Roman"/>
          <w:i/>
          <w:iCs/>
        </w:rPr>
        <w:t xml:space="preserve"> energetycznymi a odbiorcami,</w:t>
      </w:r>
    </w:p>
    <w:p w14:paraId="0A775CCD" w14:textId="77777777" w:rsidR="00572BA3" w:rsidRPr="00031FA2" w:rsidRDefault="00572BA3" w:rsidP="0008709D">
      <w:pPr>
        <w:numPr>
          <w:ilvl w:val="0"/>
          <w:numId w:val="1"/>
        </w:numPr>
        <w:tabs>
          <w:tab w:val="left" w:pos="1500"/>
        </w:tabs>
        <w:ind w:left="1500" w:hanging="368"/>
        <w:jc w:val="both"/>
        <w:rPr>
          <w:rFonts w:eastAsia="Times New Roman"/>
        </w:rPr>
      </w:pPr>
      <w:r w:rsidRPr="00031FA2">
        <w:rPr>
          <w:rFonts w:eastAsia="Times New Roman"/>
        </w:rPr>
        <w:t>parametrów jakościowych energii elektrycznej i standardów jakościowych obsługi użytkowników systemu,</w:t>
      </w:r>
    </w:p>
    <w:p w14:paraId="202FD7BA" w14:textId="77777777" w:rsidR="00572BA3" w:rsidRDefault="00572BA3" w:rsidP="0008709D">
      <w:pPr>
        <w:tabs>
          <w:tab w:val="left" w:pos="1480"/>
        </w:tabs>
        <w:ind w:left="1500" w:hanging="359"/>
        <w:jc w:val="both"/>
        <w:rPr>
          <w:rFonts w:eastAsia="Times New Roman"/>
        </w:rPr>
      </w:pPr>
      <w:r w:rsidRPr="00031FA2">
        <w:rPr>
          <w:rFonts w:eastAsia="Times New Roman"/>
        </w:rPr>
        <w:t>7)</w:t>
      </w:r>
      <w:r w:rsidRPr="00031FA2">
        <w:rPr>
          <w:rFonts w:eastAsia="Times New Roman"/>
        </w:rPr>
        <w:tab/>
        <w:t>wymagań w zakresie bezpieczeństwa pracy sieci elektroenergetycznej</w:t>
      </w:r>
      <w:r>
        <w:rPr>
          <w:rFonts w:eastAsia="Times New Roman"/>
        </w:rPr>
        <w:t xml:space="preserve"> </w:t>
      </w:r>
      <w:r w:rsidR="00C03DF2">
        <w:rPr>
          <w:rFonts w:eastAsia="Times New Roman"/>
        </w:rPr>
        <w:br/>
      </w:r>
      <w:r>
        <w:rPr>
          <w:rFonts w:eastAsia="Times New Roman"/>
        </w:rPr>
        <w:t>i warunków, jakie muszą zostać spełnione dla jego utrzymania,</w:t>
      </w:r>
    </w:p>
    <w:p w14:paraId="6673B756" w14:textId="77777777" w:rsidR="00572BA3" w:rsidRDefault="00572BA3">
      <w:pPr>
        <w:numPr>
          <w:ilvl w:val="0"/>
          <w:numId w:val="53"/>
        </w:numPr>
        <w:ind w:left="1418" w:hanging="284"/>
        <w:jc w:val="both"/>
        <w:rPr>
          <w:rFonts w:eastAsia="Times New Roman"/>
        </w:rPr>
      </w:pPr>
      <w:r>
        <w:rPr>
          <w:rFonts w:eastAsia="Times New Roman"/>
        </w:rPr>
        <w:t>wskaźników charakteryzujących jakość i niezawodność dostaw energii elektrycznej oraz bezpieczeństwa pracy sieci elektroenergetycznej,</w:t>
      </w:r>
    </w:p>
    <w:p w14:paraId="6C3F8E90" w14:textId="77777777" w:rsidR="00A674CB" w:rsidRPr="00A674CB" w:rsidRDefault="00572BA3">
      <w:pPr>
        <w:numPr>
          <w:ilvl w:val="0"/>
          <w:numId w:val="53"/>
        </w:numPr>
        <w:spacing w:before="1"/>
        <w:ind w:left="1560" w:hanging="426"/>
        <w:jc w:val="both"/>
        <w:rPr>
          <w:color w:val="000000" w:themeColor="text1"/>
          <w:szCs w:val="24"/>
        </w:rPr>
      </w:pPr>
      <w:r w:rsidRPr="00A674CB">
        <w:rPr>
          <w:rFonts w:eastAsia="Times New Roman"/>
        </w:rPr>
        <w:t>zasad bilansowania systemu dystrybucyjnego i zarządzania ograniczeniami systemowymi</w:t>
      </w:r>
      <w:r w:rsidR="00A674CB" w:rsidRPr="00A674CB">
        <w:rPr>
          <w:rFonts w:eastAsia="Times New Roman"/>
        </w:rPr>
        <w:t xml:space="preserve">, </w:t>
      </w:r>
    </w:p>
    <w:p w14:paraId="19C27482" w14:textId="77777777" w:rsidR="00A674CB" w:rsidRDefault="00A674CB">
      <w:pPr>
        <w:numPr>
          <w:ilvl w:val="0"/>
          <w:numId w:val="53"/>
        </w:numPr>
        <w:spacing w:before="9" w:line="278" w:lineRule="auto"/>
        <w:ind w:left="1560" w:right="60" w:hanging="426"/>
        <w:jc w:val="both"/>
        <w:rPr>
          <w:color w:val="000000" w:themeColor="text1"/>
          <w:szCs w:val="24"/>
        </w:rPr>
      </w:pPr>
      <w:r w:rsidRPr="00A674CB">
        <w:rPr>
          <w:color w:val="000000" w:themeColor="text1"/>
          <w:szCs w:val="24"/>
        </w:rPr>
        <w:t xml:space="preserve">wymagań technicznych dla magazynów energii elektrycznej, </w:t>
      </w:r>
    </w:p>
    <w:p w14:paraId="026507A6" w14:textId="77620D0C" w:rsidR="00A674CB" w:rsidRPr="00A674CB" w:rsidRDefault="00A674CB">
      <w:pPr>
        <w:numPr>
          <w:ilvl w:val="0"/>
          <w:numId w:val="53"/>
        </w:numPr>
        <w:spacing w:before="4" w:line="278" w:lineRule="auto"/>
        <w:ind w:left="1560" w:right="60" w:hanging="426"/>
        <w:jc w:val="both"/>
        <w:rPr>
          <w:rFonts w:eastAsia="Times New Roman"/>
          <w:color w:val="000000" w:themeColor="text1"/>
          <w:szCs w:val="24"/>
        </w:rPr>
      </w:pPr>
      <w:r w:rsidRPr="00A674CB">
        <w:rPr>
          <w:color w:val="000000" w:themeColor="text1"/>
          <w:szCs w:val="24"/>
        </w:rPr>
        <w:t xml:space="preserve">procedur, sposobu postępowania i zakresu wymiany informacji niezbędnych </w:t>
      </w:r>
      <w:r>
        <w:rPr>
          <w:color w:val="000000" w:themeColor="text1"/>
          <w:szCs w:val="24"/>
        </w:rPr>
        <w:br/>
      </w:r>
      <w:r w:rsidRPr="00A674CB">
        <w:rPr>
          <w:color w:val="000000" w:themeColor="text1"/>
          <w:szCs w:val="24"/>
        </w:rPr>
        <w:t xml:space="preserve">w przypadku wprowadzenia ograniczeń w dostarczaniu i poborze energii elektrycznej i opracowania planów wprowadzania ograniczeń w dostarczaniu </w:t>
      </w:r>
      <w:r>
        <w:rPr>
          <w:color w:val="000000" w:themeColor="text1"/>
          <w:szCs w:val="24"/>
        </w:rPr>
        <w:br/>
      </w:r>
      <w:r w:rsidRPr="00A674CB">
        <w:rPr>
          <w:color w:val="000000" w:themeColor="text1"/>
          <w:szCs w:val="24"/>
        </w:rPr>
        <w:t>i poborze energii</w:t>
      </w:r>
      <w:r w:rsidRPr="00A674CB">
        <w:rPr>
          <w:color w:val="000000" w:themeColor="text1"/>
          <w:spacing w:val="31"/>
          <w:szCs w:val="24"/>
        </w:rPr>
        <w:t xml:space="preserve"> </w:t>
      </w:r>
      <w:r w:rsidRPr="00A674CB">
        <w:rPr>
          <w:color w:val="000000" w:themeColor="text1"/>
          <w:szCs w:val="24"/>
        </w:rPr>
        <w:t>elektrycznej,</w:t>
      </w:r>
      <w:r>
        <w:rPr>
          <w:color w:val="000000" w:themeColor="text1"/>
          <w:szCs w:val="24"/>
        </w:rPr>
        <w:t xml:space="preserve"> </w:t>
      </w:r>
    </w:p>
    <w:p w14:paraId="499A4093" w14:textId="266B5D2F" w:rsidR="00A674CB" w:rsidRPr="00A674CB" w:rsidRDefault="00A674CB">
      <w:pPr>
        <w:numPr>
          <w:ilvl w:val="0"/>
          <w:numId w:val="53"/>
        </w:numPr>
        <w:spacing w:before="4" w:line="278" w:lineRule="auto"/>
        <w:ind w:left="1560" w:right="60" w:hanging="426"/>
        <w:jc w:val="both"/>
        <w:rPr>
          <w:rFonts w:eastAsia="Times New Roman"/>
          <w:color w:val="000000" w:themeColor="text1"/>
          <w:szCs w:val="24"/>
        </w:rPr>
      </w:pPr>
      <w:r>
        <w:rPr>
          <w:color w:val="000000" w:themeColor="text1"/>
          <w:szCs w:val="24"/>
        </w:rPr>
        <w:t>p</w:t>
      </w:r>
      <w:r w:rsidRPr="00A674CB">
        <w:rPr>
          <w:color w:val="000000" w:themeColor="text1"/>
          <w:szCs w:val="24"/>
        </w:rPr>
        <w:t>rocedury zmiany sprzedawcy oraz zgłaszania i przyjmowania przez operatora systemu dystrybucyjnego elektroenergetycznego do realizacji umów</w:t>
      </w:r>
      <w:r w:rsidR="002C6075">
        <w:rPr>
          <w:color w:val="000000" w:themeColor="text1"/>
          <w:szCs w:val="24"/>
        </w:rPr>
        <w:tab/>
      </w:r>
      <w:r w:rsidRPr="00A674CB">
        <w:rPr>
          <w:color w:val="000000" w:themeColor="text1"/>
          <w:szCs w:val="24"/>
        </w:rPr>
        <w:t xml:space="preserve"> sprzedaży i umów</w:t>
      </w:r>
      <w:r w:rsidRPr="00A674CB">
        <w:rPr>
          <w:color w:val="000000" w:themeColor="text1"/>
          <w:spacing w:val="21"/>
          <w:szCs w:val="24"/>
        </w:rPr>
        <w:t xml:space="preserve"> </w:t>
      </w:r>
      <w:r w:rsidRPr="00A674CB">
        <w:rPr>
          <w:color w:val="000000" w:themeColor="text1"/>
          <w:szCs w:val="24"/>
        </w:rPr>
        <w:t>kompleksowych</w:t>
      </w:r>
      <w:r>
        <w:rPr>
          <w:color w:val="000000" w:themeColor="text1"/>
          <w:szCs w:val="24"/>
        </w:rPr>
        <w:t>.</w:t>
      </w:r>
    </w:p>
    <w:p w14:paraId="2F365ABD" w14:textId="24CF9B05" w:rsidR="00572BA3" w:rsidRPr="006B6809" w:rsidRDefault="00572BA3">
      <w:pPr>
        <w:numPr>
          <w:ilvl w:val="0"/>
          <w:numId w:val="41"/>
        </w:numPr>
        <w:ind w:left="1134" w:hanging="1134"/>
        <w:jc w:val="both"/>
        <w:rPr>
          <w:rFonts w:eastAsia="Times New Roman"/>
        </w:rPr>
      </w:pPr>
      <w:r w:rsidRPr="006B6809">
        <w:rPr>
          <w:rFonts w:eastAsia="Times New Roman"/>
        </w:rPr>
        <w:t xml:space="preserve">W zakresie procedur i zasad wykonywania czynności związanych z ruchem sieciowym i eksploatacją sieci, postanowienia IRiESD dotyczą stacji i rozdzielni elektroenergetycznych, linii napowietrznych i kablowych za których ruch sieciowy jest odpowiedzialny </w:t>
      </w:r>
      <w:r w:rsidR="004D4114" w:rsidRPr="006B6809">
        <w:rPr>
          <w:rFonts w:eastAsia="Times New Roman"/>
        </w:rPr>
        <w:t>OSDn</w:t>
      </w:r>
      <w:r w:rsidRPr="006B6809">
        <w:rPr>
          <w:rFonts w:eastAsia="Times New Roman"/>
        </w:rPr>
        <w:t>, niezależnie od praw własności tych urządzeń.</w:t>
      </w:r>
    </w:p>
    <w:p w14:paraId="5343DAFA" w14:textId="77777777" w:rsidR="00572BA3" w:rsidRDefault="00911C82">
      <w:pPr>
        <w:numPr>
          <w:ilvl w:val="0"/>
          <w:numId w:val="41"/>
        </w:numPr>
        <w:tabs>
          <w:tab w:val="left" w:pos="1120"/>
        </w:tabs>
        <w:jc w:val="both"/>
        <w:rPr>
          <w:rFonts w:eastAsia="Times New Roman"/>
        </w:rPr>
      </w:pPr>
      <w:r>
        <w:rPr>
          <w:rFonts w:eastAsia="Times New Roman"/>
        </w:rPr>
        <w:t>P</w:t>
      </w:r>
      <w:r w:rsidR="00572BA3">
        <w:rPr>
          <w:rFonts w:eastAsia="Times New Roman"/>
        </w:rPr>
        <w:t>ostanowienia IRiESD obowiązują następujące podmioty:</w:t>
      </w:r>
    </w:p>
    <w:p w14:paraId="6D349AA2" w14:textId="77777777" w:rsidR="00572BA3" w:rsidRDefault="00572BA3" w:rsidP="0008709D">
      <w:pPr>
        <w:numPr>
          <w:ilvl w:val="0"/>
          <w:numId w:val="2"/>
        </w:numPr>
        <w:tabs>
          <w:tab w:val="left" w:pos="1500"/>
        </w:tabs>
        <w:ind w:left="1500" w:hanging="368"/>
        <w:jc w:val="both"/>
        <w:rPr>
          <w:rFonts w:eastAsia="Times New Roman"/>
        </w:rPr>
      </w:pPr>
      <w:r>
        <w:rPr>
          <w:rFonts w:eastAsia="Times New Roman"/>
        </w:rPr>
        <w:t xml:space="preserve">operatora systemu dystrybucyjnego </w:t>
      </w:r>
      <w:r w:rsidR="00084717">
        <w:rPr>
          <w:rFonts w:eastAsia="Times New Roman"/>
        </w:rPr>
        <w:t>– OSDn</w:t>
      </w:r>
      <w:r w:rsidRPr="00084717">
        <w:rPr>
          <w:rFonts w:eastAsia="Times New Roman"/>
          <w:i/>
        </w:rPr>
        <w:t>,</w:t>
      </w:r>
    </w:p>
    <w:p w14:paraId="161D35AF" w14:textId="77777777" w:rsidR="00572BA3" w:rsidRDefault="00572BA3" w:rsidP="0008709D">
      <w:pPr>
        <w:numPr>
          <w:ilvl w:val="0"/>
          <w:numId w:val="2"/>
        </w:numPr>
        <w:tabs>
          <w:tab w:val="left" w:pos="1500"/>
        </w:tabs>
        <w:ind w:left="1500" w:hanging="368"/>
        <w:jc w:val="both"/>
        <w:rPr>
          <w:rFonts w:eastAsia="Times New Roman"/>
        </w:rPr>
      </w:pPr>
      <w:r>
        <w:rPr>
          <w:rFonts w:eastAsia="Times New Roman"/>
        </w:rPr>
        <w:t xml:space="preserve">wytwórców przyłączonych do sieci dystrybucyjnej </w:t>
      </w:r>
      <w:r w:rsidR="00084717">
        <w:rPr>
          <w:rFonts w:eastAsia="Times New Roman"/>
        </w:rPr>
        <w:t>OSDn</w:t>
      </w:r>
      <w:r>
        <w:rPr>
          <w:rFonts w:eastAsia="Times New Roman"/>
        </w:rPr>
        <w:t>,</w:t>
      </w:r>
    </w:p>
    <w:p w14:paraId="79A145B9" w14:textId="77777777" w:rsidR="00572BA3" w:rsidRDefault="00572BA3" w:rsidP="0008709D">
      <w:pPr>
        <w:numPr>
          <w:ilvl w:val="0"/>
          <w:numId w:val="2"/>
        </w:numPr>
        <w:tabs>
          <w:tab w:val="left" w:pos="1500"/>
        </w:tabs>
        <w:ind w:left="1500" w:hanging="368"/>
        <w:jc w:val="both"/>
        <w:rPr>
          <w:rFonts w:eastAsia="Times New Roman"/>
        </w:rPr>
      </w:pPr>
      <w:r>
        <w:rPr>
          <w:rFonts w:eastAsia="Times New Roman"/>
        </w:rPr>
        <w:t xml:space="preserve">odbiorców przyłączonych do sieci dystrybucyjnej </w:t>
      </w:r>
      <w:r w:rsidR="00084717">
        <w:rPr>
          <w:rFonts w:eastAsia="Times New Roman"/>
        </w:rPr>
        <w:t>OSDn</w:t>
      </w:r>
      <w:r>
        <w:rPr>
          <w:rFonts w:eastAsia="Times New Roman"/>
        </w:rPr>
        <w:t>,</w:t>
      </w:r>
    </w:p>
    <w:p w14:paraId="3AFCD187" w14:textId="77777777" w:rsidR="00572BA3" w:rsidRPr="00A51728" w:rsidRDefault="00572BA3" w:rsidP="0008709D">
      <w:pPr>
        <w:numPr>
          <w:ilvl w:val="0"/>
          <w:numId w:val="2"/>
        </w:numPr>
        <w:tabs>
          <w:tab w:val="left" w:pos="1500"/>
        </w:tabs>
        <w:ind w:left="1500" w:hanging="368"/>
        <w:jc w:val="both"/>
        <w:rPr>
          <w:rFonts w:eastAsia="Times New Roman"/>
        </w:rPr>
      </w:pPr>
      <w:r w:rsidRPr="00A51728">
        <w:rPr>
          <w:rFonts w:eastAsia="Times New Roman"/>
        </w:rPr>
        <w:t>przedsiębiorstwa obrotu,</w:t>
      </w:r>
    </w:p>
    <w:p w14:paraId="0FFF03AF" w14:textId="77777777" w:rsidR="00572BA3" w:rsidRPr="00A51728" w:rsidRDefault="00572BA3" w:rsidP="0008709D">
      <w:pPr>
        <w:numPr>
          <w:ilvl w:val="0"/>
          <w:numId w:val="2"/>
        </w:numPr>
        <w:tabs>
          <w:tab w:val="left" w:pos="1500"/>
        </w:tabs>
        <w:ind w:left="1500" w:hanging="368"/>
        <w:jc w:val="both"/>
        <w:rPr>
          <w:rFonts w:eastAsia="Times New Roman"/>
        </w:rPr>
      </w:pPr>
      <w:r w:rsidRPr="00A51728">
        <w:rPr>
          <w:rFonts w:eastAsia="Times New Roman"/>
        </w:rPr>
        <w:t>sprzedawców,</w:t>
      </w:r>
    </w:p>
    <w:p w14:paraId="453D09AB" w14:textId="77777777" w:rsidR="00572BA3" w:rsidRPr="00A51728" w:rsidRDefault="00572BA3" w:rsidP="0008709D">
      <w:pPr>
        <w:numPr>
          <w:ilvl w:val="0"/>
          <w:numId w:val="2"/>
        </w:numPr>
        <w:tabs>
          <w:tab w:val="left" w:pos="1500"/>
        </w:tabs>
        <w:ind w:left="1500" w:hanging="368"/>
        <w:jc w:val="both"/>
        <w:rPr>
          <w:rFonts w:eastAsia="Times New Roman"/>
        </w:rPr>
      </w:pPr>
      <w:r w:rsidRPr="00A51728">
        <w:rPr>
          <w:rFonts w:eastAsia="Times New Roman"/>
        </w:rPr>
        <w:t>podmioty ubiegające się o przyłączenie (przyłączane) do sieci dystrybucyjnej</w:t>
      </w:r>
      <w:r w:rsidR="00313332" w:rsidRPr="00A51728">
        <w:rPr>
          <w:rFonts w:eastAsia="Times New Roman"/>
        </w:rPr>
        <w:t xml:space="preserve"> </w:t>
      </w:r>
      <w:r w:rsidR="000A4878" w:rsidRPr="00A51728">
        <w:rPr>
          <w:rFonts w:eastAsia="Times New Roman"/>
        </w:rPr>
        <w:t>OSDn</w:t>
      </w:r>
      <w:r w:rsidRPr="00A51728">
        <w:rPr>
          <w:rFonts w:eastAsia="Times New Roman"/>
        </w:rPr>
        <w:t>,</w:t>
      </w:r>
    </w:p>
    <w:p w14:paraId="51A8CEB2" w14:textId="4C0E8C92" w:rsidR="00572BA3" w:rsidRPr="00A51728" w:rsidRDefault="00572BA3" w:rsidP="0008709D">
      <w:pPr>
        <w:numPr>
          <w:ilvl w:val="0"/>
          <w:numId w:val="2"/>
        </w:numPr>
        <w:tabs>
          <w:tab w:val="left" w:pos="1500"/>
        </w:tabs>
        <w:ind w:left="1500" w:hanging="368"/>
        <w:jc w:val="both"/>
        <w:rPr>
          <w:rFonts w:eastAsia="Times New Roman"/>
        </w:rPr>
      </w:pPr>
      <w:r w:rsidRPr="00A51728">
        <w:rPr>
          <w:rFonts w:eastAsia="Times New Roman"/>
        </w:rPr>
        <w:t>operatorów handlowych i handlowo-technicznych działających w imieniu podmiotów wymienionych w powyższych podpunktach od 1) do 6)</w:t>
      </w:r>
      <w:r w:rsidR="00E25E80" w:rsidRPr="00A51728">
        <w:rPr>
          <w:rFonts w:eastAsia="Times New Roman"/>
        </w:rPr>
        <w:t>,</w:t>
      </w:r>
    </w:p>
    <w:p w14:paraId="65338AE3" w14:textId="4B4288F2" w:rsidR="00E25E80" w:rsidRPr="00A51728" w:rsidRDefault="00E25E80" w:rsidP="0008709D">
      <w:pPr>
        <w:numPr>
          <w:ilvl w:val="0"/>
          <w:numId w:val="2"/>
        </w:numPr>
        <w:tabs>
          <w:tab w:val="left" w:pos="1500"/>
        </w:tabs>
        <w:ind w:left="1500" w:hanging="368"/>
        <w:jc w:val="both"/>
        <w:rPr>
          <w:rFonts w:eastAsia="Times New Roman"/>
        </w:rPr>
      </w:pPr>
      <w:r w:rsidRPr="00A51728">
        <w:rPr>
          <w:rFonts w:eastAsia="Times New Roman"/>
        </w:rPr>
        <w:t>posiadacza magazynu energii elektrycznej.</w:t>
      </w:r>
    </w:p>
    <w:p w14:paraId="540E59E1" w14:textId="77777777" w:rsidR="00257ED9" w:rsidRPr="00A51728" w:rsidRDefault="00257ED9" w:rsidP="0008709D">
      <w:pPr>
        <w:tabs>
          <w:tab w:val="left" w:pos="1500"/>
        </w:tabs>
        <w:ind w:left="1132"/>
        <w:jc w:val="both"/>
        <w:rPr>
          <w:rFonts w:eastAsia="Times New Roman"/>
        </w:rPr>
      </w:pPr>
    </w:p>
    <w:p w14:paraId="459AF710" w14:textId="77777777" w:rsidR="00572BA3" w:rsidRPr="00A51728" w:rsidRDefault="00572BA3" w:rsidP="0008709D">
      <w:pPr>
        <w:ind w:left="1140"/>
        <w:jc w:val="both"/>
        <w:rPr>
          <w:rFonts w:eastAsia="Times New Roman"/>
        </w:rPr>
      </w:pPr>
      <w:r w:rsidRPr="00A51728">
        <w:rPr>
          <w:rFonts w:eastAsia="Times New Roman"/>
        </w:rPr>
        <w:t>Dodatkowo poniższe podmioty obowiązują również postanowienia IRiESP:</w:t>
      </w:r>
    </w:p>
    <w:p w14:paraId="6504F0FC" w14:textId="77777777" w:rsidR="00572BA3" w:rsidRPr="00A51728" w:rsidRDefault="00572BA3" w:rsidP="0008709D">
      <w:pPr>
        <w:numPr>
          <w:ilvl w:val="0"/>
          <w:numId w:val="3"/>
        </w:numPr>
        <w:tabs>
          <w:tab w:val="left" w:pos="1500"/>
        </w:tabs>
        <w:ind w:left="1500" w:hanging="368"/>
        <w:jc w:val="both"/>
        <w:rPr>
          <w:rFonts w:eastAsia="Times New Roman"/>
        </w:rPr>
      </w:pPr>
      <w:r w:rsidRPr="00A51728">
        <w:rPr>
          <w:rFonts w:eastAsia="Times New Roman"/>
        </w:rPr>
        <w:t>operatorzy systemów dystrybucyjnych,</w:t>
      </w:r>
    </w:p>
    <w:p w14:paraId="099DDB07" w14:textId="77777777" w:rsidR="00572BA3" w:rsidRPr="00A51728" w:rsidRDefault="00572BA3" w:rsidP="0008709D">
      <w:pPr>
        <w:numPr>
          <w:ilvl w:val="0"/>
          <w:numId w:val="3"/>
        </w:numPr>
        <w:tabs>
          <w:tab w:val="left" w:pos="1500"/>
        </w:tabs>
        <w:ind w:left="1500" w:hanging="368"/>
        <w:jc w:val="both"/>
        <w:rPr>
          <w:rFonts w:eastAsia="Times New Roman"/>
        </w:rPr>
      </w:pPr>
      <w:r w:rsidRPr="00A51728">
        <w:rPr>
          <w:rFonts w:eastAsia="Times New Roman"/>
        </w:rPr>
        <w:t>podmioty korzystające z usług świadczonych przez OSP,</w:t>
      </w:r>
    </w:p>
    <w:p w14:paraId="07E8491A" w14:textId="77777777" w:rsidR="00572BA3" w:rsidRPr="00A51728" w:rsidRDefault="0021459F">
      <w:pPr>
        <w:numPr>
          <w:ilvl w:val="0"/>
          <w:numId w:val="54"/>
        </w:numPr>
        <w:tabs>
          <w:tab w:val="left" w:pos="1418"/>
        </w:tabs>
        <w:ind w:left="1418" w:hanging="284"/>
        <w:jc w:val="both"/>
        <w:rPr>
          <w:rFonts w:eastAsia="Times New Roman"/>
        </w:rPr>
      </w:pPr>
      <w:r w:rsidRPr="00A51728">
        <w:rPr>
          <w:rFonts w:eastAsia="Times New Roman"/>
        </w:rPr>
        <w:t xml:space="preserve"> </w:t>
      </w:r>
      <w:r w:rsidR="00572BA3" w:rsidRPr="00A51728">
        <w:rPr>
          <w:rFonts w:eastAsia="Times New Roman"/>
        </w:rPr>
        <w:t>wytwórcy posiadający jednostki wytwórcze, za których dysponowanie mocą, zgodnie z postanowieniami ustawy Prawo energetyczne, odpowiada OSP.</w:t>
      </w:r>
    </w:p>
    <w:p w14:paraId="75492EB4" w14:textId="6899AEA7" w:rsidR="00572BA3" w:rsidRPr="00A51728" w:rsidRDefault="00572BA3">
      <w:pPr>
        <w:numPr>
          <w:ilvl w:val="0"/>
          <w:numId w:val="42"/>
        </w:numPr>
        <w:ind w:left="1134" w:hanging="1134"/>
        <w:jc w:val="both"/>
        <w:rPr>
          <w:rFonts w:eastAsia="Times New Roman"/>
        </w:rPr>
      </w:pPr>
      <w:r w:rsidRPr="00A51728">
        <w:rPr>
          <w:rFonts w:eastAsia="Times New Roman"/>
        </w:rPr>
        <w:t>Zgodnie z przepisami ustawy Prawo energetyczne oraz aktów wykonawczych do niej, operator systemu dystrybucyjnego jest odpowiedzialny za:</w:t>
      </w:r>
    </w:p>
    <w:p w14:paraId="13919B71" w14:textId="77777777" w:rsidR="00572BA3" w:rsidRPr="0010680C" w:rsidRDefault="00E676DD" w:rsidP="0008709D">
      <w:pPr>
        <w:numPr>
          <w:ilvl w:val="0"/>
          <w:numId w:val="4"/>
        </w:numPr>
        <w:ind w:left="1500" w:hanging="368"/>
        <w:jc w:val="both"/>
        <w:rPr>
          <w:rFonts w:eastAsia="Times New Roman"/>
        </w:rPr>
      </w:pPr>
      <w:r>
        <w:rPr>
          <w:rFonts w:eastAsia="Times New Roman"/>
        </w:rPr>
        <w:t xml:space="preserve"> </w:t>
      </w:r>
      <w:r w:rsidR="00572BA3">
        <w:rPr>
          <w:rFonts w:eastAsia="Times New Roman"/>
        </w:rPr>
        <w:t>prowadzenie ruchu sieciowego w sieci dystrybucyjnej w sposób efektywny,</w:t>
      </w:r>
      <w:r w:rsidR="00F3366B">
        <w:rPr>
          <w:rFonts w:eastAsia="Times New Roman"/>
        </w:rPr>
        <w:t xml:space="preserve"> </w:t>
      </w:r>
      <w:r w:rsidR="000C5633">
        <w:rPr>
          <w:rFonts w:eastAsia="Times New Roman"/>
        </w:rPr>
        <w:br/>
      </w:r>
      <w:r w:rsidR="00F3366B">
        <w:rPr>
          <w:rFonts w:eastAsia="Times New Roman"/>
        </w:rPr>
        <w:t>z zac</w:t>
      </w:r>
      <w:r w:rsidR="000C5633">
        <w:rPr>
          <w:rFonts w:eastAsia="Times New Roman"/>
        </w:rPr>
        <w:t xml:space="preserve">howaniem wymaganej niezawodności dostarczania energii elektrycznej </w:t>
      </w:r>
      <w:r w:rsidR="000C5633">
        <w:rPr>
          <w:rFonts w:eastAsia="Times New Roman"/>
        </w:rPr>
        <w:br/>
        <w:t xml:space="preserve">i jakości jej </w:t>
      </w:r>
      <w:r w:rsidR="000C5633" w:rsidRPr="0010680C">
        <w:rPr>
          <w:rFonts w:eastAsia="Times New Roman"/>
        </w:rPr>
        <w:t xml:space="preserve">dostarczania, </w:t>
      </w:r>
    </w:p>
    <w:p w14:paraId="5404EED4" w14:textId="77777777" w:rsidR="00572BA3" w:rsidRPr="0010680C" w:rsidRDefault="00572BA3" w:rsidP="0008709D">
      <w:pPr>
        <w:numPr>
          <w:ilvl w:val="0"/>
          <w:numId w:val="4"/>
        </w:numPr>
        <w:ind w:left="1500" w:hanging="368"/>
        <w:jc w:val="both"/>
        <w:rPr>
          <w:rFonts w:eastAsia="Times New Roman"/>
        </w:rPr>
      </w:pPr>
      <w:r w:rsidRPr="0010680C">
        <w:rPr>
          <w:rFonts w:eastAsia="Times New Roman"/>
        </w:rPr>
        <w:lastRenderedPageBreak/>
        <w:t>eksploatację, konserwację i remonty sieci dystrybucyjnej w sposób gwarantujący niezawodność funkcjonowania systemu dystrybucyjnego,</w:t>
      </w:r>
    </w:p>
    <w:p w14:paraId="5C4B1E5E" w14:textId="77777777" w:rsidR="00572BA3" w:rsidRPr="0010680C" w:rsidRDefault="00572BA3" w:rsidP="0008709D">
      <w:pPr>
        <w:numPr>
          <w:ilvl w:val="0"/>
          <w:numId w:val="4"/>
        </w:numPr>
        <w:ind w:left="1500" w:hanging="368"/>
        <w:jc w:val="both"/>
        <w:rPr>
          <w:rFonts w:eastAsia="Times New Roman"/>
        </w:rPr>
      </w:pPr>
      <w:r w:rsidRPr="0010680C">
        <w:rPr>
          <w:rFonts w:eastAsia="Times New Roman"/>
        </w:rPr>
        <w:t>zapewnienie rozbudowy sieci dystrybucyjnej,</w:t>
      </w:r>
    </w:p>
    <w:p w14:paraId="48D8F6CE" w14:textId="77777777" w:rsidR="00572BA3" w:rsidRPr="0010680C" w:rsidRDefault="00572BA3" w:rsidP="0008709D">
      <w:pPr>
        <w:numPr>
          <w:ilvl w:val="0"/>
          <w:numId w:val="4"/>
        </w:numPr>
        <w:ind w:left="1500" w:hanging="368"/>
        <w:jc w:val="both"/>
        <w:rPr>
          <w:rFonts w:eastAsia="Times New Roman"/>
        </w:rPr>
      </w:pPr>
      <w:r w:rsidRPr="0010680C">
        <w:rPr>
          <w:rFonts w:eastAsia="Times New Roman"/>
        </w:rPr>
        <w:t>współpracę z innymi operatorami systemów elektroenergetycznych lub przedsiębiorstwami energetycznymi w celu zapewnienia spójności działania systemów elektroenergetycznych i skoordynowania ich rozwoju, a także niezawodnego oraz efektywnego funkcjonowania tych systemów,</w:t>
      </w:r>
    </w:p>
    <w:p w14:paraId="468123F0" w14:textId="77777777" w:rsidR="00572BA3" w:rsidRDefault="00572BA3" w:rsidP="0008709D">
      <w:pPr>
        <w:numPr>
          <w:ilvl w:val="0"/>
          <w:numId w:val="4"/>
        </w:numPr>
        <w:ind w:left="1500" w:hanging="368"/>
        <w:jc w:val="both"/>
        <w:rPr>
          <w:rFonts w:eastAsia="Times New Roman"/>
        </w:rPr>
      </w:pPr>
      <w:r w:rsidRPr="0010680C">
        <w:rPr>
          <w:rFonts w:eastAsia="Times New Roman"/>
        </w:rPr>
        <w:t>dysponowanie mocą jednostek wytwórczych przyłączonych do sieci dystrybucyjnej, z wyłączeniem jednostek wytwórczych o mocy osiągalnej</w:t>
      </w:r>
      <w:r>
        <w:rPr>
          <w:rFonts w:eastAsia="Times New Roman"/>
        </w:rPr>
        <w:t xml:space="preserve"> równej 50 MW lub wyższej</w:t>
      </w:r>
      <w:r w:rsidR="0070187B">
        <w:rPr>
          <w:rFonts w:eastAsia="Times New Roman"/>
        </w:rPr>
        <w:t>,</w:t>
      </w:r>
    </w:p>
    <w:p w14:paraId="634C85A1" w14:textId="77777777" w:rsidR="00572BA3" w:rsidRDefault="00572BA3" w:rsidP="0008709D">
      <w:pPr>
        <w:numPr>
          <w:ilvl w:val="0"/>
          <w:numId w:val="4"/>
        </w:numPr>
        <w:ind w:left="1500" w:hanging="368"/>
        <w:jc w:val="both"/>
        <w:rPr>
          <w:rFonts w:eastAsia="Times New Roman"/>
        </w:rPr>
      </w:pPr>
      <w:r>
        <w:rPr>
          <w:rFonts w:eastAsia="Times New Roman"/>
        </w:rPr>
        <w:t>bilansowanie systemu, z wyjątkiem równoważenia bieżącego zapotrzebowania na energię elektryczną z dostawami tej energii oraz zarządzanie ograniczeniami systemowymi,</w:t>
      </w:r>
    </w:p>
    <w:p w14:paraId="09AF4A5B" w14:textId="77777777" w:rsidR="00572BA3" w:rsidRDefault="00572BA3" w:rsidP="0008709D">
      <w:pPr>
        <w:numPr>
          <w:ilvl w:val="0"/>
          <w:numId w:val="4"/>
        </w:numPr>
        <w:ind w:left="1500" w:hanging="366"/>
        <w:jc w:val="both"/>
        <w:rPr>
          <w:rFonts w:eastAsia="Times New Roman"/>
        </w:rPr>
      </w:pPr>
      <w:r>
        <w:rPr>
          <w:rFonts w:eastAsia="Times New Roman"/>
        </w:rPr>
        <w:t>zarządzanie przepływami energii elektrycznej w sieci dystrybucyjnej</w:t>
      </w:r>
      <w:r w:rsidR="006F4994">
        <w:rPr>
          <w:rFonts w:eastAsia="Times New Roman"/>
        </w:rPr>
        <w:t>,</w:t>
      </w:r>
      <w:r>
        <w:rPr>
          <w:rFonts w:eastAsia="Times New Roman"/>
        </w:rPr>
        <w:t xml:space="preserve">  </w:t>
      </w:r>
      <w:r w:rsidR="006F4994">
        <w:rPr>
          <w:rFonts w:eastAsia="Times New Roman"/>
        </w:rPr>
        <w:t xml:space="preserve"> </w:t>
      </w:r>
    </w:p>
    <w:p w14:paraId="24C448DF" w14:textId="77777777" w:rsidR="006F4994" w:rsidRPr="00D60F9F" w:rsidRDefault="00572BA3" w:rsidP="0008709D">
      <w:pPr>
        <w:numPr>
          <w:ilvl w:val="0"/>
          <w:numId w:val="4"/>
        </w:numPr>
        <w:ind w:left="1500" w:hanging="366"/>
        <w:jc w:val="both"/>
        <w:rPr>
          <w:rFonts w:eastAsia="Times New Roman"/>
        </w:rPr>
      </w:pPr>
      <w:r w:rsidRPr="00D60F9F">
        <w:rPr>
          <w:rFonts w:eastAsia="Times New Roman"/>
        </w:rPr>
        <w:t>zakup energii elektrycznej w celu pokrywania strat powstałych w sieci dystrybucyjnej podczas dystrybucji energii elektrycznej tą siecią oraz stosowanie przejrzystych i niedyskryminacyjnych procedur rynkowych przy zakupie tej energii,</w:t>
      </w:r>
    </w:p>
    <w:p w14:paraId="192C5540" w14:textId="77777777" w:rsidR="00572BA3" w:rsidRPr="00083AE3" w:rsidRDefault="00672278" w:rsidP="0008709D">
      <w:pPr>
        <w:numPr>
          <w:ilvl w:val="0"/>
          <w:numId w:val="4"/>
        </w:numPr>
        <w:ind w:left="1418" w:hanging="284"/>
        <w:jc w:val="both"/>
        <w:rPr>
          <w:rFonts w:eastAsia="Times New Roman"/>
        </w:rPr>
      </w:pPr>
      <w:r w:rsidRPr="00083AE3">
        <w:rPr>
          <w:rFonts w:eastAsia="Times New Roman"/>
        </w:rPr>
        <w:t xml:space="preserve">dostarczanie użytkownikom sieci i operatorom innych systemów </w:t>
      </w:r>
      <w:r w:rsidR="00572BA3" w:rsidRPr="00083AE3">
        <w:rPr>
          <w:rFonts w:eastAsia="Times New Roman"/>
        </w:rPr>
        <w:t xml:space="preserve">elektroenergetycznych, z którymi system jest połączony, informacji </w:t>
      </w:r>
      <w:r w:rsidR="00083AE3" w:rsidRPr="00083AE3">
        <w:rPr>
          <w:rFonts w:eastAsia="Times New Roman"/>
        </w:rPr>
        <w:br/>
      </w:r>
      <w:r w:rsidR="00572BA3" w:rsidRPr="00083AE3">
        <w:rPr>
          <w:rFonts w:eastAsia="Times New Roman"/>
        </w:rPr>
        <w:t>o warunkach świadczenia usług dystrybucji energii elektrycznej oraz</w:t>
      </w:r>
      <w:r w:rsidR="00083AE3" w:rsidRPr="00083AE3">
        <w:rPr>
          <w:rFonts w:eastAsia="Times New Roman"/>
        </w:rPr>
        <w:t xml:space="preserve"> </w:t>
      </w:r>
      <w:r w:rsidR="00572BA3" w:rsidRPr="00083AE3">
        <w:rPr>
          <w:rFonts w:eastAsia="Times New Roman"/>
        </w:rPr>
        <w:t xml:space="preserve">zarządzaniu siecią, niezbędnych do uzyskania dostępu do sieci dystrybucyjnej </w:t>
      </w:r>
      <w:r w:rsidR="00EA46C7">
        <w:rPr>
          <w:rFonts w:eastAsia="Times New Roman"/>
        </w:rPr>
        <w:br/>
      </w:r>
      <w:r w:rsidR="00572BA3" w:rsidRPr="00083AE3">
        <w:rPr>
          <w:rFonts w:eastAsia="Times New Roman"/>
        </w:rPr>
        <w:t>i korzystania z tej sieci,</w:t>
      </w:r>
    </w:p>
    <w:p w14:paraId="54CF419B" w14:textId="77777777" w:rsidR="00572BA3" w:rsidRDefault="00572BA3" w:rsidP="0008709D">
      <w:pPr>
        <w:numPr>
          <w:ilvl w:val="0"/>
          <w:numId w:val="4"/>
        </w:numPr>
        <w:ind w:left="1500" w:hanging="368"/>
        <w:jc w:val="both"/>
        <w:rPr>
          <w:rFonts w:eastAsia="Times New Roman"/>
        </w:rPr>
      </w:pPr>
      <w:r>
        <w:rPr>
          <w:rFonts w:eastAsia="Times New Roman"/>
        </w:rPr>
        <w:t>umożliwienie realizacji umów sprzedaży energii elektrycznej zawartych przez odbiorców przyłączonych do sieci poprzez:</w:t>
      </w:r>
    </w:p>
    <w:p w14:paraId="2E14AA7B" w14:textId="77777777" w:rsidR="00572BA3" w:rsidRDefault="00572BA3" w:rsidP="0008709D">
      <w:pPr>
        <w:numPr>
          <w:ilvl w:val="1"/>
          <w:numId w:val="5"/>
        </w:numPr>
        <w:tabs>
          <w:tab w:val="left" w:pos="1780"/>
        </w:tabs>
        <w:ind w:left="1780" w:hanging="293"/>
        <w:jc w:val="both"/>
        <w:rPr>
          <w:rFonts w:eastAsia="Times New Roman"/>
        </w:rPr>
      </w:pPr>
      <w:r>
        <w:rPr>
          <w:rFonts w:eastAsia="Times New Roman"/>
        </w:rPr>
        <w:t>budowę i eksploatację infrastruktury technicznej i informatycznej służącej pozyskiwaniu i transmisji danych pomiarowych oraz zarządzaniu nimi,</w:t>
      </w:r>
      <w:r w:rsidR="00AB011C">
        <w:rPr>
          <w:rFonts w:eastAsia="Times New Roman"/>
        </w:rPr>
        <w:t xml:space="preserve"> zapewniającej efektywną współpracę z innymi operatorami</w:t>
      </w:r>
      <w:r w:rsidR="00FB6C1D">
        <w:rPr>
          <w:rFonts w:eastAsia="Times New Roman"/>
        </w:rPr>
        <w:t xml:space="preserve"> </w:t>
      </w:r>
      <w:r w:rsidR="00FB6C1D">
        <w:rPr>
          <w:rFonts w:eastAsia="Times New Roman"/>
        </w:rPr>
        <w:br/>
      </w:r>
      <w:r w:rsidR="00AB011C">
        <w:rPr>
          <w:rFonts w:eastAsia="Times New Roman"/>
        </w:rPr>
        <w:t>i przedsiębiorstwami energetycznymi,</w:t>
      </w:r>
    </w:p>
    <w:p w14:paraId="69DCFBFC" w14:textId="77777777" w:rsidR="00572BA3" w:rsidRDefault="00C676A5" w:rsidP="0008709D">
      <w:pPr>
        <w:numPr>
          <w:ilvl w:val="1"/>
          <w:numId w:val="5"/>
        </w:numPr>
        <w:ind w:left="1843" w:hanging="363"/>
        <w:jc w:val="both"/>
        <w:rPr>
          <w:rFonts w:eastAsia="Times New Roman"/>
        </w:rPr>
      </w:pPr>
      <w:r>
        <w:rPr>
          <w:rFonts w:eastAsia="Times New Roman"/>
        </w:rPr>
        <w:t>pozyskanie</w:t>
      </w:r>
      <w:r w:rsidR="00572BA3">
        <w:rPr>
          <w:rFonts w:eastAsia="Times New Roman"/>
        </w:rPr>
        <w:t>,</w:t>
      </w:r>
      <w:r w:rsidR="00C10165">
        <w:rPr>
          <w:rFonts w:eastAsia="Times New Roman"/>
        </w:rPr>
        <w:t xml:space="preserve"> </w:t>
      </w:r>
      <w:r w:rsidR="00572BA3">
        <w:rPr>
          <w:rFonts w:eastAsia="Times New Roman"/>
        </w:rPr>
        <w:t>przechowywanie,</w:t>
      </w:r>
      <w:r w:rsidR="00C10165">
        <w:rPr>
          <w:rFonts w:eastAsia="Times New Roman"/>
        </w:rPr>
        <w:t xml:space="preserve"> </w:t>
      </w:r>
      <w:r w:rsidR="00572BA3">
        <w:rPr>
          <w:rFonts w:eastAsia="Times New Roman"/>
        </w:rPr>
        <w:t>przetwarzanie</w:t>
      </w:r>
      <w:r w:rsidR="00C10165">
        <w:rPr>
          <w:rFonts w:eastAsia="Times New Roman"/>
        </w:rPr>
        <w:t xml:space="preserve"> </w:t>
      </w:r>
      <w:r w:rsidR="00572BA3">
        <w:rPr>
          <w:rFonts w:eastAsia="Times New Roman"/>
        </w:rPr>
        <w:t>i</w:t>
      </w:r>
      <w:r w:rsidR="007940C1">
        <w:rPr>
          <w:rFonts w:eastAsia="Times New Roman"/>
        </w:rPr>
        <w:t xml:space="preserve"> </w:t>
      </w:r>
      <w:r w:rsidR="00572BA3">
        <w:rPr>
          <w:rFonts w:eastAsia="Times New Roman"/>
        </w:rPr>
        <w:t>udostępnianie,</w:t>
      </w:r>
      <w:r w:rsidR="00C10165">
        <w:rPr>
          <w:rFonts w:eastAsia="Times New Roman"/>
        </w:rPr>
        <w:t xml:space="preserve"> w uzgodnionej pomiędzy uczestnikami rynku energii formie, danych pomiarowych dla energii elektrycznej pobranej przez odbiorców wybranym przez nich sprzedawcom i podmiotom odpowiedzialnym za bilansowanie handlowe oraz operatorowi systemu przesyłowego,</w:t>
      </w:r>
    </w:p>
    <w:p w14:paraId="5DBBE170" w14:textId="77777777" w:rsidR="00572BA3" w:rsidRDefault="00572BA3" w:rsidP="0008709D">
      <w:pPr>
        <w:numPr>
          <w:ilvl w:val="1"/>
          <w:numId w:val="5"/>
        </w:numPr>
        <w:tabs>
          <w:tab w:val="left" w:pos="1780"/>
        </w:tabs>
        <w:ind w:left="1780" w:hanging="293"/>
        <w:jc w:val="both"/>
        <w:rPr>
          <w:rFonts w:eastAsia="Times New Roman"/>
        </w:rPr>
      </w:pPr>
      <w:r>
        <w:rPr>
          <w:rFonts w:eastAsia="Times New Roman"/>
        </w:rPr>
        <w:t>opracowywanie, aktualizację i udostępnianie odbiorcom oraz ich sprzedawcom ich standardowych profili zużycia, a także uwzględnianie zasad ich stosowania w IRiESD,</w:t>
      </w:r>
    </w:p>
    <w:p w14:paraId="0BC47F4D" w14:textId="77777777" w:rsidR="00572BA3" w:rsidRDefault="00572BA3" w:rsidP="0008709D">
      <w:pPr>
        <w:numPr>
          <w:ilvl w:val="1"/>
          <w:numId w:val="5"/>
        </w:numPr>
        <w:tabs>
          <w:tab w:val="left" w:pos="1780"/>
        </w:tabs>
        <w:ind w:left="1780" w:hanging="293"/>
        <w:jc w:val="both"/>
        <w:rPr>
          <w:rFonts w:eastAsia="Times New Roman"/>
        </w:rPr>
      </w:pPr>
      <w:r>
        <w:rPr>
          <w:rFonts w:eastAsia="Times New Roman"/>
        </w:rPr>
        <w:t>udostępnianie danych dotyczących planowanego i rzeczywistego zużycia energii elektrycznej wyznaczonych na podstawie standardowych profili zużycia dla uzgodnionych okresów rozliczeniowych,</w:t>
      </w:r>
    </w:p>
    <w:p w14:paraId="0C5458E2" w14:textId="77777777" w:rsidR="00572BA3" w:rsidRDefault="00572BA3" w:rsidP="0008709D">
      <w:pPr>
        <w:numPr>
          <w:ilvl w:val="1"/>
          <w:numId w:val="5"/>
        </w:numPr>
        <w:tabs>
          <w:tab w:val="left" w:pos="1780"/>
        </w:tabs>
        <w:ind w:left="1780" w:hanging="293"/>
        <w:jc w:val="both"/>
        <w:rPr>
          <w:rFonts w:eastAsia="Times New Roman"/>
        </w:rPr>
      </w:pPr>
      <w:r>
        <w:rPr>
          <w:rFonts w:eastAsia="Times New Roman"/>
        </w:rPr>
        <w:t>wdrażanie warunków i trybu zmiany sprzedawcy energii elektrycznej oraz ich uwzględnianie w IRiESD,</w:t>
      </w:r>
    </w:p>
    <w:p w14:paraId="1AE29A84" w14:textId="77777777" w:rsidR="00572BA3" w:rsidRDefault="00572BA3" w:rsidP="0008709D">
      <w:pPr>
        <w:numPr>
          <w:ilvl w:val="1"/>
          <w:numId w:val="5"/>
        </w:numPr>
        <w:tabs>
          <w:tab w:val="left" w:pos="1780"/>
        </w:tabs>
        <w:ind w:left="1780" w:hanging="293"/>
        <w:jc w:val="both"/>
        <w:rPr>
          <w:rFonts w:eastAsia="Times New Roman"/>
        </w:rPr>
      </w:pPr>
      <w:r>
        <w:rPr>
          <w:rFonts w:eastAsia="Times New Roman"/>
        </w:rPr>
        <w:t>zamieszczanie na swoich stronach internetowych oraz udostępnianie do publicznego wglądu w swoich siedzibach:</w:t>
      </w:r>
    </w:p>
    <w:p w14:paraId="024E6737" w14:textId="77777777" w:rsidR="00572BA3" w:rsidRDefault="00572BA3">
      <w:pPr>
        <w:numPr>
          <w:ilvl w:val="2"/>
          <w:numId w:val="55"/>
        </w:numPr>
        <w:jc w:val="both"/>
        <w:rPr>
          <w:rFonts w:eastAsia="Times New Roman"/>
        </w:rPr>
      </w:pPr>
      <w:r>
        <w:rPr>
          <w:rFonts w:eastAsia="Times New Roman"/>
        </w:rPr>
        <w:t xml:space="preserve">aktualnej listy sprzedawców energii elektrycznej, z którymi </w:t>
      </w:r>
      <w:r w:rsidR="00F2707C">
        <w:rPr>
          <w:rFonts w:eastAsia="Times New Roman"/>
        </w:rPr>
        <w:t>OSDn</w:t>
      </w:r>
      <w:r>
        <w:rPr>
          <w:rFonts w:eastAsia="Times New Roman"/>
        </w:rPr>
        <w:t xml:space="preserve"> zawarł umowy o świadczenie usług dystrybucji energii elektrycznej,</w:t>
      </w:r>
    </w:p>
    <w:p w14:paraId="14DA515F" w14:textId="77777777" w:rsidR="00572BA3" w:rsidRDefault="00572BA3">
      <w:pPr>
        <w:numPr>
          <w:ilvl w:val="0"/>
          <w:numId w:val="56"/>
        </w:numPr>
        <w:ind w:left="2127" w:hanging="142"/>
        <w:jc w:val="both"/>
        <w:rPr>
          <w:rFonts w:eastAsia="Times New Roman"/>
        </w:rPr>
      </w:pPr>
      <w:r>
        <w:rPr>
          <w:rFonts w:eastAsia="Times New Roman"/>
        </w:rPr>
        <w:t xml:space="preserve">informacji o sprzedawcy z urzędu energii elektrycznej działającym na obszarze działania </w:t>
      </w:r>
      <w:r w:rsidR="00F2707C">
        <w:rPr>
          <w:rFonts w:eastAsia="Times New Roman"/>
        </w:rPr>
        <w:t>OSDn</w:t>
      </w:r>
      <w:r>
        <w:rPr>
          <w:rFonts w:eastAsia="Times New Roman"/>
        </w:rPr>
        <w:t>,</w:t>
      </w:r>
    </w:p>
    <w:p w14:paraId="16705952" w14:textId="77777777" w:rsidR="00572BA3" w:rsidRPr="0010680C" w:rsidRDefault="00572BA3">
      <w:pPr>
        <w:numPr>
          <w:ilvl w:val="0"/>
          <w:numId w:val="56"/>
        </w:numPr>
        <w:ind w:left="2127" w:hanging="142"/>
        <w:jc w:val="both"/>
        <w:rPr>
          <w:rFonts w:eastAsia="Times New Roman"/>
        </w:rPr>
      </w:pPr>
      <w:r>
        <w:rPr>
          <w:rFonts w:eastAsia="Times New Roman"/>
        </w:rPr>
        <w:lastRenderedPageBreak/>
        <w:t xml:space="preserve">wzorców umów zawieranych z użytkownikami systemu, w szczególności </w:t>
      </w:r>
      <w:r w:rsidRPr="0010680C">
        <w:rPr>
          <w:rFonts w:eastAsia="Times New Roman"/>
        </w:rPr>
        <w:t>wzorców umów zawieranych z odbiorcami końcowymi oraz ze sprzedawcami energii elektrycznej,</w:t>
      </w:r>
    </w:p>
    <w:p w14:paraId="6F1F64EB" w14:textId="77777777" w:rsidR="00572BA3" w:rsidRPr="0010680C" w:rsidRDefault="00572BA3" w:rsidP="0008709D">
      <w:pPr>
        <w:numPr>
          <w:ilvl w:val="0"/>
          <w:numId w:val="4"/>
        </w:numPr>
        <w:tabs>
          <w:tab w:val="left" w:pos="1500"/>
        </w:tabs>
        <w:ind w:left="1500" w:hanging="368"/>
        <w:jc w:val="both"/>
        <w:rPr>
          <w:rFonts w:eastAsia="Times New Roman"/>
        </w:rPr>
      </w:pPr>
      <w:r w:rsidRPr="0010680C">
        <w:rPr>
          <w:rFonts w:eastAsia="Times New Roman"/>
        </w:rPr>
        <w:t xml:space="preserve">współpracę z operatorem systemu przesyłowego elektroenergetycznego przy opracowywaniu planów działania na wypadek zagrożenia wystąpienia awarii </w:t>
      </w:r>
      <w:r w:rsidR="00D029EE" w:rsidRPr="0010680C">
        <w:rPr>
          <w:rFonts w:eastAsia="Times New Roman"/>
        </w:rPr>
        <w:br/>
      </w:r>
      <w:r w:rsidRPr="0010680C">
        <w:rPr>
          <w:rFonts w:eastAsia="Times New Roman"/>
        </w:rPr>
        <w:t>o znacznych rozmiarach w systemie elektroenergetycznym oraz odbudowy tego systemu po wystąpieniu awarii,</w:t>
      </w:r>
    </w:p>
    <w:p w14:paraId="226F8C2D" w14:textId="77777777" w:rsidR="00572BA3" w:rsidRPr="0010680C" w:rsidRDefault="00572BA3" w:rsidP="0008709D">
      <w:pPr>
        <w:numPr>
          <w:ilvl w:val="0"/>
          <w:numId w:val="4"/>
        </w:numPr>
        <w:tabs>
          <w:tab w:val="left" w:pos="1500"/>
        </w:tabs>
        <w:ind w:left="1500" w:hanging="368"/>
        <w:jc w:val="both"/>
        <w:rPr>
          <w:rFonts w:eastAsia="Times New Roman"/>
        </w:rPr>
      </w:pPr>
      <w:r w:rsidRPr="0010680C">
        <w:rPr>
          <w:rFonts w:eastAsia="Times New Roman"/>
        </w:rPr>
        <w:t>planowanie rozwoju sieci dystrybucyjnej z uwzględnieniem przedsięwzięć związanych z efektywnością energetyczną, zarządzaniem popytem na energię elektryczną lub rozwojem mocy wytwórczych przyłączanych do sieci dystrybucyjnej,</w:t>
      </w:r>
    </w:p>
    <w:p w14:paraId="2C61571E" w14:textId="77777777" w:rsidR="00572BA3" w:rsidRPr="00942C66" w:rsidRDefault="00572BA3" w:rsidP="0008709D">
      <w:pPr>
        <w:numPr>
          <w:ilvl w:val="0"/>
          <w:numId w:val="4"/>
        </w:numPr>
        <w:ind w:left="1560" w:hanging="426"/>
        <w:jc w:val="both"/>
        <w:rPr>
          <w:rFonts w:eastAsia="Times New Roman"/>
          <w:sz w:val="23"/>
        </w:rPr>
      </w:pPr>
      <w:r w:rsidRPr="00942C66">
        <w:rPr>
          <w:rFonts w:eastAsia="Times New Roman"/>
          <w:sz w:val="23"/>
        </w:rPr>
        <w:t>opracowywanie normalnego układu pracy sieci dystrybucyjnej w porozumieniu</w:t>
      </w:r>
      <w:r w:rsidR="00A02591" w:rsidRPr="00942C66">
        <w:rPr>
          <w:rFonts w:eastAsia="Times New Roman"/>
          <w:sz w:val="23"/>
        </w:rPr>
        <w:t xml:space="preserve"> </w:t>
      </w:r>
      <w:r w:rsidR="00DE4D69" w:rsidRPr="00942C66">
        <w:rPr>
          <w:rFonts w:eastAsia="Times New Roman"/>
          <w:sz w:val="23"/>
        </w:rPr>
        <w:br/>
      </w:r>
      <w:r w:rsidR="00A02591" w:rsidRPr="00942C66">
        <w:rPr>
          <w:rFonts w:eastAsia="Times New Roman"/>
          <w:sz w:val="23"/>
        </w:rPr>
        <w:t>z</w:t>
      </w:r>
      <w:r w:rsidRPr="00942C66">
        <w:rPr>
          <w:rFonts w:eastAsia="Times New Roman"/>
          <w:sz w:val="23"/>
        </w:rPr>
        <w:t xml:space="preserve"> sąsiednimi operatorami systemów dystrybucyjnych,</w:t>
      </w:r>
    </w:p>
    <w:p w14:paraId="2D57D94A" w14:textId="2587188E" w:rsidR="00572BA3" w:rsidRPr="00942C66" w:rsidRDefault="00572BA3" w:rsidP="0008709D">
      <w:pPr>
        <w:numPr>
          <w:ilvl w:val="0"/>
          <w:numId w:val="4"/>
        </w:numPr>
        <w:tabs>
          <w:tab w:val="left" w:pos="1500"/>
        </w:tabs>
        <w:ind w:left="1500" w:hanging="368"/>
        <w:jc w:val="both"/>
        <w:rPr>
          <w:rFonts w:eastAsia="Times New Roman"/>
        </w:rPr>
      </w:pPr>
      <w:r w:rsidRPr="00942C66">
        <w:rPr>
          <w:rFonts w:eastAsia="Times New Roman"/>
        </w:rPr>
        <w:t>utrzymanie odpowiedniego poziomu bezpieczeństwa pracy sieci dystrybucyjnej elektroenergetycznej oraz współpracę z operatorem systemu przesyłowego elektroenergetycznego</w:t>
      </w:r>
      <w:r w:rsidR="00D6392C" w:rsidRPr="00942C66">
        <w:rPr>
          <w:rFonts w:eastAsia="Times New Roman"/>
        </w:rPr>
        <w:t>,</w:t>
      </w:r>
    </w:p>
    <w:p w14:paraId="4AC5C5DE" w14:textId="04DDDAEF" w:rsidR="00D6392C" w:rsidRPr="00942C66" w:rsidRDefault="00D6392C" w:rsidP="0008709D">
      <w:pPr>
        <w:numPr>
          <w:ilvl w:val="0"/>
          <w:numId w:val="4"/>
        </w:numPr>
        <w:tabs>
          <w:tab w:val="left" w:pos="1500"/>
        </w:tabs>
        <w:ind w:left="1500" w:hanging="368"/>
        <w:jc w:val="both"/>
        <w:rPr>
          <w:rFonts w:eastAsia="Times New Roman"/>
        </w:rPr>
      </w:pPr>
      <w:r w:rsidRPr="00942C66">
        <w:rPr>
          <w:color w:val="000000"/>
        </w:rPr>
        <w:t>prowadzenie rejestru magazynów energii elektrycznej przyłączonych do jego sieci, stanowiących jej część lub wchodzących w skład jednostki wytwórczej lub instalacji odbiorcy końcowego przyłączonej do jego sieci.</w:t>
      </w:r>
    </w:p>
    <w:p w14:paraId="1E37B8FD" w14:textId="25F74397" w:rsidR="00572BA3" w:rsidRPr="00942C66" w:rsidRDefault="00572BA3">
      <w:pPr>
        <w:numPr>
          <w:ilvl w:val="0"/>
          <w:numId w:val="43"/>
        </w:numPr>
        <w:ind w:left="1134" w:hanging="1134"/>
        <w:jc w:val="both"/>
        <w:rPr>
          <w:rFonts w:eastAsia="Times New Roman"/>
        </w:rPr>
      </w:pPr>
      <w:r w:rsidRPr="00942C66">
        <w:rPr>
          <w:rFonts w:eastAsia="Times New Roman"/>
        </w:rPr>
        <w:t>IRiESD przestaje obowiązywać podmioty z datą łącznego spełnienia następujących dwóch warunków:</w:t>
      </w:r>
    </w:p>
    <w:p w14:paraId="5AC071DD" w14:textId="77777777" w:rsidR="00572BA3" w:rsidRPr="00942C66" w:rsidRDefault="00572BA3" w:rsidP="0008709D">
      <w:pPr>
        <w:numPr>
          <w:ilvl w:val="0"/>
          <w:numId w:val="6"/>
        </w:numPr>
        <w:tabs>
          <w:tab w:val="left" w:pos="1500"/>
        </w:tabs>
        <w:ind w:left="1500" w:hanging="368"/>
        <w:rPr>
          <w:rFonts w:eastAsia="Times New Roman"/>
        </w:rPr>
      </w:pPr>
      <w:r w:rsidRPr="00942C66">
        <w:rPr>
          <w:rFonts w:eastAsia="Times New Roman"/>
        </w:rPr>
        <w:t xml:space="preserve">odłączenie podmiotu od sieci dystrybucyjnej </w:t>
      </w:r>
      <w:r w:rsidR="00692090" w:rsidRPr="00942C66">
        <w:rPr>
          <w:rFonts w:eastAsia="Times New Roman"/>
        </w:rPr>
        <w:t>OSDn</w:t>
      </w:r>
      <w:r w:rsidRPr="00942C66">
        <w:rPr>
          <w:rFonts w:eastAsia="Times New Roman"/>
        </w:rPr>
        <w:t>,</w:t>
      </w:r>
    </w:p>
    <w:p w14:paraId="23DD0EB8" w14:textId="77777777" w:rsidR="00572BA3" w:rsidRPr="00942C66" w:rsidRDefault="00572BA3" w:rsidP="0008709D">
      <w:pPr>
        <w:numPr>
          <w:ilvl w:val="0"/>
          <w:numId w:val="6"/>
        </w:numPr>
        <w:tabs>
          <w:tab w:val="left" w:pos="1500"/>
        </w:tabs>
        <w:ind w:left="1500" w:hanging="368"/>
        <w:jc w:val="both"/>
        <w:rPr>
          <w:rFonts w:eastAsia="Times New Roman"/>
        </w:rPr>
      </w:pPr>
      <w:r w:rsidRPr="00942C66">
        <w:rPr>
          <w:rFonts w:eastAsia="Times New Roman"/>
        </w:rPr>
        <w:t xml:space="preserve">rozwiązanie z </w:t>
      </w:r>
      <w:r w:rsidR="00692090" w:rsidRPr="00942C66">
        <w:rPr>
          <w:rFonts w:eastAsia="Times New Roman"/>
        </w:rPr>
        <w:t>OSDn</w:t>
      </w:r>
      <w:r w:rsidRPr="00942C66">
        <w:rPr>
          <w:rFonts w:eastAsia="Times New Roman"/>
        </w:rPr>
        <w:t xml:space="preserve"> umowy o świadczenie usług dystrybucji lub umowy kompleksowej.</w:t>
      </w:r>
    </w:p>
    <w:p w14:paraId="33350F24" w14:textId="5AFC319E" w:rsidR="0064494F" w:rsidRPr="00CD7991" w:rsidRDefault="0064494F">
      <w:pPr>
        <w:numPr>
          <w:ilvl w:val="0"/>
          <w:numId w:val="44"/>
        </w:numPr>
        <w:ind w:left="1134" w:hanging="1134"/>
        <w:jc w:val="both"/>
        <w:rPr>
          <w:rFonts w:eastAsia="Times New Roman"/>
          <w:szCs w:val="24"/>
        </w:rPr>
      </w:pPr>
      <w:r w:rsidRPr="00CD7991">
        <w:rPr>
          <w:rFonts w:eastAsia="Times New Roman"/>
          <w:szCs w:val="24"/>
        </w:rPr>
        <w:t xml:space="preserve">Zgodnie </w:t>
      </w:r>
      <w:r w:rsidRPr="00CD7991">
        <w:rPr>
          <w:rFonts w:cs="Times New Roman"/>
          <w:szCs w:val="24"/>
        </w:rPr>
        <w:t xml:space="preserve">z przepisami ustawy o rynku mocy oraz RRM, OSDn jest odpowiedzialny </w:t>
      </w:r>
      <w:r w:rsidRPr="00CD7991">
        <w:rPr>
          <w:rFonts w:cs="Times New Roman"/>
          <w:szCs w:val="24"/>
        </w:rPr>
        <w:br/>
        <w:t>w szczególności za:</w:t>
      </w:r>
    </w:p>
    <w:p w14:paraId="62A84F21" w14:textId="4070C543" w:rsidR="0064494F" w:rsidRPr="00CD7991" w:rsidRDefault="0064494F">
      <w:pPr>
        <w:pStyle w:val="Akapitzlist"/>
        <w:numPr>
          <w:ilvl w:val="3"/>
          <w:numId w:val="271"/>
        </w:numPr>
        <w:tabs>
          <w:tab w:val="left" w:pos="1627"/>
        </w:tabs>
        <w:spacing w:before="120" w:line="259" w:lineRule="exact"/>
        <w:ind w:left="1418" w:right="465" w:hanging="284"/>
        <w:jc w:val="both"/>
        <w:rPr>
          <w:rFonts w:cs="Times New Roman"/>
          <w:szCs w:val="24"/>
        </w:rPr>
      </w:pPr>
      <w:r w:rsidRPr="00CD7991">
        <w:rPr>
          <w:rFonts w:cs="Times New Roman"/>
          <w:szCs w:val="24"/>
        </w:rPr>
        <w:t>współpracę w procesie certyfikacji z OSDp i OSP,</w:t>
      </w:r>
    </w:p>
    <w:p w14:paraId="6DF08C76" w14:textId="1C5AC715" w:rsidR="0064494F" w:rsidRPr="00942C66" w:rsidRDefault="0064494F">
      <w:pPr>
        <w:pStyle w:val="Akapitzlist"/>
        <w:numPr>
          <w:ilvl w:val="0"/>
          <w:numId w:val="271"/>
        </w:numPr>
        <w:spacing w:before="120" w:line="259" w:lineRule="exact"/>
        <w:ind w:left="1418" w:right="60" w:hanging="284"/>
        <w:jc w:val="both"/>
        <w:rPr>
          <w:rFonts w:cs="Times New Roman"/>
          <w:szCs w:val="24"/>
        </w:rPr>
      </w:pPr>
      <w:r w:rsidRPr="00CD7991">
        <w:rPr>
          <w:rFonts w:cs="Times New Roman"/>
          <w:szCs w:val="24"/>
        </w:rPr>
        <w:t>weryfikację wykonywania obowiązku mocowego przez jednostki rynku mocy, utworzone</w:t>
      </w:r>
      <w:r w:rsidRPr="00942C66">
        <w:rPr>
          <w:rFonts w:cs="Times New Roman"/>
          <w:szCs w:val="24"/>
        </w:rPr>
        <w:t xml:space="preserve"> z jednostek fizycznych, przyłączonych do sieci OSDn,</w:t>
      </w:r>
    </w:p>
    <w:p w14:paraId="40498527" w14:textId="435088FC" w:rsidR="0064494F" w:rsidRPr="00942C66" w:rsidRDefault="0064494F">
      <w:pPr>
        <w:pStyle w:val="Akapitzlist"/>
        <w:numPr>
          <w:ilvl w:val="0"/>
          <w:numId w:val="271"/>
        </w:numPr>
        <w:spacing w:before="120" w:line="259" w:lineRule="exact"/>
        <w:ind w:left="1418" w:right="60" w:hanging="284"/>
        <w:jc w:val="both"/>
        <w:rPr>
          <w:rFonts w:cs="Times New Roman"/>
          <w:szCs w:val="24"/>
        </w:rPr>
      </w:pPr>
      <w:r w:rsidRPr="00942C66">
        <w:rPr>
          <w:rFonts w:cs="Times New Roman"/>
          <w:szCs w:val="24"/>
        </w:rPr>
        <w:t>przekazywanie informacji o ograniczeniach sieciowych w sieci OSDn i wydanych w związku z nimi poleceniach ograniczających możliwość dostarczania mocy do KSE.</w:t>
      </w:r>
    </w:p>
    <w:p w14:paraId="728A5DBE" w14:textId="64FC0412" w:rsidR="00572BA3" w:rsidRPr="00942C66" w:rsidRDefault="0015153B">
      <w:pPr>
        <w:numPr>
          <w:ilvl w:val="0"/>
          <w:numId w:val="44"/>
        </w:numPr>
        <w:ind w:left="1134" w:hanging="1134"/>
        <w:jc w:val="both"/>
        <w:rPr>
          <w:rFonts w:eastAsia="Times New Roman"/>
        </w:rPr>
      </w:pPr>
      <w:r w:rsidRPr="00942C66">
        <w:rPr>
          <w:rFonts w:eastAsia="Times New Roman"/>
        </w:rPr>
        <w:t>OSDn</w:t>
      </w:r>
      <w:r w:rsidR="00572BA3" w:rsidRPr="00942C66">
        <w:rPr>
          <w:rFonts w:eastAsia="Times New Roman"/>
        </w:rPr>
        <w:t xml:space="preserve"> udostępnia do wglądu IRiESD w swojej siedzibie oraz zamieszcza ją na swoich stronach internetowych.</w:t>
      </w:r>
    </w:p>
    <w:p w14:paraId="413B2501" w14:textId="69600BB7" w:rsidR="00572BA3" w:rsidRPr="006B6809" w:rsidRDefault="00BD7AD7">
      <w:pPr>
        <w:numPr>
          <w:ilvl w:val="0"/>
          <w:numId w:val="44"/>
        </w:numPr>
        <w:ind w:left="1134" w:hanging="1134"/>
        <w:jc w:val="both"/>
        <w:rPr>
          <w:rFonts w:eastAsia="Times New Roman"/>
        </w:rPr>
      </w:pPr>
      <w:r w:rsidRPr="00942C66">
        <w:rPr>
          <w:rFonts w:eastAsia="Times New Roman"/>
        </w:rPr>
        <w:t>I</w:t>
      </w:r>
      <w:r w:rsidR="00572BA3" w:rsidRPr="00942C66">
        <w:rPr>
          <w:rFonts w:eastAsia="Times New Roman"/>
        </w:rPr>
        <w:t>RiESD jak również wszelkie</w:t>
      </w:r>
      <w:r w:rsidR="00572BA3" w:rsidRPr="006B6809">
        <w:rPr>
          <w:rFonts w:eastAsia="Times New Roman"/>
        </w:rPr>
        <w:t xml:space="preserve"> zmiany IRiESD podlegają zatwierdzeniu przez </w:t>
      </w:r>
      <w:r w:rsidR="00674326" w:rsidRPr="006B6809">
        <w:rPr>
          <w:rFonts w:cs="Times New Roman"/>
          <w:i/>
          <w:szCs w:val="24"/>
        </w:rPr>
        <w:t xml:space="preserve">      Zarząd</w:t>
      </w:r>
      <w:r w:rsidR="002D672A">
        <w:rPr>
          <w:rFonts w:cs="Times New Roman"/>
          <w:i/>
          <w:szCs w:val="24"/>
        </w:rPr>
        <w:t xml:space="preserve"> </w:t>
      </w:r>
      <w:r w:rsidR="00D57274">
        <w:rPr>
          <w:rFonts w:cs="Times New Roman"/>
          <w:i/>
          <w:iCs/>
          <w:szCs w:val="24"/>
        </w:rPr>
        <w:t>ERG S.A.</w:t>
      </w:r>
    </w:p>
    <w:p w14:paraId="15076F42" w14:textId="46495C0B" w:rsidR="00572BA3" w:rsidRPr="006B6809" w:rsidRDefault="00572BA3">
      <w:pPr>
        <w:numPr>
          <w:ilvl w:val="0"/>
          <w:numId w:val="44"/>
        </w:numPr>
        <w:ind w:left="1134" w:right="20" w:hanging="1134"/>
        <w:jc w:val="both"/>
        <w:rPr>
          <w:rFonts w:eastAsia="Times New Roman"/>
        </w:rPr>
      </w:pPr>
      <w:r w:rsidRPr="006B6809">
        <w:rPr>
          <w:rFonts w:eastAsia="Times New Roman"/>
        </w:rPr>
        <w:t>Data wejścia w życie IRiESD lub jej zmian jest wpisywana na jej stronie tytułowej lub na stronie tytułowej Karty aktualizacji.</w:t>
      </w:r>
    </w:p>
    <w:p w14:paraId="5943ECEC" w14:textId="23F596C3" w:rsidR="00572BA3" w:rsidRPr="006B6809" w:rsidRDefault="005A17AB">
      <w:pPr>
        <w:numPr>
          <w:ilvl w:val="0"/>
          <w:numId w:val="44"/>
        </w:numPr>
        <w:ind w:left="1134" w:hanging="1134"/>
        <w:jc w:val="both"/>
        <w:rPr>
          <w:rFonts w:eastAsia="Times New Roman"/>
        </w:rPr>
      </w:pPr>
      <w:r w:rsidRPr="006B6809">
        <w:rPr>
          <w:rFonts w:eastAsia="Times New Roman"/>
        </w:rPr>
        <w:t>W</w:t>
      </w:r>
      <w:r w:rsidR="00572BA3" w:rsidRPr="006B6809">
        <w:rPr>
          <w:rFonts w:eastAsia="Times New Roman"/>
        </w:rPr>
        <w:t xml:space="preserve"> zależności od potrzeb, </w:t>
      </w:r>
      <w:r w:rsidRPr="006B6809">
        <w:rPr>
          <w:rFonts w:eastAsia="Times New Roman"/>
        </w:rPr>
        <w:t>OSDn</w:t>
      </w:r>
      <w:r w:rsidR="00572BA3" w:rsidRPr="006B6809">
        <w:rPr>
          <w:rFonts w:eastAsia="Times New Roman"/>
        </w:rPr>
        <w:t xml:space="preserve"> przeprowadza aktualizację IRiESD. </w:t>
      </w:r>
      <w:r w:rsidRPr="006B6809">
        <w:rPr>
          <w:rFonts w:eastAsia="Times New Roman"/>
        </w:rPr>
        <w:br/>
      </w:r>
      <w:r w:rsidR="00572BA3" w:rsidRPr="006B6809">
        <w:rPr>
          <w:rFonts w:eastAsia="Times New Roman"/>
        </w:rPr>
        <w:t>W szczególności aktualizacja jest dokonywana przy zmianie wymagań wynikających z przepisów prawnych.</w:t>
      </w:r>
    </w:p>
    <w:p w14:paraId="1DE5118C" w14:textId="5CA58AC8" w:rsidR="00572BA3" w:rsidRPr="006B6809" w:rsidRDefault="00572BA3">
      <w:pPr>
        <w:numPr>
          <w:ilvl w:val="0"/>
          <w:numId w:val="44"/>
        </w:numPr>
        <w:ind w:left="1134" w:hanging="1134"/>
        <w:jc w:val="both"/>
        <w:rPr>
          <w:rFonts w:eastAsia="Times New Roman"/>
        </w:rPr>
      </w:pPr>
      <w:r w:rsidRPr="006B6809">
        <w:rPr>
          <w:rFonts w:eastAsia="Times New Roman"/>
        </w:rPr>
        <w:t>Zmiana IRiESD przeprowadzana jest poprzez wydanie nowej IRiESD albo poprzez wydanie Karty aktualizacji obowiązującej IRiESD.</w:t>
      </w:r>
    </w:p>
    <w:p w14:paraId="77DEEC57" w14:textId="52DB2FE3" w:rsidR="00572BA3" w:rsidRPr="006B6809" w:rsidRDefault="00572BA3">
      <w:pPr>
        <w:numPr>
          <w:ilvl w:val="0"/>
          <w:numId w:val="44"/>
        </w:numPr>
        <w:ind w:left="1134" w:hanging="1134"/>
        <w:jc w:val="both"/>
        <w:rPr>
          <w:rFonts w:eastAsia="Times New Roman"/>
        </w:rPr>
      </w:pPr>
      <w:r w:rsidRPr="006B6809">
        <w:rPr>
          <w:rFonts w:eastAsia="Times New Roman"/>
        </w:rPr>
        <w:t>Każda zmiana IRiESD jest poprzedzona procesem konsultacji z użytkownikami systemu.</w:t>
      </w:r>
    </w:p>
    <w:p w14:paraId="3E1DC68F" w14:textId="77777777" w:rsidR="00572BA3" w:rsidRDefault="00572BA3">
      <w:pPr>
        <w:numPr>
          <w:ilvl w:val="0"/>
          <w:numId w:val="44"/>
        </w:numPr>
        <w:tabs>
          <w:tab w:val="left" w:pos="1120"/>
        </w:tabs>
        <w:jc w:val="both"/>
        <w:rPr>
          <w:rFonts w:eastAsia="Times New Roman"/>
        </w:rPr>
      </w:pPr>
      <w:r>
        <w:rPr>
          <w:rFonts w:eastAsia="Times New Roman"/>
        </w:rPr>
        <w:t>Karta aktualizacji zawiera w szczególności:</w:t>
      </w:r>
    </w:p>
    <w:p w14:paraId="175726A8" w14:textId="77777777" w:rsidR="00572BA3" w:rsidRDefault="00572BA3" w:rsidP="0008709D">
      <w:pPr>
        <w:numPr>
          <w:ilvl w:val="0"/>
          <w:numId w:val="7"/>
        </w:numPr>
        <w:tabs>
          <w:tab w:val="left" w:pos="1540"/>
        </w:tabs>
        <w:ind w:left="1540" w:hanging="356"/>
        <w:jc w:val="both"/>
        <w:rPr>
          <w:rFonts w:eastAsia="Times New Roman"/>
        </w:rPr>
      </w:pPr>
      <w:r>
        <w:rPr>
          <w:rFonts w:eastAsia="Times New Roman"/>
        </w:rPr>
        <w:t>przyczynę aktualizacji IRiESD,</w:t>
      </w:r>
    </w:p>
    <w:p w14:paraId="0572B22F" w14:textId="77777777" w:rsidR="00572BA3" w:rsidRDefault="00572BA3" w:rsidP="0008709D">
      <w:pPr>
        <w:numPr>
          <w:ilvl w:val="0"/>
          <w:numId w:val="7"/>
        </w:numPr>
        <w:tabs>
          <w:tab w:val="left" w:pos="1540"/>
        </w:tabs>
        <w:ind w:left="1540" w:hanging="356"/>
        <w:jc w:val="both"/>
        <w:rPr>
          <w:rFonts w:eastAsia="Times New Roman"/>
        </w:rPr>
      </w:pPr>
      <w:r>
        <w:rPr>
          <w:rFonts w:eastAsia="Times New Roman"/>
        </w:rPr>
        <w:t>zakres aktualizacji IRiESD,</w:t>
      </w:r>
    </w:p>
    <w:p w14:paraId="1C2A5C90" w14:textId="77777777" w:rsidR="00572BA3" w:rsidRDefault="00572BA3" w:rsidP="0008709D">
      <w:pPr>
        <w:numPr>
          <w:ilvl w:val="0"/>
          <w:numId w:val="7"/>
        </w:numPr>
        <w:tabs>
          <w:tab w:val="left" w:pos="1540"/>
        </w:tabs>
        <w:ind w:left="1540" w:hanging="356"/>
        <w:jc w:val="both"/>
        <w:rPr>
          <w:rFonts w:eastAsia="Times New Roman"/>
        </w:rPr>
      </w:pPr>
      <w:r>
        <w:rPr>
          <w:rFonts w:eastAsia="Times New Roman"/>
        </w:rPr>
        <w:lastRenderedPageBreak/>
        <w:t>nowe brzmienie zmienianych zapisów IRiESD lub tekst uzupełniający dotychczasowe zapisy.</w:t>
      </w:r>
    </w:p>
    <w:p w14:paraId="202DCF97" w14:textId="77777777" w:rsidR="00572BA3" w:rsidRDefault="00572BA3" w:rsidP="0008709D">
      <w:pPr>
        <w:rPr>
          <w:rFonts w:eastAsia="Times New Roman"/>
        </w:rPr>
      </w:pPr>
    </w:p>
    <w:p w14:paraId="18818E14" w14:textId="77777777" w:rsidR="00572BA3" w:rsidRDefault="00572BA3" w:rsidP="006B6809">
      <w:pPr>
        <w:ind w:left="1184"/>
        <w:jc w:val="both"/>
        <w:rPr>
          <w:rFonts w:eastAsia="Times New Roman"/>
        </w:rPr>
      </w:pPr>
      <w:r>
        <w:rPr>
          <w:rFonts w:eastAsia="Times New Roman"/>
        </w:rPr>
        <w:t xml:space="preserve">W przypadku rozbieżności pomiędzy dotychczasowymi postanowieniami IRiESD, </w:t>
      </w:r>
      <w:r w:rsidR="006925B4">
        <w:rPr>
          <w:rFonts w:eastAsia="Times New Roman"/>
        </w:rPr>
        <w:br/>
      </w:r>
      <w:r>
        <w:rPr>
          <w:rFonts w:eastAsia="Times New Roman"/>
        </w:rPr>
        <w:t>a zapisami Karty aktualizacji, rozstrzygające są postanowienia zawarte w Karcie aktualizacji.</w:t>
      </w:r>
    </w:p>
    <w:p w14:paraId="3D344DE9" w14:textId="77777777" w:rsidR="00572BA3" w:rsidRDefault="00572BA3" w:rsidP="006B6809">
      <w:pPr>
        <w:ind w:left="1140"/>
        <w:jc w:val="both"/>
        <w:rPr>
          <w:rFonts w:eastAsia="Times New Roman"/>
        </w:rPr>
      </w:pPr>
      <w:r>
        <w:rPr>
          <w:rFonts w:eastAsia="Times New Roman"/>
        </w:rPr>
        <w:t>Karty aktualizacji stanowią Załączniki do IRiESD.</w:t>
      </w:r>
    </w:p>
    <w:p w14:paraId="1A9DC9C6" w14:textId="77777777" w:rsidR="00533A69" w:rsidRDefault="00533A69" w:rsidP="006B6809">
      <w:pPr>
        <w:ind w:left="1140"/>
        <w:jc w:val="both"/>
        <w:rPr>
          <w:rFonts w:eastAsia="Times New Roman"/>
        </w:rPr>
      </w:pPr>
    </w:p>
    <w:p w14:paraId="32527A83" w14:textId="6A63BE8A" w:rsidR="00572BA3" w:rsidRDefault="00572BA3">
      <w:pPr>
        <w:numPr>
          <w:ilvl w:val="0"/>
          <w:numId w:val="45"/>
        </w:numPr>
        <w:ind w:left="1134" w:hanging="1134"/>
        <w:jc w:val="both"/>
        <w:rPr>
          <w:rFonts w:eastAsia="Times New Roman"/>
        </w:rPr>
      </w:pPr>
      <w:r>
        <w:rPr>
          <w:rFonts w:eastAsia="Times New Roman"/>
        </w:rPr>
        <w:t>Proces wprowadzania zmian IRiESD jest przeprowadzany według następującego trybu:</w:t>
      </w:r>
    </w:p>
    <w:p w14:paraId="2132B54E" w14:textId="77777777" w:rsidR="00572BA3" w:rsidRDefault="00D743E5">
      <w:pPr>
        <w:numPr>
          <w:ilvl w:val="0"/>
          <w:numId w:val="46"/>
        </w:numPr>
        <w:tabs>
          <w:tab w:val="left" w:pos="1500"/>
        </w:tabs>
        <w:ind w:left="1560" w:hanging="426"/>
        <w:jc w:val="both"/>
        <w:rPr>
          <w:rFonts w:eastAsia="Times New Roman"/>
        </w:rPr>
      </w:pPr>
      <w:r>
        <w:rPr>
          <w:rFonts w:eastAsia="Times New Roman"/>
        </w:rPr>
        <w:t>OSDn</w:t>
      </w:r>
      <w:r w:rsidR="00572BA3">
        <w:rPr>
          <w:rFonts w:eastAsia="Times New Roman"/>
        </w:rPr>
        <w:t xml:space="preserve"> opracowuje projekt nowej IRiESD albo projekt Karty aktualizacji </w:t>
      </w:r>
      <w:r>
        <w:rPr>
          <w:rFonts w:eastAsia="Times New Roman"/>
        </w:rPr>
        <w:br/>
      </w:r>
      <w:r w:rsidR="00572BA3">
        <w:rPr>
          <w:rFonts w:eastAsia="Times New Roman"/>
        </w:rPr>
        <w:t>i publikuje go na swojej stronie internetowej,</w:t>
      </w:r>
    </w:p>
    <w:p w14:paraId="31623047" w14:textId="77777777" w:rsidR="00572BA3" w:rsidRPr="006B6809" w:rsidRDefault="00572BA3">
      <w:pPr>
        <w:numPr>
          <w:ilvl w:val="0"/>
          <w:numId w:val="46"/>
        </w:numPr>
        <w:tabs>
          <w:tab w:val="left" w:pos="1500"/>
        </w:tabs>
        <w:ind w:left="1560" w:hanging="426"/>
        <w:jc w:val="both"/>
        <w:rPr>
          <w:rFonts w:eastAsia="Times New Roman"/>
        </w:rPr>
      </w:pPr>
      <w:r w:rsidRPr="006B6809">
        <w:rPr>
          <w:rFonts w:eastAsia="Times New Roman"/>
        </w:rPr>
        <w:t xml:space="preserve">wraz z projektem nowej IRiESD albo projektem Karty aktualizacji, </w:t>
      </w:r>
      <w:r w:rsidR="00D743E5" w:rsidRPr="006B6809">
        <w:rPr>
          <w:rFonts w:eastAsia="Times New Roman"/>
        </w:rPr>
        <w:t>OSDn</w:t>
      </w:r>
      <w:r w:rsidRPr="006B6809">
        <w:rPr>
          <w:rFonts w:eastAsia="Times New Roman"/>
        </w:rPr>
        <w:t xml:space="preserve"> publikuje na swojej stronie internetowej komunikat, informujący </w:t>
      </w:r>
      <w:r w:rsidR="00D743E5" w:rsidRPr="006B6809">
        <w:rPr>
          <w:rFonts w:eastAsia="Times New Roman"/>
        </w:rPr>
        <w:br/>
      </w:r>
      <w:r w:rsidRPr="006B6809">
        <w:rPr>
          <w:rFonts w:eastAsia="Times New Roman"/>
        </w:rPr>
        <w:t>o rozpoczęciu procesu konsultacji zmian IRiESD, miejscu i sposobie nadsyłania uwag oraz okresie przewidzianym na konsultacje.</w:t>
      </w:r>
    </w:p>
    <w:p w14:paraId="1EE2DD73" w14:textId="7641A480" w:rsidR="00572BA3" w:rsidRPr="006B6809" w:rsidRDefault="00572BA3">
      <w:pPr>
        <w:numPr>
          <w:ilvl w:val="0"/>
          <w:numId w:val="47"/>
        </w:numPr>
        <w:ind w:left="1134" w:hanging="1134"/>
        <w:jc w:val="both"/>
        <w:rPr>
          <w:rFonts w:eastAsia="Times New Roman"/>
          <w:color w:val="000000"/>
        </w:rPr>
      </w:pPr>
      <w:r w:rsidRPr="006B6809">
        <w:rPr>
          <w:rFonts w:eastAsia="Times New Roman"/>
          <w:color w:val="000000"/>
          <w:szCs w:val="24"/>
        </w:rPr>
        <w:t xml:space="preserve">Okres przewidziany na konsultacje nie może być krótszy niż </w:t>
      </w:r>
      <w:r w:rsidR="005C148C">
        <w:rPr>
          <w:rFonts w:eastAsia="Times New Roman"/>
          <w:color w:val="000000"/>
          <w:szCs w:val="24"/>
        </w:rPr>
        <w:t xml:space="preserve">miesiąc od dnia udostępnienia </w:t>
      </w:r>
      <w:r w:rsidRPr="006B6809">
        <w:rPr>
          <w:rFonts w:eastAsia="Times New Roman"/>
          <w:color w:val="000000"/>
          <w:szCs w:val="24"/>
        </w:rPr>
        <w:t>projektu nowej IRiESD albo projektu Karty aktualizacji.</w:t>
      </w:r>
    </w:p>
    <w:p w14:paraId="00564D76" w14:textId="63B0BF93" w:rsidR="00572BA3" w:rsidRPr="00FA49B5" w:rsidRDefault="00572BA3">
      <w:pPr>
        <w:numPr>
          <w:ilvl w:val="0"/>
          <w:numId w:val="47"/>
        </w:numPr>
        <w:ind w:left="1134" w:hanging="1134"/>
        <w:jc w:val="both"/>
        <w:rPr>
          <w:rFonts w:eastAsia="Times New Roman"/>
          <w:color w:val="000000"/>
        </w:rPr>
      </w:pPr>
      <w:r w:rsidRPr="00FA49B5">
        <w:rPr>
          <w:rFonts w:eastAsia="Times New Roman"/>
          <w:color w:val="000000"/>
        </w:rPr>
        <w:t xml:space="preserve">Po zakończeniu okresu przewidzianego na konsultacje, </w:t>
      </w:r>
      <w:r w:rsidR="007864B2" w:rsidRPr="00FA49B5">
        <w:rPr>
          <w:rFonts w:eastAsia="Times New Roman"/>
          <w:color w:val="000000"/>
        </w:rPr>
        <w:t>OSDn</w:t>
      </w:r>
      <w:r w:rsidRPr="00FA49B5">
        <w:rPr>
          <w:rFonts w:eastAsia="Times New Roman"/>
          <w:color w:val="000000"/>
        </w:rPr>
        <w:t>:</w:t>
      </w:r>
    </w:p>
    <w:p w14:paraId="09E662B1" w14:textId="77777777" w:rsidR="00572BA3" w:rsidRPr="00FA49B5" w:rsidRDefault="00572BA3">
      <w:pPr>
        <w:numPr>
          <w:ilvl w:val="0"/>
          <w:numId w:val="48"/>
        </w:numPr>
        <w:tabs>
          <w:tab w:val="left" w:pos="1500"/>
        </w:tabs>
        <w:ind w:left="1560" w:hanging="426"/>
        <w:jc w:val="both"/>
        <w:rPr>
          <w:rFonts w:eastAsia="Times New Roman"/>
          <w:color w:val="000000"/>
        </w:rPr>
      </w:pPr>
      <w:r w:rsidRPr="00FA49B5">
        <w:rPr>
          <w:rFonts w:eastAsia="Times New Roman"/>
          <w:color w:val="000000"/>
        </w:rPr>
        <w:t>dokonuje analizy otrzymanych uwag,</w:t>
      </w:r>
    </w:p>
    <w:p w14:paraId="6664C3F7" w14:textId="77777777" w:rsidR="00572BA3" w:rsidRPr="00FA49B5" w:rsidRDefault="00572BA3">
      <w:pPr>
        <w:numPr>
          <w:ilvl w:val="0"/>
          <w:numId w:val="48"/>
        </w:numPr>
        <w:tabs>
          <w:tab w:val="left" w:pos="1500"/>
        </w:tabs>
        <w:ind w:left="1560" w:hanging="426"/>
        <w:jc w:val="both"/>
        <w:rPr>
          <w:rFonts w:eastAsia="Times New Roman"/>
          <w:color w:val="000000"/>
        </w:rPr>
      </w:pPr>
      <w:r w:rsidRPr="00FA49B5">
        <w:rPr>
          <w:rFonts w:eastAsia="Times New Roman"/>
          <w:color w:val="000000"/>
        </w:rPr>
        <w:t>w opracowywanej nowej wersji IRiESD albo Karty aktualizacji, uwzględnia</w:t>
      </w:r>
      <w:r w:rsidR="003E1EE1" w:rsidRPr="00FA49B5">
        <w:rPr>
          <w:rFonts w:eastAsia="Times New Roman"/>
          <w:color w:val="000000"/>
        </w:rPr>
        <w:br/>
      </w:r>
      <w:r w:rsidRPr="00FA49B5">
        <w:rPr>
          <w:rFonts w:eastAsia="Times New Roman"/>
          <w:color w:val="000000"/>
        </w:rPr>
        <w:t>w uzasadnionym zakresie zgłoszone uwagi,</w:t>
      </w:r>
    </w:p>
    <w:p w14:paraId="42BED4A1" w14:textId="77777777" w:rsidR="00572BA3" w:rsidRPr="00FA49B5" w:rsidRDefault="00572BA3">
      <w:pPr>
        <w:numPr>
          <w:ilvl w:val="0"/>
          <w:numId w:val="48"/>
        </w:numPr>
        <w:tabs>
          <w:tab w:val="left" w:pos="1500"/>
        </w:tabs>
        <w:ind w:left="1560" w:hanging="426"/>
        <w:jc w:val="both"/>
        <w:rPr>
          <w:rFonts w:eastAsia="Times New Roman"/>
          <w:color w:val="000000"/>
        </w:rPr>
      </w:pPr>
      <w:r w:rsidRPr="00FA49B5">
        <w:rPr>
          <w:rFonts w:eastAsia="Times New Roman"/>
          <w:color w:val="000000"/>
        </w:rPr>
        <w:t>opracowuje Raport z procesu konsultacji, zawierający zestawienie otrzymanych uwag oraz informacje o sposobie ich uwzględnienia,</w:t>
      </w:r>
    </w:p>
    <w:p w14:paraId="2DF00359" w14:textId="519C5749" w:rsidR="00572BA3" w:rsidRPr="006B6809" w:rsidRDefault="00572BA3">
      <w:pPr>
        <w:numPr>
          <w:ilvl w:val="0"/>
          <w:numId w:val="48"/>
        </w:numPr>
        <w:tabs>
          <w:tab w:val="left" w:pos="1500"/>
        </w:tabs>
        <w:ind w:left="1560" w:hanging="426"/>
        <w:jc w:val="both"/>
        <w:rPr>
          <w:rFonts w:eastAsia="Times New Roman"/>
          <w:color w:val="000000"/>
        </w:rPr>
      </w:pPr>
      <w:r w:rsidRPr="006B6809">
        <w:rPr>
          <w:rFonts w:eastAsia="Times New Roman"/>
          <w:color w:val="000000"/>
        </w:rPr>
        <w:t xml:space="preserve">przedkłada </w:t>
      </w:r>
      <w:r w:rsidR="002F4BB3" w:rsidRPr="00FC0026">
        <w:rPr>
          <w:rFonts w:eastAsia="Times New Roman"/>
          <w:color w:val="000000"/>
        </w:rPr>
        <w:t>Zarządowi</w:t>
      </w:r>
      <w:r w:rsidR="008F5141" w:rsidRPr="00FC0026">
        <w:rPr>
          <w:rFonts w:eastAsia="Times New Roman"/>
          <w:color w:val="000000"/>
        </w:rPr>
        <w:t xml:space="preserve"> </w:t>
      </w:r>
      <w:r w:rsidR="00D57274">
        <w:rPr>
          <w:rFonts w:cs="Times New Roman"/>
          <w:i/>
          <w:iCs/>
          <w:szCs w:val="24"/>
        </w:rPr>
        <w:t>ERG S.A.</w:t>
      </w:r>
      <w:r w:rsidR="008D4B75">
        <w:rPr>
          <w:rFonts w:cs="Times New Roman"/>
          <w:i/>
          <w:iCs/>
          <w:szCs w:val="24"/>
        </w:rPr>
        <w:t xml:space="preserve"> </w:t>
      </w:r>
      <w:r w:rsidRPr="006B6809">
        <w:rPr>
          <w:rFonts w:eastAsia="Times New Roman"/>
          <w:color w:val="000000"/>
        </w:rPr>
        <w:t>do zatwierdzenia IRiESD albo Kartę aktualizacji wraz z Raportem z procesu konsultacji.</w:t>
      </w:r>
    </w:p>
    <w:p w14:paraId="6BBD4585" w14:textId="66512E17" w:rsidR="00572BA3" w:rsidRPr="006B6809" w:rsidRDefault="00641A64">
      <w:pPr>
        <w:numPr>
          <w:ilvl w:val="0"/>
          <w:numId w:val="47"/>
        </w:numPr>
        <w:ind w:left="1134" w:hanging="1134"/>
        <w:jc w:val="both"/>
        <w:rPr>
          <w:rFonts w:eastAsia="Times New Roman"/>
        </w:rPr>
      </w:pPr>
      <w:r w:rsidRPr="006B6809">
        <w:rPr>
          <w:rFonts w:eastAsia="Times New Roman"/>
          <w:color w:val="000000"/>
        </w:rPr>
        <w:t xml:space="preserve"> </w:t>
      </w:r>
      <w:r w:rsidR="00572BA3" w:rsidRPr="006B6809">
        <w:rPr>
          <w:rFonts w:eastAsia="Times New Roman"/>
          <w:color w:val="000000"/>
        </w:rPr>
        <w:t xml:space="preserve">IRiESD albo Kartę aktualizacji przedłożoną do zatwierdzenia przez </w:t>
      </w:r>
      <w:r w:rsidR="002F4BB3" w:rsidRPr="006B6809">
        <w:rPr>
          <w:rFonts w:eastAsia="Times New Roman"/>
          <w:color w:val="000000"/>
        </w:rPr>
        <w:t xml:space="preserve">Zarząd </w:t>
      </w:r>
      <w:r w:rsidR="00172650">
        <w:rPr>
          <w:rFonts w:eastAsia="Times New Roman"/>
          <w:color w:val="000000"/>
        </w:rPr>
        <w:br/>
      </w:r>
      <w:r w:rsidR="00D57274">
        <w:rPr>
          <w:rFonts w:cs="Times New Roman"/>
          <w:i/>
          <w:iCs/>
          <w:szCs w:val="24"/>
        </w:rPr>
        <w:t>ERG S.A.</w:t>
      </w:r>
      <w:r w:rsidR="008D4B75">
        <w:rPr>
          <w:rFonts w:cs="Times New Roman"/>
          <w:i/>
          <w:iCs/>
          <w:szCs w:val="24"/>
        </w:rPr>
        <w:t xml:space="preserve"> </w:t>
      </w:r>
      <w:r w:rsidR="00682DF5" w:rsidRPr="006B6809">
        <w:rPr>
          <w:rFonts w:eastAsia="Times New Roman"/>
          <w:color w:val="000000"/>
        </w:rPr>
        <w:t>o</w:t>
      </w:r>
      <w:r w:rsidR="00572BA3" w:rsidRPr="006B6809">
        <w:rPr>
          <w:rFonts w:eastAsia="Times New Roman"/>
          <w:color w:val="000000"/>
        </w:rPr>
        <w:t>raz Raport z procesu konsultacji, zawierający zestawienie otrzymanych uwag oraz informacje</w:t>
      </w:r>
      <w:r w:rsidR="00572BA3" w:rsidRPr="006B6809">
        <w:rPr>
          <w:rFonts w:eastAsia="Times New Roman"/>
        </w:rPr>
        <w:t xml:space="preserve"> o sposobie ich uwzględnienia, </w:t>
      </w:r>
      <w:r w:rsidRPr="006B6809">
        <w:rPr>
          <w:rFonts w:eastAsia="Times New Roman"/>
        </w:rPr>
        <w:t>OSDn</w:t>
      </w:r>
      <w:r w:rsidR="00572BA3" w:rsidRPr="006B6809">
        <w:rPr>
          <w:rFonts w:eastAsia="Times New Roman"/>
        </w:rPr>
        <w:t xml:space="preserve"> publikuje na swojej stronie internetowej.</w:t>
      </w:r>
    </w:p>
    <w:p w14:paraId="5720F780" w14:textId="7262852D" w:rsidR="00572BA3" w:rsidRDefault="00572BA3" w:rsidP="006B6809">
      <w:pPr>
        <w:ind w:left="1140"/>
        <w:jc w:val="both"/>
        <w:rPr>
          <w:rFonts w:eastAsia="Times New Roman"/>
        </w:rPr>
      </w:pPr>
      <w:r>
        <w:rPr>
          <w:rFonts w:eastAsia="Times New Roman"/>
        </w:rPr>
        <w:t xml:space="preserve">Zatwierdzoną przez </w:t>
      </w:r>
      <w:r w:rsidR="0043399B">
        <w:rPr>
          <w:rFonts w:eastAsia="Times New Roman"/>
        </w:rPr>
        <w:t>Zarząd</w:t>
      </w:r>
      <w:r w:rsidR="00113C7D">
        <w:rPr>
          <w:rFonts w:eastAsia="Times New Roman"/>
        </w:rPr>
        <w:t xml:space="preserve"> </w:t>
      </w:r>
      <w:r w:rsidR="00D57274">
        <w:rPr>
          <w:rFonts w:cs="Times New Roman"/>
          <w:i/>
          <w:iCs/>
          <w:szCs w:val="24"/>
        </w:rPr>
        <w:t>ERG S.A.</w:t>
      </w:r>
      <w:r w:rsidR="008D4B75">
        <w:rPr>
          <w:rFonts w:cs="Times New Roman"/>
          <w:i/>
          <w:iCs/>
          <w:szCs w:val="24"/>
        </w:rPr>
        <w:t xml:space="preserve"> </w:t>
      </w:r>
      <w:r>
        <w:rPr>
          <w:rFonts w:eastAsia="Times New Roman"/>
        </w:rPr>
        <w:t xml:space="preserve">IRiESD albo Kartę aktualizacji wraz z informacją o dacie wejścia w życie wprowadzanych zmian IRiESD, </w:t>
      </w:r>
      <w:r w:rsidR="000674BC">
        <w:rPr>
          <w:rFonts w:eastAsia="Times New Roman"/>
        </w:rPr>
        <w:t>OSDn</w:t>
      </w:r>
      <w:r>
        <w:rPr>
          <w:rFonts w:eastAsia="Times New Roman"/>
        </w:rPr>
        <w:t xml:space="preserve"> publikuje na swojej stronie internetowej oraz udostępnia do publicznego wglądu </w:t>
      </w:r>
      <w:r w:rsidR="00437F0A">
        <w:rPr>
          <w:rFonts w:eastAsia="Times New Roman"/>
        </w:rPr>
        <w:br/>
      </w:r>
      <w:r>
        <w:rPr>
          <w:rFonts w:eastAsia="Times New Roman"/>
        </w:rPr>
        <w:t>w swojej siedzibie.</w:t>
      </w:r>
    </w:p>
    <w:p w14:paraId="26C3D0D4" w14:textId="7B2E6178" w:rsidR="00572BA3" w:rsidRDefault="00572BA3">
      <w:pPr>
        <w:numPr>
          <w:ilvl w:val="0"/>
          <w:numId w:val="47"/>
        </w:numPr>
        <w:ind w:left="1134" w:hanging="1134"/>
        <w:jc w:val="both"/>
        <w:rPr>
          <w:rFonts w:eastAsia="Times New Roman"/>
        </w:rPr>
      </w:pPr>
      <w:r>
        <w:rPr>
          <w:rFonts w:eastAsia="Times New Roman"/>
        </w:rPr>
        <w:t xml:space="preserve">Użytkownicy systemu, w tym odbiorcy, których urządzenia, instalacje lub sieci są przyłączone do sieci </w:t>
      </w:r>
      <w:r w:rsidR="00A47FFD">
        <w:rPr>
          <w:rFonts w:eastAsia="Times New Roman"/>
        </w:rPr>
        <w:t>OSDn</w:t>
      </w:r>
      <w:r>
        <w:rPr>
          <w:rFonts w:eastAsia="Times New Roman"/>
        </w:rPr>
        <w:t xml:space="preserve"> lub korzystający z usług świadczonych przez </w:t>
      </w:r>
      <w:r w:rsidR="00A47FFD">
        <w:rPr>
          <w:rFonts w:eastAsia="Times New Roman"/>
        </w:rPr>
        <w:t>OSDn</w:t>
      </w:r>
      <w:r>
        <w:rPr>
          <w:rFonts w:eastAsia="Times New Roman"/>
        </w:rPr>
        <w:t xml:space="preserve">, są obowiązani stosować się do warunków i wymagań oraz procedur postępowania </w:t>
      </w:r>
      <w:r w:rsidR="00A47FFD">
        <w:rPr>
          <w:rFonts w:eastAsia="Times New Roman"/>
        </w:rPr>
        <w:br/>
      </w:r>
      <w:r>
        <w:rPr>
          <w:rFonts w:eastAsia="Times New Roman"/>
        </w:rPr>
        <w:t>i wymiany informacji określonych w niniejszej IRiESD. IRiESD stanowi część umowy o świadczenie usług dystrybucji energii elektrycznej lub umowy kompleksowej.</w:t>
      </w:r>
    </w:p>
    <w:p w14:paraId="412F1B00" w14:textId="06CC0888" w:rsidR="00533A69" w:rsidRDefault="00533A69">
      <w:pPr>
        <w:numPr>
          <w:ilvl w:val="0"/>
          <w:numId w:val="47"/>
        </w:numPr>
        <w:autoSpaceDE w:val="0"/>
        <w:autoSpaceDN w:val="0"/>
        <w:adjustRightInd w:val="0"/>
        <w:ind w:left="1134" w:right="-20" w:hanging="1134"/>
        <w:jc w:val="both"/>
        <w:rPr>
          <w:rFonts w:cs="Times New Roman"/>
          <w:color w:val="000000"/>
          <w:szCs w:val="24"/>
        </w:rPr>
      </w:pPr>
      <w:r w:rsidRPr="00D80DE5">
        <w:rPr>
          <w:rFonts w:cs="Times New Roman"/>
          <w:color w:val="000000"/>
          <w:szCs w:val="24"/>
        </w:rPr>
        <w:t xml:space="preserve">Zakres przedmiotowy IRiESD pokrywa się częściowo z zakresem przedmiotowym </w:t>
      </w:r>
      <w:r w:rsidR="001C69FC">
        <w:rPr>
          <w:rFonts w:cs="Times New Roman"/>
          <w:color w:val="000000"/>
          <w:szCs w:val="24"/>
        </w:rPr>
        <w:t xml:space="preserve">TCM, </w:t>
      </w:r>
      <w:r w:rsidRPr="00D80DE5">
        <w:rPr>
          <w:rFonts w:cs="Times New Roman"/>
          <w:color w:val="000000"/>
          <w:szCs w:val="24"/>
        </w:rPr>
        <w:t xml:space="preserve">stąd: </w:t>
      </w:r>
    </w:p>
    <w:p w14:paraId="472B9B80" w14:textId="77777777" w:rsidR="00533A69" w:rsidRPr="00533A69" w:rsidRDefault="00533A69">
      <w:pPr>
        <w:numPr>
          <w:ilvl w:val="3"/>
          <w:numId w:val="55"/>
        </w:numPr>
        <w:autoSpaceDE w:val="0"/>
        <w:autoSpaceDN w:val="0"/>
        <w:adjustRightInd w:val="0"/>
        <w:ind w:left="1418" w:right="-20" w:hanging="284"/>
        <w:jc w:val="both"/>
        <w:rPr>
          <w:rFonts w:cs="Times New Roman"/>
          <w:color w:val="000000"/>
          <w:szCs w:val="24"/>
        </w:rPr>
      </w:pPr>
      <w:r w:rsidRPr="00533A69">
        <w:rPr>
          <w:rFonts w:cs="Times New Roman"/>
          <w:color w:val="000000"/>
          <w:szCs w:val="24"/>
        </w:rPr>
        <w:t xml:space="preserve">w przypadku, gdy wystąpi rozbieżność pomiędzy postanowieniami IRiESD, </w:t>
      </w:r>
      <w:r w:rsidRPr="00533A69">
        <w:rPr>
          <w:rFonts w:cs="Times New Roman"/>
          <w:color w:val="000000"/>
          <w:szCs w:val="24"/>
        </w:rPr>
        <w:br/>
        <w:t xml:space="preserve">a postanowieniami TCM, OSDn podejmie działania mające na celu wyeliminowania tych rozbieżności, a do tego czasu postanowienia TCM mają pierwszeństwo nad rozbieżnymi z nimi postanowieniami IRiESD, </w:t>
      </w:r>
    </w:p>
    <w:p w14:paraId="3CB0C38A" w14:textId="1C3D5D91" w:rsidR="0067743E" w:rsidRDefault="00533A69">
      <w:pPr>
        <w:numPr>
          <w:ilvl w:val="3"/>
          <w:numId w:val="55"/>
        </w:numPr>
        <w:autoSpaceDE w:val="0"/>
        <w:autoSpaceDN w:val="0"/>
        <w:adjustRightInd w:val="0"/>
        <w:ind w:left="1418" w:right="-20" w:hanging="284"/>
        <w:jc w:val="both"/>
        <w:rPr>
          <w:rFonts w:cs="Times New Roman"/>
          <w:color w:val="000000"/>
          <w:szCs w:val="24"/>
        </w:rPr>
      </w:pPr>
      <w:r w:rsidRPr="00D80DE5">
        <w:rPr>
          <w:rFonts w:cs="Times New Roman"/>
          <w:color w:val="000000"/>
          <w:szCs w:val="24"/>
        </w:rPr>
        <w:t xml:space="preserve">w przypadku wydania przez Prezesa URE decyzji w sprawie przyznania, podmiotowi zobowiązanemu do stosowania IRiESD, odstępstwa od stosowania przepisów Kodeksów sieci nie stosuje się, wobec tego podmiotu wymagań IRiESD sprzecznych z tą decyzją. </w:t>
      </w:r>
    </w:p>
    <w:p w14:paraId="7431F1A0" w14:textId="77777777" w:rsidR="0067743E" w:rsidRDefault="0067743E" w:rsidP="0067743E">
      <w:pPr>
        <w:autoSpaceDE w:val="0"/>
        <w:autoSpaceDN w:val="0"/>
        <w:adjustRightInd w:val="0"/>
        <w:ind w:left="2520" w:right="-20"/>
        <w:jc w:val="both"/>
        <w:rPr>
          <w:rFonts w:cs="Times New Roman"/>
          <w:color w:val="000000"/>
          <w:szCs w:val="24"/>
        </w:rPr>
      </w:pPr>
    </w:p>
    <w:p w14:paraId="55583744" w14:textId="57A479FC" w:rsidR="0067743E" w:rsidRPr="0067743E" w:rsidRDefault="0067743E">
      <w:pPr>
        <w:pStyle w:val="Akapitzlist"/>
        <w:numPr>
          <w:ilvl w:val="0"/>
          <w:numId w:val="47"/>
        </w:numPr>
        <w:autoSpaceDE w:val="0"/>
        <w:autoSpaceDN w:val="0"/>
        <w:adjustRightInd w:val="0"/>
        <w:ind w:left="1134" w:right="-20" w:hanging="1134"/>
        <w:jc w:val="both"/>
        <w:rPr>
          <w:rFonts w:cs="Times New Roman"/>
          <w:color w:val="000000" w:themeColor="text1"/>
          <w:szCs w:val="24"/>
        </w:rPr>
      </w:pPr>
      <w:r w:rsidRPr="0067743E">
        <w:rPr>
          <w:color w:val="000000" w:themeColor="text1"/>
          <w:w w:val="105"/>
        </w:rPr>
        <w:t>Postanowienia IRiESD w zakresie w jakim dotyczą Prosumenta wirtualnego wchodzą w życie z dniem 2 lipca 2024 r</w:t>
      </w:r>
      <w:r>
        <w:rPr>
          <w:color w:val="000000" w:themeColor="text1"/>
          <w:w w:val="105"/>
        </w:rPr>
        <w:t>.</w:t>
      </w:r>
    </w:p>
    <w:p w14:paraId="2BC68555" w14:textId="77777777" w:rsidR="0067743E" w:rsidRDefault="0067743E" w:rsidP="0067743E">
      <w:pPr>
        <w:autoSpaceDE w:val="0"/>
        <w:autoSpaceDN w:val="0"/>
        <w:adjustRightInd w:val="0"/>
        <w:ind w:left="1418" w:right="-20"/>
        <w:jc w:val="both"/>
        <w:rPr>
          <w:rFonts w:cs="Times New Roman"/>
          <w:color w:val="000000"/>
          <w:szCs w:val="24"/>
        </w:rPr>
      </w:pPr>
    </w:p>
    <w:p w14:paraId="4814BBC8" w14:textId="77777777" w:rsidR="00572BA3" w:rsidRDefault="00572BA3" w:rsidP="0008709D">
      <w:pPr>
        <w:pStyle w:val="Nagwek2"/>
        <w:ind w:left="426" w:hanging="426"/>
        <w:jc w:val="both"/>
      </w:pPr>
      <w:bookmarkStart w:id="7" w:name="_Toc141963865"/>
      <w:r>
        <w:t>I.2.</w:t>
      </w:r>
      <w:r>
        <w:tab/>
        <w:t>CHARAKTERYSTYKA KORZYSTANIA Z SIECI DYSTRYBUCYJNEJ</w:t>
      </w:r>
      <w:bookmarkEnd w:id="7"/>
    </w:p>
    <w:p w14:paraId="5E74C77D" w14:textId="77777777" w:rsidR="00572BA3" w:rsidRDefault="00572BA3" w:rsidP="0008709D">
      <w:pPr>
        <w:rPr>
          <w:rFonts w:eastAsia="Times New Roman"/>
        </w:rPr>
      </w:pPr>
    </w:p>
    <w:p w14:paraId="4115EC76" w14:textId="645BAC49" w:rsidR="00572BA3" w:rsidRPr="006B6809" w:rsidRDefault="00572BA3">
      <w:pPr>
        <w:numPr>
          <w:ilvl w:val="0"/>
          <w:numId w:val="49"/>
        </w:numPr>
        <w:ind w:left="1134" w:hanging="1134"/>
        <w:jc w:val="both"/>
        <w:rPr>
          <w:rFonts w:eastAsia="Times New Roman"/>
        </w:rPr>
      </w:pPr>
      <w:r w:rsidRPr="006B6809">
        <w:rPr>
          <w:rFonts w:eastAsia="Times New Roman"/>
        </w:rPr>
        <w:t>Korzystanie z sieci dystrybucyjnej umożliwia realizację dostaw energii elektrycznej w sposób ciągły i niezawodny, przy zachowaniu obowiązujących parametrów jakościowych energii elektrycznej i standardów jakościowych obsługi użytkowników systemu określonych w umowie o świadczenie usług dystrybucji lub w umowie kompleksowej.</w:t>
      </w:r>
    </w:p>
    <w:p w14:paraId="011D53D9" w14:textId="7F8DAC2B" w:rsidR="00572BA3" w:rsidRPr="006B6809" w:rsidRDefault="00734313">
      <w:pPr>
        <w:numPr>
          <w:ilvl w:val="0"/>
          <w:numId w:val="49"/>
        </w:numPr>
        <w:ind w:left="1134" w:hanging="1134"/>
        <w:jc w:val="both"/>
        <w:rPr>
          <w:rFonts w:eastAsia="Times New Roman"/>
        </w:rPr>
      </w:pPr>
      <w:r w:rsidRPr="006B6809">
        <w:rPr>
          <w:rFonts w:eastAsia="Times New Roman"/>
        </w:rPr>
        <w:t>OSDn</w:t>
      </w:r>
      <w:r w:rsidR="00572BA3" w:rsidRPr="006B6809">
        <w:rPr>
          <w:rFonts w:eastAsia="Times New Roman"/>
        </w:rPr>
        <w:t xml:space="preserve"> na zasadzie równoprawnego traktowania oraz na zasadach i w zakresie wynikającym z obowiązujących przepisów i IRiESD, świadczy usługi dystrybucji, zapewniając wszystkim użytkownikom systemu, zaspokojenie uzasadnionych potrzeb w zakresie dostarczania energii elektrycznej.</w:t>
      </w:r>
    </w:p>
    <w:p w14:paraId="5D264B4D" w14:textId="555887D1" w:rsidR="00572BA3" w:rsidRDefault="00572BA3">
      <w:pPr>
        <w:numPr>
          <w:ilvl w:val="0"/>
          <w:numId w:val="49"/>
        </w:numPr>
        <w:ind w:left="1134" w:hanging="1134"/>
        <w:jc w:val="both"/>
        <w:rPr>
          <w:rFonts w:eastAsia="Times New Roman"/>
        </w:rPr>
      </w:pPr>
      <w:r>
        <w:rPr>
          <w:rFonts w:eastAsia="Times New Roman"/>
        </w:rPr>
        <w:t>Świadczenie usługi dystrybucji odbywa się na podstawie umowy o świadczenie usług dystrybucji energii elektrycznej albo na podstawie umowy kompleksowej na zasadach i warunkach określonych w ustawie Prawo Energetyczne, aktach wykonawczych do tej ustawy, IRiESD zatwierdzonej przez</w:t>
      </w:r>
      <w:r w:rsidR="00113C7D">
        <w:rPr>
          <w:rFonts w:eastAsia="Times New Roman"/>
        </w:rPr>
        <w:t xml:space="preserve"> </w:t>
      </w:r>
      <w:r w:rsidR="00C95674">
        <w:rPr>
          <w:rFonts w:eastAsia="Times New Roman"/>
        </w:rPr>
        <w:t xml:space="preserve">Zarząd </w:t>
      </w:r>
      <w:r w:rsidR="00682DF5">
        <w:rPr>
          <w:rFonts w:eastAsia="Times New Roman"/>
        </w:rPr>
        <w:br/>
      </w:r>
      <w:r w:rsidR="00D57274">
        <w:rPr>
          <w:rFonts w:cs="Times New Roman"/>
          <w:i/>
          <w:iCs/>
          <w:szCs w:val="24"/>
        </w:rPr>
        <w:t>ERG S.A.</w:t>
      </w:r>
      <w:r w:rsidR="008D4B75">
        <w:rPr>
          <w:rFonts w:cs="Times New Roman"/>
          <w:i/>
          <w:iCs/>
          <w:szCs w:val="24"/>
        </w:rPr>
        <w:t xml:space="preserve"> </w:t>
      </w:r>
      <w:r>
        <w:rPr>
          <w:rFonts w:eastAsia="Times New Roman"/>
        </w:rPr>
        <w:t xml:space="preserve">oraz </w:t>
      </w:r>
      <w:r w:rsidR="00682DF5">
        <w:rPr>
          <w:rFonts w:eastAsia="Times New Roman"/>
        </w:rPr>
        <w:t>T</w:t>
      </w:r>
      <w:r>
        <w:rPr>
          <w:rFonts w:eastAsia="Times New Roman"/>
        </w:rPr>
        <w:t xml:space="preserve">aryfie </w:t>
      </w:r>
      <w:r w:rsidR="00682DF5">
        <w:rPr>
          <w:rFonts w:eastAsia="Times New Roman"/>
        </w:rPr>
        <w:t>dla energii elektrycznej w zakresie dystrybucji energii elektrycznej</w:t>
      </w:r>
      <w:r w:rsidR="007F2240">
        <w:rPr>
          <w:rFonts w:eastAsia="Times New Roman"/>
        </w:rPr>
        <w:t xml:space="preserve"> </w:t>
      </w:r>
      <w:r w:rsidR="00D57274">
        <w:rPr>
          <w:rFonts w:cs="Times New Roman"/>
          <w:i/>
          <w:iCs/>
          <w:szCs w:val="24"/>
        </w:rPr>
        <w:t>ERG S.A.</w:t>
      </w:r>
      <w:r w:rsidR="008D4B75">
        <w:rPr>
          <w:rFonts w:cs="Times New Roman"/>
          <w:i/>
          <w:iCs/>
          <w:szCs w:val="24"/>
        </w:rPr>
        <w:t xml:space="preserve"> </w:t>
      </w:r>
      <w:r>
        <w:rPr>
          <w:rFonts w:eastAsia="Times New Roman"/>
        </w:rPr>
        <w:t>zatwierdzonej przez Prezesa URE.</w:t>
      </w:r>
    </w:p>
    <w:p w14:paraId="2123ADE8" w14:textId="3356CFF3" w:rsidR="00440F8B" w:rsidRDefault="00440F8B" w:rsidP="0008709D">
      <w:pPr>
        <w:rPr>
          <w:rFonts w:eastAsia="Times New Roman"/>
        </w:rPr>
      </w:pPr>
    </w:p>
    <w:p w14:paraId="2474636A" w14:textId="77777777" w:rsidR="0055539F" w:rsidRDefault="0055539F" w:rsidP="0008709D">
      <w:pPr>
        <w:rPr>
          <w:rFonts w:eastAsia="Times New Roman"/>
        </w:rPr>
      </w:pPr>
    </w:p>
    <w:p w14:paraId="70D34F8E" w14:textId="77777777" w:rsidR="00440F8B" w:rsidRDefault="00440F8B">
      <w:pPr>
        <w:pStyle w:val="Nagwek2"/>
        <w:numPr>
          <w:ilvl w:val="0"/>
          <w:numId w:val="238"/>
        </w:numPr>
        <w:ind w:left="426" w:hanging="426"/>
        <w:jc w:val="both"/>
      </w:pPr>
      <w:bookmarkStart w:id="8" w:name="_Toc141963866"/>
      <w:r>
        <w:t>CHARAKTERYSTYKA, ZAKRES ORAZ WARUNKI FORMALNO-PRAWNE USŁUG DYSTRYBUCJI ŚWIADCZONYCH PRZEZ OSDn</w:t>
      </w:r>
      <w:bookmarkEnd w:id="8"/>
    </w:p>
    <w:p w14:paraId="759FF637" w14:textId="77777777" w:rsidR="0009559B" w:rsidRPr="0009559B" w:rsidRDefault="0009559B" w:rsidP="0008709D"/>
    <w:p w14:paraId="14B59119" w14:textId="77777777" w:rsidR="00440F8B" w:rsidRPr="00942C66" w:rsidRDefault="00621DEF">
      <w:pPr>
        <w:numPr>
          <w:ilvl w:val="0"/>
          <w:numId w:val="237"/>
        </w:numPr>
        <w:ind w:left="851" w:hanging="851"/>
        <w:jc w:val="both"/>
        <w:rPr>
          <w:rFonts w:eastAsia="Times New Roman"/>
          <w:szCs w:val="24"/>
        </w:rPr>
      </w:pPr>
      <w:r w:rsidRPr="00942C66">
        <w:rPr>
          <w:rFonts w:eastAsia="Times New Roman"/>
          <w:szCs w:val="24"/>
        </w:rPr>
        <w:t>Usługa dystrybucji energii elektrycznej obejmująca korzystanie z krajowego systemu elektroenergetycznego polega na utrzymaniu:</w:t>
      </w:r>
    </w:p>
    <w:p w14:paraId="148C1BF7" w14:textId="77777777" w:rsidR="00621DEF" w:rsidRPr="00942C66" w:rsidRDefault="00621DEF">
      <w:pPr>
        <w:numPr>
          <w:ilvl w:val="1"/>
          <w:numId w:val="235"/>
        </w:numPr>
        <w:ind w:left="1134" w:hanging="283"/>
        <w:jc w:val="both"/>
        <w:rPr>
          <w:rFonts w:eastAsia="Times New Roman"/>
          <w:szCs w:val="24"/>
        </w:rPr>
      </w:pPr>
      <w:r w:rsidRPr="00942C66">
        <w:rPr>
          <w:rFonts w:eastAsia="Times New Roman"/>
          <w:szCs w:val="24"/>
        </w:rPr>
        <w:t>ciągłości dostarczania i odbioru energii elektrycznej w krajowym systemie elektroenergetycznym oraz niezawodności jej dostarczania,</w:t>
      </w:r>
    </w:p>
    <w:p w14:paraId="5E1988D4" w14:textId="77777777" w:rsidR="004A237D" w:rsidRPr="00942C66" w:rsidRDefault="004A237D">
      <w:pPr>
        <w:numPr>
          <w:ilvl w:val="1"/>
          <w:numId w:val="235"/>
        </w:numPr>
        <w:ind w:left="1134" w:hanging="283"/>
        <w:jc w:val="both"/>
        <w:rPr>
          <w:rFonts w:eastAsia="Times New Roman"/>
          <w:szCs w:val="24"/>
        </w:rPr>
      </w:pPr>
      <w:r w:rsidRPr="00942C66">
        <w:rPr>
          <w:rFonts w:eastAsia="Times New Roman"/>
          <w:szCs w:val="24"/>
        </w:rPr>
        <w:t>parametrów jakościowych energii elektrycznej.</w:t>
      </w:r>
    </w:p>
    <w:p w14:paraId="14A30C67" w14:textId="77777777" w:rsidR="004A237D" w:rsidRPr="00942C66" w:rsidRDefault="004A237D">
      <w:pPr>
        <w:numPr>
          <w:ilvl w:val="0"/>
          <w:numId w:val="237"/>
        </w:numPr>
        <w:ind w:hanging="720"/>
        <w:jc w:val="both"/>
        <w:rPr>
          <w:rFonts w:eastAsia="Times New Roman"/>
          <w:szCs w:val="24"/>
        </w:rPr>
      </w:pPr>
      <w:r w:rsidRPr="00942C66">
        <w:rPr>
          <w:rFonts w:eastAsia="Times New Roman"/>
          <w:szCs w:val="24"/>
        </w:rPr>
        <w:t>OSDn świadcząc usługę dystrybucji energii elektrycznej:</w:t>
      </w:r>
    </w:p>
    <w:p w14:paraId="4E1F87A9" w14:textId="77777777" w:rsidR="004A237D" w:rsidRPr="00942C66" w:rsidRDefault="00270038">
      <w:pPr>
        <w:numPr>
          <w:ilvl w:val="0"/>
          <w:numId w:val="236"/>
        </w:numPr>
        <w:ind w:left="1134" w:hanging="283"/>
        <w:jc w:val="both"/>
        <w:rPr>
          <w:rFonts w:eastAsia="Times New Roman"/>
          <w:szCs w:val="24"/>
        </w:rPr>
      </w:pPr>
      <w:r w:rsidRPr="00942C66">
        <w:rPr>
          <w:rFonts w:eastAsia="Times New Roman"/>
          <w:szCs w:val="24"/>
        </w:rPr>
        <w:t>dostarcza energię elektryczną zgodnie z obowiązującymi parametrami jakościowymi i na warunkach określonych w umowie o świadczenie usług dystrybucji energii elektrycznej albo na podstawie umowy kompleksowej,</w:t>
      </w:r>
    </w:p>
    <w:p w14:paraId="2AA439BC" w14:textId="0F93EB31" w:rsidR="00270038" w:rsidRPr="007371DF" w:rsidRDefault="00270038">
      <w:pPr>
        <w:numPr>
          <w:ilvl w:val="0"/>
          <w:numId w:val="236"/>
        </w:numPr>
        <w:ind w:left="1134" w:hanging="283"/>
        <w:jc w:val="both"/>
        <w:rPr>
          <w:rFonts w:eastAsia="Times New Roman"/>
          <w:szCs w:val="24"/>
        </w:rPr>
      </w:pPr>
      <w:r w:rsidRPr="00942C66">
        <w:rPr>
          <w:rFonts w:eastAsia="Times New Roman"/>
          <w:szCs w:val="24"/>
        </w:rPr>
        <w:t xml:space="preserve">instaluje na własny koszt, układ pomiarowo-rozliczeniowy w miejscu przygotowanym przez odbiorcę oraz system pomiarowo-rozliczeniowy, </w:t>
      </w:r>
      <w:r w:rsidR="0053674F" w:rsidRPr="00942C66">
        <w:rPr>
          <w:rFonts w:eastAsia="Times New Roman"/>
          <w:szCs w:val="24"/>
        </w:rPr>
        <w:br/>
      </w:r>
      <w:r w:rsidRPr="00942C66">
        <w:rPr>
          <w:rFonts w:eastAsia="Times New Roman"/>
          <w:szCs w:val="24"/>
        </w:rPr>
        <w:t>w przypadku podmiotów zaliczonych do grup</w:t>
      </w:r>
      <w:r w:rsidRPr="007371DF">
        <w:rPr>
          <w:rFonts w:eastAsia="Times New Roman"/>
          <w:szCs w:val="24"/>
        </w:rPr>
        <w:t xml:space="preserve"> przyłączeniowych IV-VI, zasilanych </w:t>
      </w:r>
      <w:r w:rsidR="004B7CE4">
        <w:rPr>
          <w:rFonts w:eastAsia="Times New Roman"/>
          <w:szCs w:val="24"/>
        </w:rPr>
        <w:br/>
      </w:r>
      <w:r w:rsidRPr="007371DF">
        <w:rPr>
          <w:rFonts w:eastAsia="Times New Roman"/>
          <w:szCs w:val="24"/>
        </w:rPr>
        <w:t>z sieci o napięciu znamionowym nie wyższym niż 1 kV,z wyłączeniem wytwórców innych niż wytwarzający energię w mikroin</w:t>
      </w:r>
      <w:r w:rsidR="00D60F9F">
        <w:rPr>
          <w:rFonts w:eastAsia="Times New Roman"/>
          <w:szCs w:val="24"/>
        </w:rPr>
        <w:t>s</w:t>
      </w:r>
      <w:r w:rsidRPr="007371DF">
        <w:rPr>
          <w:rFonts w:eastAsia="Times New Roman"/>
          <w:szCs w:val="24"/>
        </w:rPr>
        <w:t>talacji</w:t>
      </w:r>
      <w:r w:rsidR="004175B8" w:rsidRPr="007371DF">
        <w:rPr>
          <w:rFonts w:eastAsia="Times New Roman"/>
          <w:szCs w:val="24"/>
        </w:rPr>
        <w:t>,</w:t>
      </w:r>
    </w:p>
    <w:p w14:paraId="7947A4E1" w14:textId="77777777" w:rsidR="004175B8" w:rsidRPr="009072A0" w:rsidRDefault="004175B8">
      <w:pPr>
        <w:numPr>
          <w:ilvl w:val="0"/>
          <w:numId w:val="236"/>
        </w:numPr>
        <w:ind w:left="1134" w:hanging="283"/>
        <w:jc w:val="both"/>
        <w:rPr>
          <w:rFonts w:eastAsia="Times New Roman"/>
          <w:color w:val="000000"/>
          <w:szCs w:val="24"/>
        </w:rPr>
      </w:pPr>
      <w:r w:rsidRPr="007371DF">
        <w:rPr>
          <w:rFonts w:cs="Times New Roman"/>
          <w:color w:val="000000"/>
          <w:szCs w:val="24"/>
        </w:rPr>
        <w:t xml:space="preserve">powiadamia odbiorców o terminach i czasie planowanych przerw w dostarczaniu </w:t>
      </w:r>
      <w:r w:rsidRPr="009072A0">
        <w:rPr>
          <w:rFonts w:cs="Times New Roman"/>
          <w:color w:val="000000"/>
          <w:szCs w:val="24"/>
        </w:rPr>
        <w:t>energii elektrycznej w wymaganej przepisami prawa formie,</w:t>
      </w:r>
    </w:p>
    <w:p w14:paraId="4C8D45CC" w14:textId="77777777" w:rsidR="004175B8" w:rsidRPr="007371DF" w:rsidRDefault="004175B8">
      <w:pPr>
        <w:numPr>
          <w:ilvl w:val="0"/>
          <w:numId w:val="236"/>
        </w:numPr>
        <w:ind w:left="1134" w:hanging="283"/>
        <w:jc w:val="both"/>
        <w:rPr>
          <w:rFonts w:eastAsia="Times New Roman"/>
          <w:szCs w:val="24"/>
        </w:rPr>
      </w:pPr>
      <w:r w:rsidRPr="007371DF">
        <w:rPr>
          <w:rFonts w:cs="Times New Roman"/>
          <w:color w:val="000000"/>
          <w:szCs w:val="24"/>
        </w:rPr>
        <w:t>niezwłocznie przystępuje do likwidacji awarii i usuwania zakłóceń w dostarczaniu energii elektrycznej,</w:t>
      </w:r>
    </w:p>
    <w:p w14:paraId="62BB78E7" w14:textId="14CB9F5D" w:rsidR="004175B8" w:rsidRPr="007371DF" w:rsidRDefault="004175B8">
      <w:pPr>
        <w:numPr>
          <w:ilvl w:val="0"/>
          <w:numId w:val="236"/>
        </w:numPr>
        <w:ind w:left="1134" w:hanging="283"/>
        <w:jc w:val="both"/>
        <w:rPr>
          <w:rFonts w:eastAsia="Times New Roman"/>
          <w:szCs w:val="24"/>
        </w:rPr>
      </w:pPr>
      <w:r w:rsidRPr="007371DF">
        <w:rPr>
          <w:rFonts w:cs="Times New Roman"/>
          <w:color w:val="000000"/>
          <w:szCs w:val="24"/>
        </w:rPr>
        <w:t xml:space="preserve">przekazuje dane pomiarowe odbiorcy, </w:t>
      </w:r>
      <w:r w:rsidR="00267EF4">
        <w:rPr>
          <w:rFonts w:cs="Times New Roman"/>
          <w:color w:val="000000"/>
          <w:szCs w:val="24"/>
        </w:rPr>
        <w:t xml:space="preserve">wytwórcy, posiadaczowi magazynu energii elektrycznej, </w:t>
      </w:r>
      <w:r w:rsidRPr="007371DF">
        <w:rPr>
          <w:rFonts w:cs="Times New Roman"/>
          <w:color w:val="000000"/>
          <w:szCs w:val="24"/>
        </w:rPr>
        <w:t>sprzedawcy oraz podmiotowi odpowiedzialnemu za bilansowanie handlowe,</w:t>
      </w:r>
      <w:r w:rsidR="0088685D">
        <w:rPr>
          <w:rFonts w:cs="Times New Roman"/>
          <w:color w:val="000000"/>
          <w:szCs w:val="24"/>
        </w:rPr>
        <w:t xml:space="preserve"> a także innym podmiotom upoważnionym przez odbiorcę. </w:t>
      </w:r>
    </w:p>
    <w:p w14:paraId="4D1A0EEF" w14:textId="77777777" w:rsidR="004175B8" w:rsidRPr="00D362AB" w:rsidRDefault="002E4AA0">
      <w:pPr>
        <w:numPr>
          <w:ilvl w:val="0"/>
          <w:numId w:val="236"/>
        </w:numPr>
        <w:ind w:left="1134" w:hanging="283"/>
        <w:jc w:val="both"/>
        <w:rPr>
          <w:rFonts w:eastAsia="Times New Roman"/>
          <w:szCs w:val="24"/>
        </w:rPr>
      </w:pPr>
      <w:r w:rsidRPr="007371DF">
        <w:rPr>
          <w:rFonts w:eastAsia="Times New Roman"/>
          <w:szCs w:val="24"/>
        </w:rPr>
        <w:lastRenderedPageBreak/>
        <w:t xml:space="preserve">umożliwia wgląd do wskazań układu pomiarowo-rozliczeniowego oraz dokumentów stanowiących podstawę do rozliczeń za dostarczoną energię elektryczną, a także do </w:t>
      </w:r>
      <w:r w:rsidRPr="00D362AB">
        <w:rPr>
          <w:rFonts w:eastAsia="Times New Roman"/>
          <w:szCs w:val="24"/>
        </w:rPr>
        <w:t>wyników kontroli prawidłowości wskazań tych układów,</w:t>
      </w:r>
    </w:p>
    <w:p w14:paraId="1B4DE37D" w14:textId="161D0343" w:rsidR="00C725DA" w:rsidRPr="00D362AB" w:rsidRDefault="00C725DA">
      <w:pPr>
        <w:numPr>
          <w:ilvl w:val="0"/>
          <w:numId w:val="236"/>
        </w:numPr>
        <w:ind w:left="1134" w:hanging="283"/>
        <w:jc w:val="both"/>
        <w:rPr>
          <w:rFonts w:eastAsia="Times New Roman"/>
          <w:color w:val="000000"/>
          <w:szCs w:val="24"/>
        </w:rPr>
      </w:pPr>
      <w:r w:rsidRPr="00D362AB">
        <w:rPr>
          <w:color w:val="000000"/>
        </w:rPr>
        <w:t>opracowuje, aktualizuje i udostępnia odbiorcom oraz ich sprzedawcom ich standardowe profile zużycia,</w:t>
      </w:r>
    </w:p>
    <w:p w14:paraId="6BA49965" w14:textId="2DAB2F9A" w:rsidR="002E4AA0" w:rsidRPr="00D362AB" w:rsidRDefault="002E4AA0">
      <w:pPr>
        <w:numPr>
          <w:ilvl w:val="0"/>
          <w:numId w:val="236"/>
        </w:numPr>
        <w:ind w:left="1134" w:hanging="283"/>
        <w:jc w:val="both"/>
        <w:rPr>
          <w:rFonts w:eastAsia="Times New Roman"/>
          <w:color w:val="000000"/>
          <w:szCs w:val="24"/>
        </w:rPr>
      </w:pPr>
      <w:r w:rsidRPr="00D362AB">
        <w:rPr>
          <w:rFonts w:eastAsia="Times New Roman"/>
          <w:color w:val="000000"/>
          <w:szCs w:val="24"/>
        </w:rPr>
        <w:t>wdraża procedury zmiany sprzedawcy oraz je uwzględnia w IRiESD.</w:t>
      </w:r>
    </w:p>
    <w:p w14:paraId="249DA850" w14:textId="77777777" w:rsidR="00BD36F8" w:rsidRPr="00D362AB" w:rsidRDefault="007371DF">
      <w:pPr>
        <w:numPr>
          <w:ilvl w:val="0"/>
          <w:numId w:val="237"/>
        </w:numPr>
        <w:ind w:hanging="720"/>
        <w:jc w:val="both"/>
        <w:rPr>
          <w:color w:val="000000"/>
          <w:sz w:val="23"/>
          <w:szCs w:val="23"/>
        </w:rPr>
      </w:pPr>
      <w:bookmarkStart w:id="9" w:name="page15"/>
      <w:bookmarkEnd w:id="9"/>
      <w:r w:rsidRPr="00D362AB">
        <w:rPr>
          <w:color w:val="000000"/>
        </w:rPr>
        <w:t xml:space="preserve">Przyłączanie podmiotu do sieci następuje na podstawie umowy o przyłączanie do sieci </w:t>
      </w:r>
      <w:r w:rsidRPr="00D362AB">
        <w:rPr>
          <w:color w:val="000000"/>
        </w:rPr>
        <w:br/>
        <w:t xml:space="preserve">i </w:t>
      </w:r>
      <w:r w:rsidRPr="00D362AB">
        <w:rPr>
          <w:rFonts w:eastAsia="Times New Roman"/>
          <w:color w:val="000000"/>
        </w:rPr>
        <w:t xml:space="preserve">po spełnieniu warunków przyłączenia do sieci. </w:t>
      </w:r>
      <w:r w:rsidRPr="00D362AB">
        <w:rPr>
          <w:color w:val="000000"/>
          <w:sz w:val="23"/>
          <w:szCs w:val="23"/>
        </w:rPr>
        <w:t>Przyłączenie mikroinstalacji do sieci może nastąpić na podstawie zgłoszenia albo na podstawie umowy o przyłączenie i po spełnieniu warunków przyłączenia do sieci, zgodnie z Ustawą OZE.</w:t>
      </w:r>
    </w:p>
    <w:p w14:paraId="4F4EB8D6" w14:textId="77777777" w:rsidR="00572BA3" w:rsidRPr="00D362AB" w:rsidRDefault="00BD36F8">
      <w:pPr>
        <w:numPr>
          <w:ilvl w:val="0"/>
          <w:numId w:val="237"/>
        </w:numPr>
        <w:ind w:hanging="720"/>
        <w:jc w:val="both"/>
        <w:rPr>
          <w:rFonts w:eastAsia="Times New Roman"/>
          <w:i/>
          <w:iCs/>
          <w:color w:val="000000"/>
          <w:w w:val="98"/>
        </w:rPr>
      </w:pPr>
      <w:r w:rsidRPr="00D362AB">
        <w:rPr>
          <w:color w:val="000000"/>
        </w:rPr>
        <w:t xml:space="preserve">OSDn ustala </w:t>
      </w:r>
      <w:r w:rsidRPr="00142DC0">
        <w:rPr>
          <w:rFonts w:eastAsia="Times New Roman"/>
          <w:color w:val="000000"/>
          <w:w w:val="98"/>
        </w:rPr>
        <w:t>w</w:t>
      </w:r>
      <w:r w:rsidRPr="00142DC0">
        <w:rPr>
          <w:rFonts w:eastAsia="Times New Roman" w:cs="Times New Roman"/>
          <w:color w:val="000000"/>
          <w:w w:val="98"/>
        </w:rPr>
        <w:t>z</w:t>
      </w:r>
      <w:r w:rsidRPr="00142DC0">
        <w:rPr>
          <w:rFonts w:eastAsia="Times New Roman"/>
          <w:color w:val="000000"/>
          <w:w w:val="98"/>
        </w:rPr>
        <w:t>ór wniosku o określenie warunków przyłączenia oraz wzór zgłoszenia przyłączenia mikroinstalacji.</w:t>
      </w:r>
    </w:p>
    <w:p w14:paraId="1A15D74A" w14:textId="416C031B" w:rsidR="00416420" w:rsidRPr="00FA49B5" w:rsidRDefault="00BD36F8">
      <w:pPr>
        <w:numPr>
          <w:ilvl w:val="0"/>
          <w:numId w:val="237"/>
        </w:numPr>
        <w:ind w:hanging="720"/>
        <w:jc w:val="both"/>
        <w:rPr>
          <w:rFonts w:eastAsia="Times New Roman"/>
          <w:color w:val="000000"/>
          <w:w w:val="98"/>
        </w:rPr>
      </w:pPr>
      <w:r w:rsidRPr="00FA49B5">
        <w:rPr>
          <w:rFonts w:eastAsia="Times New Roman"/>
          <w:color w:val="000000"/>
        </w:rPr>
        <w:t>Wymagania techniczne w zakresie przyłączania do sieci urządzeń wytwórczych</w:t>
      </w:r>
      <w:r w:rsidR="00FA2AA1">
        <w:rPr>
          <w:rFonts w:eastAsia="Times New Roman"/>
          <w:color w:val="000000"/>
        </w:rPr>
        <w:t xml:space="preserve">, magazynów energii elektrycznej, </w:t>
      </w:r>
      <w:r w:rsidRPr="00FA49B5">
        <w:rPr>
          <w:rFonts w:eastAsia="Times New Roman"/>
          <w:color w:val="000000"/>
          <w:w w:val="99"/>
        </w:rPr>
        <w:t xml:space="preserve">sieci innych operatorów elektroenergetycznych oraz urządzeń odbiorców określone </w:t>
      </w:r>
      <w:r w:rsidRPr="00FA49B5">
        <w:rPr>
          <w:rFonts w:eastAsia="Times New Roman"/>
          <w:color w:val="000000"/>
        </w:rPr>
        <w:t>są w dalszej części instrukcji.</w:t>
      </w:r>
    </w:p>
    <w:p w14:paraId="52F0FACA" w14:textId="5D35945E" w:rsidR="00416420" w:rsidRPr="00FA49B5" w:rsidRDefault="00416420">
      <w:pPr>
        <w:numPr>
          <w:ilvl w:val="0"/>
          <w:numId w:val="237"/>
        </w:numPr>
        <w:ind w:hanging="720"/>
        <w:jc w:val="both"/>
        <w:rPr>
          <w:rFonts w:eastAsia="Times New Roman"/>
          <w:color w:val="000000"/>
        </w:rPr>
      </w:pPr>
      <w:r w:rsidRPr="00FA49B5">
        <w:rPr>
          <w:rFonts w:eastAsia="Times New Roman"/>
          <w:color w:val="000000"/>
        </w:rPr>
        <w:t>Pkt. I.3.4. stosuje się odpowiednio w przypadku zwiększenia, przez podmiot przyłączony do sieci, zapotrzebowania na moc przyłączeniową lub zmiany dotychczasowych warunków i parametrów technicznych pracy urządzeń, instalacji</w:t>
      </w:r>
      <w:r w:rsidR="00293826">
        <w:rPr>
          <w:rFonts w:eastAsia="Times New Roman"/>
          <w:color w:val="000000"/>
        </w:rPr>
        <w:t xml:space="preserve"> </w:t>
      </w:r>
      <w:r w:rsidRPr="00FA49B5">
        <w:rPr>
          <w:rFonts w:eastAsia="Times New Roman"/>
          <w:color w:val="000000"/>
        </w:rPr>
        <w:t>i sieci przyłączonego podmiotu oraz ponownego przyłączenia odłączonego podmiotu.</w:t>
      </w:r>
    </w:p>
    <w:p w14:paraId="01D1E71C" w14:textId="77777777" w:rsidR="001C7E35" w:rsidRPr="00FA49B5" w:rsidRDefault="00DC015D">
      <w:pPr>
        <w:numPr>
          <w:ilvl w:val="0"/>
          <w:numId w:val="237"/>
        </w:numPr>
        <w:ind w:hanging="720"/>
        <w:jc w:val="both"/>
        <w:rPr>
          <w:rFonts w:eastAsia="Times New Roman"/>
          <w:color w:val="000000"/>
        </w:rPr>
      </w:pPr>
      <w:r w:rsidRPr="00FA49B5">
        <w:rPr>
          <w:rFonts w:eastAsia="Times New Roman"/>
          <w:color w:val="000000"/>
        </w:rPr>
        <w:t xml:space="preserve">Warunki przyłączenia są przekazywane wnioskodawcy wraz z projektem umowy </w:t>
      </w:r>
      <w:r w:rsidRPr="00FA49B5">
        <w:rPr>
          <w:rFonts w:eastAsia="Times New Roman"/>
          <w:color w:val="000000"/>
        </w:rPr>
        <w:br/>
        <w:t>o przyłączenie do sieci.</w:t>
      </w:r>
    </w:p>
    <w:p w14:paraId="6C9BDAD6" w14:textId="297F5A97" w:rsidR="0053674F" w:rsidRDefault="0053674F">
      <w:pPr>
        <w:numPr>
          <w:ilvl w:val="0"/>
          <w:numId w:val="237"/>
        </w:numPr>
        <w:ind w:hanging="720"/>
        <w:jc w:val="both"/>
        <w:rPr>
          <w:rFonts w:eastAsia="Times New Roman"/>
          <w:color w:val="000000"/>
        </w:rPr>
      </w:pPr>
      <w:r w:rsidRPr="00FA49B5">
        <w:rPr>
          <w:rFonts w:eastAsia="Times New Roman"/>
          <w:color w:val="000000"/>
        </w:rPr>
        <w:t xml:space="preserve">Warunki przyłączenia są ważne dwa lata od dnia ich doręczenia. W okresie ważności warunki przyłączenia stanowią warunkowe zobowiązanie OSDn do zawarcia umowy </w:t>
      </w:r>
      <w:r w:rsidRPr="00FA49B5">
        <w:rPr>
          <w:rFonts w:eastAsia="Times New Roman"/>
          <w:color w:val="000000"/>
        </w:rPr>
        <w:br/>
        <w:t>o przyłączenie do sieci elektroenergetycznej.</w:t>
      </w:r>
    </w:p>
    <w:p w14:paraId="15C3237B" w14:textId="09DFA16B" w:rsidR="0067292F" w:rsidRPr="00FA49B5" w:rsidRDefault="0067292F">
      <w:pPr>
        <w:numPr>
          <w:ilvl w:val="0"/>
          <w:numId w:val="237"/>
        </w:numPr>
        <w:ind w:hanging="720"/>
        <w:jc w:val="both"/>
        <w:rPr>
          <w:rFonts w:eastAsia="Times New Roman"/>
          <w:color w:val="000000"/>
        </w:rPr>
      </w:pPr>
      <w:r>
        <w:rPr>
          <w:rFonts w:eastAsia="Times New Roman"/>
          <w:color w:val="000000"/>
        </w:rPr>
        <w:t>Zapisy pkt. I.3.1. oraz I.3.2. dotyczące odbiorców stosuje się do posiadaczy magazynów energii elektrycznej.</w:t>
      </w:r>
    </w:p>
    <w:p w14:paraId="32273064" w14:textId="77777777" w:rsidR="0009559B" w:rsidRPr="00FA49B5" w:rsidRDefault="0009559B" w:rsidP="00A608F6">
      <w:pPr>
        <w:jc w:val="both"/>
        <w:rPr>
          <w:rFonts w:eastAsia="Times New Roman"/>
          <w:color w:val="000000"/>
        </w:rPr>
      </w:pPr>
    </w:p>
    <w:p w14:paraId="2478456B" w14:textId="77777777" w:rsidR="0009559B" w:rsidRDefault="0009559B" w:rsidP="00A608F6">
      <w:pPr>
        <w:pStyle w:val="Nagwek2"/>
        <w:ind w:left="709" w:hanging="709"/>
        <w:jc w:val="both"/>
      </w:pPr>
      <w:bookmarkStart w:id="10" w:name="_Toc141963867"/>
      <w:r>
        <w:t>I.4. OGÓLNE STANDARDY JAKOŚCIOWE OBSŁUGI UŻYTKOWNIKÓW SYSTEMU DYSTRYBUCYJNEGO</w:t>
      </w:r>
      <w:bookmarkEnd w:id="10"/>
    </w:p>
    <w:p w14:paraId="350BF296" w14:textId="77777777" w:rsidR="0009559B" w:rsidRPr="00FA49B5" w:rsidRDefault="0009559B" w:rsidP="00A608F6">
      <w:pPr>
        <w:jc w:val="both"/>
        <w:rPr>
          <w:rFonts w:eastAsia="Times New Roman"/>
          <w:color w:val="000000"/>
        </w:rPr>
      </w:pPr>
    </w:p>
    <w:p w14:paraId="266640BB" w14:textId="77777777" w:rsidR="0009559B" w:rsidRPr="002C6075" w:rsidRDefault="003F1EB9">
      <w:pPr>
        <w:numPr>
          <w:ilvl w:val="0"/>
          <w:numId w:val="50"/>
        </w:numPr>
        <w:ind w:left="709" w:right="46" w:hanging="709"/>
        <w:jc w:val="both"/>
        <w:rPr>
          <w:rFonts w:eastAsia="Times New Roman"/>
          <w:color w:val="000000" w:themeColor="text1"/>
          <w:szCs w:val="24"/>
        </w:rPr>
      </w:pPr>
      <w:r w:rsidRPr="00D80DE5">
        <w:rPr>
          <w:rFonts w:cs="Times New Roman"/>
          <w:color w:val="000000"/>
          <w:szCs w:val="24"/>
        </w:rPr>
        <w:t xml:space="preserve">OSDn świadczy usługi dystrybucji na zasadzie równoprawnego traktowania wszystkich użytkowników systemu, z uwzględnieniem wynikającego z norm prawnych obowiązku zapewnienia pierwszeństwa w świadczeniu usług dystrybucji energii elektrycznej </w:t>
      </w:r>
      <w:r w:rsidRPr="002C6075">
        <w:rPr>
          <w:rFonts w:cs="Times New Roman"/>
          <w:color w:val="000000" w:themeColor="text1"/>
          <w:szCs w:val="24"/>
        </w:rPr>
        <w:t>wytworzonej w instalacji OZE oraz w wysokosprawnej kogeneracji, z zachowaniem niezawodności i bezpieczeństwa KSE.</w:t>
      </w:r>
    </w:p>
    <w:p w14:paraId="14831155" w14:textId="71074B2D" w:rsidR="002C6075" w:rsidRPr="002C6075" w:rsidRDefault="002C6075">
      <w:pPr>
        <w:numPr>
          <w:ilvl w:val="0"/>
          <w:numId w:val="50"/>
        </w:numPr>
        <w:ind w:left="709" w:right="46" w:hanging="709"/>
        <w:jc w:val="both"/>
        <w:rPr>
          <w:rFonts w:eastAsia="Times New Roman"/>
          <w:color w:val="000000" w:themeColor="text1"/>
          <w:szCs w:val="24"/>
        </w:rPr>
      </w:pPr>
      <w:r w:rsidRPr="002C6075">
        <w:rPr>
          <w:color w:val="000000" w:themeColor="text1"/>
          <w:szCs w:val="24"/>
        </w:rPr>
        <w:t xml:space="preserve">W celu realizacji powyższego obowiązku </w:t>
      </w:r>
      <w:r w:rsidR="00616FCA">
        <w:rPr>
          <w:color w:val="000000" w:themeColor="text1"/>
          <w:szCs w:val="24"/>
        </w:rPr>
        <w:t>OSDn</w:t>
      </w:r>
      <w:r w:rsidRPr="002C6075">
        <w:rPr>
          <w:color w:val="000000" w:themeColor="text1"/>
          <w:szCs w:val="24"/>
        </w:rPr>
        <w:t xml:space="preserve"> opracowuje i udostępnia wzory wniosków i standardy umów o świadczenie usług dystrybucji energii</w:t>
      </w:r>
      <w:r w:rsidRPr="002C6075">
        <w:rPr>
          <w:color w:val="000000" w:themeColor="text1"/>
          <w:spacing w:val="14"/>
          <w:szCs w:val="24"/>
        </w:rPr>
        <w:t xml:space="preserve"> </w:t>
      </w:r>
      <w:r w:rsidRPr="002C6075">
        <w:rPr>
          <w:color w:val="000000" w:themeColor="text1"/>
          <w:szCs w:val="24"/>
        </w:rPr>
        <w:t>elektrycznej</w:t>
      </w:r>
    </w:p>
    <w:p w14:paraId="6B587B1C" w14:textId="5CB12FC9" w:rsidR="0009559B" w:rsidRDefault="00572BA3">
      <w:pPr>
        <w:numPr>
          <w:ilvl w:val="0"/>
          <w:numId w:val="50"/>
        </w:numPr>
        <w:ind w:left="709" w:right="46" w:hanging="709"/>
        <w:jc w:val="both"/>
        <w:rPr>
          <w:rFonts w:eastAsia="Times New Roman"/>
        </w:rPr>
      </w:pPr>
      <w:r w:rsidRPr="002C6075">
        <w:rPr>
          <w:rFonts w:eastAsia="Times New Roman"/>
          <w:color w:val="000000" w:themeColor="text1"/>
          <w:szCs w:val="24"/>
        </w:rPr>
        <w:tab/>
      </w:r>
      <w:r w:rsidR="0009559B" w:rsidRPr="002C6075">
        <w:rPr>
          <w:rFonts w:eastAsia="Times New Roman"/>
          <w:color w:val="000000" w:themeColor="text1"/>
          <w:szCs w:val="24"/>
        </w:rPr>
        <w:t>OSDn opracowuje i zapewnia realizację programu określającego przedsięwzięcia jakie należy podjąć w celu zapewnienia niedyskryminacyjnego traktowania użytkowników systemu, w tym szczegółowe obowiązki pracowników wynikające</w:t>
      </w:r>
      <w:r w:rsidR="0009559B" w:rsidRPr="002C6075">
        <w:rPr>
          <w:rFonts w:eastAsia="Times New Roman"/>
          <w:color w:val="000000" w:themeColor="text1"/>
        </w:rPr>
        <w:t xml:space="preserve"> </w:t>
      </w:r>
      <w:r w:rsidR="0009559B">
        <w:rPr>
          <w:rFonts w:eastAsia="Times New Roman"/>
        </w:rPr>
        <w:t>z tego programu, zwanego programem zgodności.</w:t>
      </w:r>
    </w:p>
    <w:p w14:paraId="3C77E1C0" w14:textId="77777777" w:rsidR="00572BA3" w:rsidRPr="002B50D3" w:rsidRDefault="002C043A">
      <w:pPr>
        <w:numPr>
          <w:ilvl w:val="0"/>
          <w:numId w:val="50"/>
        </w:numPr>
        <w:ind w:left="709" w:right="46" w:hanging="709"/>
        <w:jc w:val="both"/>
        <w:rPr>
          <w:rFonts w:eastAsia="Times New Roman"/>
        </w:rPr>
      </w:pPr>
      <w:r w:rsidRPr="002B50D3">
        <w:rPr>
          <w:rFonts w:eastAsia="Times New Roman"/>
        </w:rPr>
        <w:t>OSDn</w:t>
      </w:r>
      <w:r w:rsidR="00572BA3" w:rsidRPr="002B50D3">
        <w:rPr>
          <w:rFonts w:eastAsia="Times New Roman"/>
        </w:rPr>
        <w:t xml:space="preserve"> stosuje standardy jakościowe obsługi użytkowników systemu określone </w:t>
      </w:r>
      <w:r w:rsidR="002C4CAD" w:rsidRPr="002B50D3">
        <w:rPr>
          <w:rFonts w:eastAsia="Times New Roman"/>
        </w:rPr>
        <w:br/>
      </w:r>
      <w:r w:rsidR="00572BA3" w:rsidRPr="002B50D3">
        <w:rPr>
          <w:rFonts w:eastAsia="Times New Roman"/>
        </w:rPr>
        <w:t xml:space="preserve">w obowiązujących przepisach. W szczególności </w:t>
      </w:r>
      <w:r w:rsidRPr="002B50D3">
        <w:rPr>
          <w:rFonts w:eastAsia="Times New Roman"/>
        </w:rPr>
        <w:t>OSDn</w:t>
      </w:r>
      <w:r w:rsidR="00572BA3" w:rsidRPr="002B50D3">
        <w:rPr>
          <w:rFonts w:eastAsia="Times New Roman"/>
        </w:rPr>
        <w:t xml:space="preserve"> stosuje następujące standardy jakościowe obsługi odbiorców:</w:t>
      </w:r>
    </w:p>
    <w:p w14:paraId="5E1C50E6" w14:textId="77777777" w:rsidR="00572BA3" w:rsidRDefault="00572BA3" w:rsidP="00A608F6">
      <w:pPr>
        <w:numPr>
          <w:ilvl w:val="0"/>
          <w:numId w:val="8"/>
        </w:numPr>
        <w:ind w:left="993" w:right="46" w:hanging="284"/>
        <w:jc w:val="both"/>
        <w:rPr>
          <w:rFonts w:eastAsia="Times New Roman"/>
        </w:rPr>
      </w:pPr>
      <w:r>
        <w:rPr>
          <w:rFonts w:eastAsia="Times New Roman"/>
        </w:rPr>
        <w:t>przyjmuje od odbiorców przez całą dobę zgłoszenia i reklamacje dotyczące dostarczania energii elektrycznej z sieci dystrybucyjnej,</w:t>
      </w:r>
    </w:p>
    <w:p w14:paraId="7F5872B3" w14:textId="77777777" w:rsidR="00572BA3" w:rsidRDefault="00572BA3" w:rsidP="00A608F6">
      <w:pPr>
        <w:numPr>
          <w:ilvl w:val="0"/>
          <w:numId w:val="8"/>
        </w:numPr>
        <w:ind w:left="993" w:right="46" w:hanging="284"/>
        <w:jc w:val="both"/>
        <w:rPr>
          <w:rFonts w:eastAsia="Times New Roman"/>
        </w:rPr>
      </w:pPr>
      <w:r>
        <w:rPr>
          <w:rFonts w:eastAsia="Times New Roman"/>
        </w:rPr>
        <w:t>bezzwłocznie przystępuje do usuwania zakłóceń w dostarczaniu energii elektrycznej spowodowanych nieprawidłową pracą sieci dystrybucyjnej,</w:t>
      </w:r>
    </w:p>
    <w:p w14:paraId="7F35337C" w14:textId="174EC1FB" w:rsidR="00572BA3" w:rsidRDefault="00572BA3" w:rsidP="00A608F6">
      <w:pPr>
        <w:numPr>
          <w:ilvl w:val="0"/>
          <w:numId w:val="8"/>
        </w:numPr>
        <w:ind w:left="993" w:right="46" w:hanging="284"/>
        <w:jc w:val="both"/>
        <w:rPr>
          <w:rFonts w:eastAsia="Times New Roman"/>
        </w:rPr>
      </w:pPr>
      <w:r>
        <w:rPr>
          <w:rFonts w:eastAsia="Times New Roman"/>
        </w:rPr>
        <w:lastRenderedPageBreak/>
        <w:t>udziela odbiorcom, na ich żądanie, informacji o przewidywanym terminie wznowienia dostarczania energii elektrycznej przerwanego z powodu awarii w sieci dystrybucyjnej,</w:t>
      </w:r>
    </w:p>
    <w:p w14:paraId="370522FE" w14:textId="77777777" w:rsidR="00572BA3" w:rsidRDefault="00572BA3" w:rsidP="00A608F6">
      <w:pPr>
        <w:numPr>
          <w:ilvl w:val="0"/>
          <w:numId w:val="8"/>
        </w:numPr>
        <w:ind w:left="993" w:right="46" w:hanging="284"/>
        <w:jc w:val="both"/>
        <w:rPr>
          <w:rFonts w:eastAsia="Times New Roman"/>
          <w:sz w:val="23"/>
        </w:rPr>
      </w:pPr>
      <w:r>
        <w:rPr>
          <w:rFonts w:eastAsia="Times New Roman"/>
          <w:sz w:val="23"/>
        </w:rPr>
        <w:t xml:space="preserve">powiadamia z wyprzedzeniem określonym </w:t>
      </w:r>
      <w:r w:rsidRPr="0067549F">
        <w:rPr>
          <w:rFonts w:eastAsia="Times New Roman"/>
          <w:sz w:val="23"/>
        </w:rPr>
        <w:t>w pkt. VIII.4.1.,</w:t>
      </w:r>
      <w:r>
        <w:rPr>
          <w:rFonts w:eastAsia="Times New Roman"/>
          <w:sz w:val="23"/>
        </w:rPr>
        <w:t xml:space="preserve"> o terminach, czasie planowanych przerw w dostarczaniu energii elektrycznej oraz zmianach warunków funkcjonowania sieci odbiorców zasilanych z sieci dystrybucyjnej</w:t>
      </w:r>
      <w:r w:rsidR="002C4CAD">
        <w:rPr>
          <w:rFonts w:eastAsia="Times New Roman"/>
          <w:sz w:val="23"/>
        </w:rPr>
        <w:t xml:space="preserve"> OSDn,</w:t>
      </w:r>
    </w:p>
    <w:p w14:paraId="5B1C495B" w14:textId="77777777" w:rsidR="00572BA3" w:rsidRDefault="00572BA3" w:rsidP="00A608F6">
      <w:pPr>
        <w:numPr>
          <w:ilvl w:val="0"/>
          <w:numId w:val="8"/>
        </w:numPr>
        <w:ind w:left="993" w:right="46" w:hanging="284"/>
        <w:jc w:val="both"/>
        <w:rPr>
          <w:rFonts w:eastAsia="Times New Roman"/>
        </w:rPr>
      </w:pPr>
      <w:r>
        <w:rPr>
          <w:rFonts w:eastAsia="Times New Roman"/>
        </w:rPr>
        <w:t xml:space="preserve">odpłatnie podejmuje stosowne czynności w sieci dystrybucyjnej w celu umożliwienia bezpiecznego wykonania, przez odbiorcę lub inny podmiot, prac </w:t>
      </w:r>
      <w:r w:rsidR="002B50D3">
        <w:rPr>
          <w:rFonts w:eastAsia="Times New Roman"/>
        </w:rPr>
        <w:br/>
      </w:r>
      <w:r>
        <w:rPr>
          <w:rFonts w:eastAsia="Times New Roman"/>
        </w:rPr>
        <w:t>w obszarze oddziaływania tej sieci,</w:t>
      </w:r>
    </w:p>
    <w:p w14:paraId="67371527" w14:textId="77777777" w:rsidR="00572BA3" w:rsidRPr="002C4CAD" w:rsidRDefault="00572BA3" w:rsidP="00A608F6">
      <w:pPr>
        <w:numPr>
          <w:ilvl w:val="0"/>
          <w:numId w:val="8"/>
        </w:numPr>
        <w:ind w:left="993" w:hanging="284"/>
        <w:jc w:val="both"/>
        <w:rPr>
          <w:rFonts w:eastAsia="Times New Roman"/>
        </w:rPr>
      </w:pPr>
      <w:r w:rsidRPr="002C4CAD">
        <w:rPr>
          <w:rFonts w:eastAsia="Times New Roman"/>
        </w:rPr>
        <w:t>nieodpłatnie udziela informacji w sprawie zasad rozliczeń oraz taryfy</w:t>
      </w:r>
      <w:r w:rsidR="002C4CAD" w:rsidRPr="002C4CAD">
        <w:rPr>
          <w:rFonts w:eastAsia="Times New Roman"/>
        </w:rPr>
        <w:t xml:space="preserve"> OSDn,</w:t>
      </w:r>
    </w:p>
    <w:p w14:paraId="473364FD" w14:textId="77777777" w:rsidR="00572BA3" w:rsidRDefault="00572BA3" w:rsidP="00A608F6">
      <w:pPr>
        <w:numPr>
          <w:ilvl w:val="0"/>
          <w:numId w:val="8"/>
        </w:numPr>
        <w:ind w:left="993" w:right="46" w:hanging="284"/>
        <w:jc w:val="both"/>
        <w:rPr>
          <w:rFonts w:eastAsia="Times New Roman"/>
        </w:rPr>
      </w:pPr>
      <w:r>
        <w:rPr>
          <w:rFonts w:eastAsia="Times New Roman"/>
        </w:rPr>
        <w:t>rozpatruje wnioski lub reklamacje odbiorcy w sprawie rozliczeń i udziela odpowiedzi nie później niż w terminie 14 dni kalendarzowych od dnia złożenia wniosku lub zgłoszenia reklamacji, chyba że w umowie między stronami określono inny termin,</w:t>
      </w:r>
    </w:p>
    <w:p w14:paraId="19B6265D" w14:textId="77777777" w:rsidR="00572BA3" w:rsidRDefault="00572BA3" w:rsidP="00A608F6">
      <w:pPr>
        <w:numPr>
          <w:ilvl w:val="0"/>
          <w:numId w:val="8"/>
        </w:numPr>
        <w:ind w:left="993" w:right="46" w:hanging="284"/>
        <w:jc w:val="both"/>
        <w:rPr>
          <w:rFonts w:eastAsia="Times New Roman"/>
          <w:sz w:val="23"/>
        </w:rPr>
      </w:pPr>
      <w:r>
        <w:rPr>
          <w:rFonts w:eastAsia="Times New Roman"/>
          <w:sz w:val="23"/>
        </w:rPr>
        <w:t xml:space="preserve">na wniosek odbiorcy, w miarę możliwości technicznych i organizacyjnych, dokonuje sprawdzenia dotrzymania parametrów jakościowych energii elektrycznej dostarczanej </w:t>
      </w:r>
      <w:r w:rsidR="0009559B">
        <w:rPr>
          <w:rFonts w:eastAsia="Times New Roman"/>
          <w:sz w:val="23"/>
        </w:rPr>
        <w:br/>
      </w:r>
      <w:r>
        <w:rPr>
          <w:rFonts w:eastAsia="Times New Roman"/>
          <w:sz w:val="23"/>
        </w:rPr>
        <w:t>z sieci, poprzez wykonanie odpowiednich pomiarów,</w:t>
      </w:r>
    </w:p>
    <w:p w14:paraId="7BEA7933" w14:textId="00BCD52E" w:rsidR="00DD6488" w:rsidRDefault="00DD6488" w:rsidP="00A608F6">
      <w:pPr>
        <w:numPr>
          <w:ilvl w:val="0"/>
          <w:numId w:val="8"/>
        </w:numPr>
        <w:autoSpaceDE w:val="0"/>
        <w:autoSpaceDN w:val="0"/>
        <w:adjustRightInd w:val="0"/>
        <w:ind w:left="993" w:right="-20" w:hanging="284"/>
        <w:jc w:val="both"/>
        <w:rPr>
          <w:rFonts w:cs="Times New Roman"/>
          <w:color w:val="000000"/>
          <w:szCs w:val="24"/>
        </w:rPr>
      </w:pPr>
      <w:r w:rsidRPr="00D80DE5">
        <w:rPr>
          <w:rFonts w:cs="Times New Roman"/>
          <w:color w:val="000000"/>
          <w:szCs w:val="24"/>
        </w:rPr>
        <w:t xml:space="preserve">udziela bonifikat za niedotrzymanie standardów jakościowych obsługi odbiorców lub parametrów jakościowych energii elektrycznej, w wysokości określonej w taryfie lub umowie. </w:t>
      </w:r>
    </w:p>
    <w:p w14:paraId="4A895891" w14:textId="3E214A21" w:rsidR="0026184D" w:rsidRDefault="0026184D">
      <w:pPr>
        <w:pStyle w:val="Tekstpodstawowy"/>
        <w:numPr>
          <w:ilvl w:val="0"/>
          <w:numId w:val="277"/>
        </w:numPr>
        <w:tabs>
          <w:tab w:val="left" w:pos="8647"/>
        </w:tabs>
        <w:spacing w:before="0" w:line="240" w:lineRule="auto"/>
        <w:ind w:left="851" w:right="62" w:hanging="851"/>
      </w:pPr>
      <w:r>
        <w:t>Odbiorca</w:t>
      </w:r>
      <w:r>
        <w:rPr>
          <w:spacing w:val="-12"/>
        </w:rPr>
        <w:t xml:space="preserve"> </w:t>
      </w:r>
      <w:r>
        <w:t>końcowy</w:t>
      </w:r>
      <w:r>
        <w:rPr>
          <w:spacing w:val="-8"/>
        </w:rPr>
        <w:t xml:space="preserve"> </w:t>
      </w:r>
      <w:r>
        <w:t>przyłączony</w:t>
      </w:r>
      <w:r>
        <w:rPr>
          <w:spacing w:val="-3"/>
        </w:rPr>
        <w:t xml:space="preserve"> </w:t>
      </w:r>
      <w:r>
        <w:t>do</w:t>
      </w:r>
      <w:r>
        <w:rPr>
          <w:spacing w:val="-25"/>
        </w:rPr>
        <w:t xml:space="preserve"> </w:t>
      </w:r>
      <w:r>
        <w:t>sieci</w:t>
      </w:r>
      <w:r>
        <w:rPr>
          <w:spacing w:val="-15"/>
        </w:rPr>
        <w:t xml:space="preserve"> </w:t>
      </w:r>
      <w:r>
        <w:t>o</w:t>
      </w:r>
      <w:r>
        <w:rPr>
          <w:spacing w:val="-16"/>
        </w:rPr>
        <w:t xml:space="preserve"> </w:t>
      </w:r>
      <w:r>
        <w:t>napięciu</w:t>
      </w:r>
      <w:r>
        <w:rPr>
          <w:spacing w:val="-8"/>
        </w:rPr>
        <w:t xml:space="preserve"> </w:t>
      </w:r>
      <w:r>
        <w:t>znamionowym</w:t>
      </w:r>
      <w:r>
        <w:rPr>
          <w:spacing w:val="6"/>
        </w:rPr>
        <w:t xml:space="preserve"> </w:t>
      </w:r>
      <w:r>
        <w:t>nie</w:t>
      </w:r>
      <w:r>
        <w:rPr>
          <w:spacing w:val="-15"/>
        </w:rPr>
        <w:t xml:space="preserve"> </w:t>
      </w:r>
      <w:r>
        <w:t>wyższym</w:t>
      </w:r>
      <w:r>
        <w:rPr>
          <w:spacing w:val="-6"/>
        </w:rPr>
        <w:t xml:space="preserve"> </w:t>
      </w:r>
      <w:r>
        <w:t xml:space="preserve">niż </w:t>
      </w:r>
      <w:r>
        <w:br/>
        <w:t xml:space="preserve">1 kV oraz odbiorca końcowy i wytwórca energii elektrycznej należący do spółdzielni energetycznej w rozumieniu art. 2 pkt 33a Ustawy OZE, mogą wystąpić </w:t>
      </w:r>
      <w:r>
        <w:br/>
        <w:t>z wnioskiem do OSDn</w:t>
      </w:r>
      <w:r>
        <w:rPr>
          <w:spacing w:val="-26"/>
        </w:rPr>
        <w:t xml:space="preserve"> </w:t>
      </w:r>
      <w:r>
        <w:t>o:</w:t>
      </w:r>
    </w:p>
    <w:p w14:paraId="12178EC4" w14:textId="263FB30D" w:rsidR="0026184D" w:rsidRPr="0026184D" w:rsidRDefault="0026184D">
      <w:pPr>
        <w:pStyle w:val="Akapitzlist"/>
        <w:widowControl w:val="0"/>
        <w:numPr>
          <w:ilvl w:val="0"/>
          <w:numId w:val="276"/>
        </w:numPr>
        <w:tabs>
          <w:tab w:val="left" w:pos="1031"/>
          <w:tab w:val="left" w:pos="8647"/>
        </w:tabs>
        <w:autoSpaceDE w:val="0"/>
        <w:autoSpaceDN w:val="0"/>
        <w:ind w:right="62"/>
        <w:jc w:val="both"/>
        <w:rPr>
          <w:rFonts w:cs="Times New Roman"/>
          <w:color w:val="000000"/>
          <w:szCs w:val="24"/>
        </w:rPr>
      </w:pPr>
      <w:r w:rsidRPr="0026184D">
        <w:rPr>
          <w:rFonts w:cs="Times New Roman"/>
          <w:color w:val="000000"/>
          <w:szCs w:val="24"/>
        </w:rPr>
        <w:t>zainstalowanie licznika zdalnego</w:t>
      </w:r>
      <w:r w:rsidRPr="0026184D">
        <w:rPr>
          <w:rFonts w:cs="Times New Roman"/>
          <w:color w:val="000000"/>
          <w:spacing w:val="21"/>
          <w:szCs w:val="24"/>
        </w:rPr>
        <w:t xml:space="preserve"> </w:t>
      </w:r>
      <w:r w:rsidRPr="0026184D">
        <w:rPr>
          <w:rFonts w:cs="Times New Roman"/>
          <w:color w:val="000000"/>
          <w:szCs w:val="24"/>
        </w:rPr>
        <w:t>odczytu,</w:t>
      </w:r>
    </w:p>
    <w:p w14:paraId="2CCCB1BF" w14:textId="77777777" w:rsidR="0026184D" w:rsidRDefault="0026184D">
      <w:pPr>
        <w:pStyle w:val="Akapitzlist"/>
        <w:widowControl w:val="0"/>
        <w:numPr>
          <w:ilvl w:val="0"/>
          <w:numId w:val="276"/>
        </w:numPr>
        <w:tabs>
          <w:tab w:val="left" w:pos="1040"/>
          <w:tab w:val="left" w:pos="8647"/>
        </w:tabs>
        <w:autoSpaceDE w:val="0"/>
        <w:autoSpaceDN w:val="0"/>
        <w:ind w:right="62" w:hanging="343"/>
        <w:jc w:val="both"/>
        <w:rPr>
          <w:rFonts w:cs="Times New Roman"/>
          <w:color w:val="000000"/>
          <w:szCs w:val="24"/>
        </w:rPr>
      </w:pPr>
      <w:r>
        <w:rPr>
          <w:rFonts w:cs="Times New Roman"/>
          <w:color w:val="000000"/>
          <w:szCs w:val="24"/>
        </w:rPr>
        <w:t>umożliwienie komunikacji licznika zdalnego odczytu z urządzeniami tego odbiorcy, o ile spełniają one wymagania określone w Ustawie i przepisach wydanych na jej podstawie - niniejsze postanowienie stosuje się od dnia 19 czerwca 2022</w:t>
      </w:r>
      <w:r>
        <w:rPr>
          <w:rFonts w:cs="Times New Roman"/>
          <w:color w:val="000000"/>
          <w:spacing w:val="25"/>
          <w:szCs w:val="24"/>
        </w:rPr>
        <w:t xml:space="preserve"> </w:t>
      </w:r>
      <w:r>
        <w:rPr>
          <w:rFonts w:cs="Times New Roman"/>
          <w:color w:val="000000"/>
          <w:szCs w:val="24"/>
        </w:rPr>
        <w:t>r.,</w:t>
      </w:r>
    </w:p>
    <w:p w14:paraId="43CBBD3C" w14:textId="77777777" w:rsidR="0026184D" w:rsidRDefault="0026184D">
      <w:pPr>
        <w:pStyle w:val="Akapitzlist"/>
        <w:widowControl w:val="0"/>
        <w:numPr>
          <w:ilvl w:val="0"/>
          <w:numId w:val="276"/>
        </w:numPr>
        <w:tabs>
          <w:tab w:val="left" w:pos="1039"/>
          <w:tab w:val="left" w:pos="8647"/>
        </w:tabs>
        <w:autoSpaceDE w:val="0"/>
        <w:autoSpaceDN w:val="0"/>
        <w:ind w:right="62" w:hanging="343"/>
        <w:jc w:val="both"/>
        <w:rPr>
          <w:rFonts w:cs="Times New Roman"/>
          <w:color w:val="000000"/>
          <w:szCs w:val="24"/>
        </w:rPr>
      </w:pPr>
      <w:r>
        <w:rPr>
          <w:rFonts w:cs="Times New Roman"/>
          <w:color w:val="000000"/>
          <w:szCs w:val="24"/>
        </w:rPr>
        <w:t>wyposażenie</w:t>
      </w:r>
      <w:r>
        <w:rPr>
          <w:rFonts w:cs="Times New Roman"/>
          <w:color w:val="000000"/>
          <w:spacing w:val="-7"/>
          <w:szCs w:val="24"/>
        </w:rPr>
        <w:t xml:space="preserve"> </w:t>
      </w:r>
      <w:r>
        <w:rPr>
          <w:rFonts w:cs="Times New Roman"/>
          <w:color w:val="000000"/>
          <w:szCs w:val="24"/>
        </w:rPr>
        <w:t>punktu</w:t>
      </w:r>
      <w:r>
        <w:rPr>
          <w:rFonts w:cs="Times New Roman"/>
          <w:color w:val="000000"/>
          <w:spacing w:val="-12"/>
          <w:szCs w:val="24"/>
        </w:rPr>
        <w:t xml:space="preserve"> </w:t>
      </w:r>
      <w:r>
        <w:rPr>
          <w:rFonts w:cs="Times New Roman"/>
          <w:color w:val="000000"/>
          <w:szCs w:val="24"/>
        </w:rPr>
        <w:t>ładowania</w:t>
      </w:r>
      <w:r>
        <w:rPr>
          <w:rFonts w:cs="Times New Roman"/>
          <w:color w:val="000000"/>
          <w:spacing w:val="-2"/>
          <w:szCs w:val="24"/>
        </w:rPr>
        <w:t xml:space="preserve"> </w:t>
      </w:r>
      <w:r>
        <w:rPr>
          <w:rFonts w:cs="Times New Roman"/>
          <w:color w:val="000000"/>
          <w:szCs w:val="24"/>
        </w:rPr>
        <w:t>w</w:t>
      </w:r>
      <w:r>
        <w:rPr>
          <w:rFonts w:cs="Times New Roman"/>
          <w:color w:val="000000"/>
          <w:spacing w:val="-22"/>
          <w:szCs w:val="24"/>
        </w:rPr>
        <w:t xml:space="preserve"> </w:t>
      </w:r>
      <w:r>
        <w:rPr>
          <w:rFonts w:cs="Times New Roman"/>
          <w:color w:val="000000"/>
          <w:szCs w:val="24"/>
        </w:rPr>
        <w:t>rozumieniu</w:t>
      </w:r>
      <w:r>
        <w:rPr>
          <w:rFonts w:cs="Times New Roman"/>
          <w:color w:val="000000"/>
          <w:spacing w:val="-7"/>
          <w:szCs w:val="24"/>
        </w:rPr>
        <w:t xml:space="preserve"> </w:t>
      </w:r>
      <w:r>
        <w:rPr>
          <w:rFonts w:cs="Times New Roman"/>
          <w:color w:val="000000"/>
          <w:szCs w:val="24"/>
        </w:rPr>
        <w:t>art.</w:t>
      </w:r>
      <w:r>
        <w:rPr>
          <w:rFonts w:cs="Times New Roman"/>
          <w:color w:val="000000"/>
          <w:spacing w:val="-19"/>
          <w:szCs w:val="24"/>
        </w:rPr>
        <w:t xml:space="preserve"> </w:t>
      </w:r>
      <w:r>
        <w:rPr>
          <w:rFonts w:cs="Times New Roman"/>
          <w:color w:val="000000"/>
          <w:szCs w:val="24"/>
        </w:rPr>
        <w:t>2</w:t>
      </w:r>
      <w:r>
        <w:rPr>
          <w:rFonts w:cs="Times New Roman"/>
          <w:color w:val="000000"/>
          <w:spacing w:val="-19"/>
          <w:szCs w:val="24"/>
        </w:rPr>
        <w:t xml:space="preserve"> </w:t>
      </w:r>
      <w:r>
        <w:rPr>
          <w:rFonts w:cs="Times New Roman"/>
          <w:color w:val="000000"/>
          <w:szCs w:val="24"/>
        </w:rPr>
        <w:t>pkt</w:t>
      </w:r>
      <w:r>
        <w:rPr>
          <w:rFonts w:cs="Times New Roman"/>
          <w:color w:val="000000"/>
          <w:spacing w:val="-15"/>
          <w:szCs w:val="24"/>
        </w:rPr>
        <w:t xml:space="preserve"> </w:t>
      </w:r>
      <w:r>
        <w:rPr>
          <w:rFonts w:cs="Times New Roman"/>
          <w:color w:val="000000"/>
          <w:szCs w:val="24"/>
        </w:rPr>
        <w:t>17</w:t>
      </w:r>
      <w:r>
        <w:rPr>
          <w:rFonts w:cs="Times New Roman"/>
          <w:color w:val="000000"/>
          <w:spacing w:val="-17"/>
          <w:szCs w:val="24"/>
        </w:rPr>
        <w:t xml:space="preserve"> </w:t>
      </w:r>
      <w:r>
        <w:rPr>
          <w:rFonts w:cs="Times New Roman"/>
          <w:color w:val="000000"/>
          <w:szCs w:val="24"/>
        </w:rPr>
        <w:t>ustawy</w:t>
      </w:r>
      <w:r>
        <w:rPr>
          <w:rFonts w:cs="Times New Roman"/>
          <w:color w:val="000000"/>
          <w:spacing w:val="-12"/>
          <w:szCs w:val="24"/>
        </w:rPr>
        <w:t xml:space="preserve"> </w:t>
      </w:r>
      <w:r>
        <w:rPr>
          <w:rFonts w:cs="Times New Roman"/>
          <w:color w:val="000000"/>
          <w:spacing w:val="-12"/>
          <w:szCs w:val="24"/>
        </w:rPr>
        <w:br/>
      </w:r>
      <w:r>
        <w:rPr>
          <w:rFonts w:cs="Times New Roman"/>
          <w:color w:val="000000"/>
          <w:szCs w:val="24"/>
        </w:rPr>
        <w:t>o</w:t>
      </w:r>
      <w:r>
        <w:rPr>
          <w:rFonts w:cs="Times New Roman"/>
          <w:color w:val="000000"/>
          <w:spacing w:val="-22"/>
          <w:szCs w:val="24"/>
        </w:rPr>
        <w:t xml:space="preserve"> </w:t>
      </w:r>
      <w:r>
        <w:rPr>
          <w:rFonts w:cs="Times New Roman"/>
          <w:color w:val="000000"/>
          <w:szCs w:val="24"/>
        </w:rPr>
        <w:t>elektromobilności należącego do odbiorcy końcowego w licznik zdalnego odczytu w instalacji tego odbiorcy.</w:t>
      </w:r>
    </w:p>
    <w:p w14:paraId="23F3288A" w14:textId="77777777" w:rsidR="00157849" w:rsidRDefault="00157849">
      <w:pPr>
        <w:pStyle w:val="Tekstpodstawowy"/>
        <w:numPr>
          <w:ilvl w:val="0"/>
          <w:numId w:val="279"/>
        </w:numPr>
        <w:tabs>
          <w:tab w:val="clear" w:pos="4536"/>
          <w:tab w:val="clear" w:pos="9072"/>
        </w:tabs>
        <w:spacing w:before="0"/>
        <w:ind w:left="709" w:right="62" w:hanging="709"/>
      </w:pPr>
      <w:r>
        <w:t>W przypadku otrzymania wniosku, o którym mowa w pkt 1.4.5. OSDn:</w:t>
      </w:r>
    </w:p>
    <w:p w14:paraId="42670EEC" w14:textId="77777777" w:rsidR="00157849" w:rsidRDefault="00157849">
      <w:pPr>
        <w:pStyle w:val="Akapitzlist"/>
        <w:widowControl w:val="0"/>
        <w:numPr>
          <w:ilvl w:val="0"/>
          <w:numId w:val="278"/>
        </w:numPr>
        <w:tabs>
          <w:tab w:val="left" w:pos="1040"/>
        </w:tabs>
        <w:autoSpaceDE w:val="0"/>
        <w:autoSpaceDN w:val="0"/>
        <w:ind w:right="62"/>
        <w:jc w:val="both"/>
        <w:rPr>
          <w:rFonts w:cs="Times New Roman"/>
          <w:color w:val="000000"/>
          <w:szCs w:val="24"/>
        </w:rPr>
      </w:pPr>
      <w:r>
        <w:rPr>
          <w:rFonts w:cs="Times New Roman"/>
          <w:color w:val="000000"/>
          <w:szCs w:val="24"/>
        </w:rPr>
        <w:t xml:space="preserve">zainstaluje licznik zdalnego odczytu w terminie 4 miesięcy od dnia wystąpienia </w:t>
      </w:r>
      <w:r>
        <w:rPr>
          <w:rFonts w:cs="Times New Roman"/>
          <w:color w:val="000000"/>
          <w:szCs w:val="24"/>
        </w:rPr>
        <w:br/>
        <w:t>o to odbiorcy</w:t>
      </w:r>
      <w:r>
        <w:rPr>
          <w:rFonts w:cs="Times New Roman"/>
          <w:color w:val="000000"/>
          <w:spacing w:val="16"/>
          <w:szCs w:val="24"/>
        </w:rPr>
        <w:t xml:space="preserve"> </w:t>
      </w:r>
      <w:r>
        <w:rPr>
          <w:rFonts w:cs="Times New Roman"/>
          <w:color w:val="000000"/>
          <w:szCs w:val="24"/>
        </w:rPr>
        <w:t>końcowego,</w:t>
      </w:r>
    </w:p>
    <w:p w14:paraId="06B456F1" w14:textId="77777777" w:rsidR="00157849" w:rsidRDefault="00157849">
      <w:pPr>
        <w:pStyle w:val="Akapitzlist"/>
        <w:widowControl w:val="0"/>
        <w:numPr>
          <w:ilvl w:val="0"/>
          <w:numId w:val="278"/>
        </w:numPr>
        <w:tabs>
          <w:tab w:val="left" w:pos="1040"/>
        </w:tabs>
        <w:autoSpaceDE w:val="0"/>
        <w:autoSpaceDN w:val="0"/>
        <w:spacing w:line="242" w:lineRule="auto"/>
        <w:ind w:right="62"/>
        <w:jc w:val="both"/>
        <w:rPr>
          <w:rFonts w:cs="Times New Roman"/>
          <w:color w:val="000000"/>
          <w:szCs w:val="24"/>
        </w:rPr>
      </w:pPr>
      <w:r>
        <w:rPr>
          <w:rFonts w:cs="Times New Roman"/>
          <w:color w:val="000000"/>
          <w:szCs w:val="24"/>
        </w:rPr>
        <w:t>umożliwi komunikację licznika zdalnego odczytu z urządzeniami odbiorcy końcowego, w terminie 2 miesięcy od dnia wystąpienia o to tego odbiorcy, o ile spełniają one wymagania określone w Ustawie oraz przepisach wydanych na jej podstawie - niniejsze postanowienie stosuje się od dnia 19 czerwca 2022</w:t>
      </w:r>
      <w:r>
        <w:rPr>
          <w:rFonts w:cs="Times New Roman"/>
          <w:color w:val="000000"/>
          <w:spacing w:val="29"/>
          <w:szCs w:val="24"/>
        </w:rPr>
        <w:t xml:space="preserve"> </w:t>
      </w:r>
      <w:r>
        <w:rPr>
          <w:rFonts w:cs="Times New Roman"/>
          <w:color w:val="000000"/>
          <w:szCs w:val="24"/>
        </w:rPr>
        <w:t>r.,</w:t>
      </w:r>
    </w:p>
    <w:p w14:paraId="674AE434" w14:textId="6F990AF0" w:rsidR="00A608F6" w:rsidRDefault="00157849">
      <w:pPr>
        <w:pStyle w:val="Akapitzlist"/>
        <w:numPr>
          <w:ilvl w:val="0"/>
          <w:numId w:val="278"/>
        </w:numPr>
        <w:autoSpaceDE w:val="0"/>
        <w:autoSpaceDN w:val="0"/>
        <w:adjustRightInd w:val="0"/>
        <w:ind w:right="62"/>
        <w:jc w:val="both"/>
        <w:rPr>
          <w:rFonts w:cs="Times New Roman"/>
          <w:color w:val="000000"/>
          <w:szCs w:val="24"/>
        </w:rPr>
      </w:pPr>
      <w:r>
        <w:rPr>
          <w:rFonts w:cs="Times New Roman"/>
          <w:color w:val="000000"/>
          <w:szCs w:val="24"/>
        </w:rPr>
        <w:t xml:space="preserve">wyposaży punkt ładowania w rozumieniu art. 2 pkt 17 ustawy </w:t>
      </w:r>
      <w:r>
        <w:rPr>
          <w:rFonts w:cs="Times New Roman"/>
          <w:color w:val="000000"/>
          <w:szCs w:val="24"/>
        </w:rPr>
        <w:br/>
        <w:t>o elektromobilności należący</w:t>
      </w:r>
      <w:r>
        <w:rPr>
          <w:rFonts w:cs="Times New Roman"/>
          <w:color w:val="000000"/>
          <w:spacing w:val="-4"/>
          <w:szCs w:val="24"/>
        </w:rPr>
        <w:t xml:space="preserve"> </w:t>
      </w:r>
      <w:r>
        <w:rPr>
          <w:rFonts w:cs="Times New Roman"/>
          <w:color w:val="000000"/>
          <w:szCs w:val="24"/>
        </w:rPr>
        <w:t>do</w:t>
      </w:r>
      <w:r>
        <w:rPr>
          <w:rFonts w:cs="Times New Roman"/>
          <w:color w:val="000000"/>
          <w:spacing w:val="-16"/>
          <w:szCs w:val="24"/>
        </w:rPr>
        <w:t xml:space="preserve"> </w:t>
      </w:r>
      <w:r>
        <w:rPr>
          <w:rFonts w:cs="Times New Roman"/>
          <w:color w:val="000000"/>
          <w:szCs w:val="24"/>
        </w:rPr>
        <w:t>odbiorcy</w:t>
      </w:r>
      <w:r>
        <w:rPr>
          <w:rFonts w:cs="Times New Roman"/>
          <w:color w:val="000000"/>
          <w:spacing w:val="-1"/>
          <w:szCs w:val="24"/>
        </w:rPr>
        <w:t xml:space="preserve"> </w:t>
      </w:r>
      <w:r>
        <w:rPr>
          <w:rFonts w:cs="Times New Roman"/>
          <w:color w:val="000000"/>
          <w:szCs w:val="24"/>
        </w:rPr>
        <w:t>końcowego,</w:t>
      </w:r>
      <w:r>
        <w:rPr>
          <w:rFonts w:cs="Times New Roman"/>
          <w:color w:val="000000"/>
          <w:spacing w:val="-2"/>
          <w:szCs w:val="24"/>
        </w:rPr>
        <w:t xml:space="preserve"> </w:t>
      </w:r>
      <w:r>
        <w:rPr>
          <w:rFonts w:cs="Times New Roman"/>
          <w:color w:val="000000"/>
          <w:szCs w:val="24"/>
        </w:rPr>
        <w:t>w</w:t>
      </w:r>
      <w:r>
        <w:rPr>
          <w:rFonts w:cs="Times New Roman"/>
          <w:color w:val="000000"/>
          <w:spacing w:val="-11"/>
          <w:szCs w:val="24"/>
        </w:rPr>
        <w:t xml:space="preserve"> </w:t>
      </w:r>
      <w:r>
        <w:rPr>
          <w:rFonts w:cs="Times New Roman"/>
          <w:color w:val="000000"/>
          <w:szCs w:val="24"/>
        </w:rPr>
        <w:t>licznik</w:t>
      </w:r>
      <w:r>
        <w:rPr>
          <w:rFonts w:cs="Times New Roman"/>
          <w:color w:val="000000"/>
          <w:spacing w:val="-6"/>
          <w:szCs w:val="24"/>
        </w:rPr>
        <w:t xml:space="preserve"> </w:t>
      </w:r>
      <w:r>
        <w:rPr>
          <w:rFonts w:cs="Times New Roman"/>
          <w:color w:val="000000"/>
          <w:szCs w:val="24"/>
        </w:rPr>
        <w:t>zdalnego</w:t>
      </w:r>
      <w:r>
        <w:rPr>
          <w:rFonts w:cs="Times New Roman"/>
          <w:color w:val="000000"/>
          <w:spacing w:val="-8"/>
          <w:szCs w:val="24"/>
        </w:rPr>
        <w:t xml:space="preserve"> </w:t>
      </w:r>
      <w:r>
        <w:rPr>
          <w:rFonts w:cs="Times New Roman"/>
          <w:color w:val="000000"/>
          <w:szCs w:val="24"/>
        </w:rPr>
        <w:t>odczytu</w:t>
      </w:r>
      <w:r>
        <w:rPr>
          <w:rFonts w:cs="Times New Roman"/>
          <w:color w:val="000000"/>
          <w:spacing w:val="-7"/>
          <w:szCs w:val="24"/>
        </w:rPr>
        <w:t xml:space="preserve"> </w:t>
      </w:r>
      <w:r>
        <w:rPr>
          <w:rFonts w:cs="Times New Roman"/>
          <w:color w:val="000000"/>
          <w:spacing w:val="-7"/>
          <w:szCs w:val="24"/>
        </w:rPr>
        <w:br/>
      </w:r>
      <w:r>
        <w:rPr>
          <w:rFonts w:cs="Times New Roman"/>
          <w:color w:val="000000"/>
          <w:szCs w:val="24"/>
        </w:rPr>
        <w:t>w</w:t>
      </w:r>
      <w:r>
        <w:rPr>
          <w:rFonts w:cs="Times New Roman"/>
          <w:color w:val="000000"/>
          <w:spacing w:val="-19"/>
          <w:szCs w:val="24"/>
        </w:rPr>
        <w:t xml:space="preserve"> </w:t>
      </w:r>
      <w:r>
        <w:rPr>
          <w:rFonts w:cs="Times New Roman"/>
          <w:color w:val="000000"/>
          <w:szCs w:val="24"/>
        </w:rPr>
        <w:t>terminie</w:t>
      </w:r>
      <w:r>
        <w:rPr>
          <w:rFonts w:cs="Times New Roman"/>
          <w:color w:val="000000"/>
          <w:spacing w:val="-5"/>
          <w:szCs w:val="24"/>
        </w:rPr>
        <w:t xml:space="preserve"> </w:t>
      </w:r>
      <w:r>
        <w:rPr>
          <w:rFonts w:cs="Times New Roman"/>
          <w:color w:val="000000"/>
          <w:szCs w:val="24"/>
        </w:rPr>
        <w:t>miesiąca</w:t>
      </w:r>
      <w:r>
        <w:rPr>
          <w:rFonts w:cs="Times New Roman"/>
          <w:color w:val="000000"/>
          <w:spacing w:val="-6"/>
          <w:szCs w:val="24"/>
        </w:rPr>
        <w:t xml:space="preserve"> </w:t>
      </w:r>
      <w:r>
        <w:rPr>
          <w:rFonts w:cs="Times New Roman"/>
          <w:color w:val="000000"/>
          <w:szCs w:val="24"/>
        </w:rPr>
        <w:t>od dnia wystąpienia o to tego</w:t>
      </w:r>
      <w:r>
        <w:rPr>
          <w:rFonts w:cs="Times New Roman"/>
          <w:color w:val="000000"/>
          <w:spacing w:val="18"/>
          <w:szCs w:val="24"/>
        </w:rPr>
        <w:t xml:space="preserve"> </w:t>
      </w:r>
      <w:r>
        <w:rPr>
          <w:rFonts w:cs="Times New Roman"/>
          <w:color w:val="000000"/>
          <w:szCs w:val="24"/>
        </w:rPr>
        <w:t>odbiorcy</w:t>
      </w:r>
      <w:r w:rsidR="00A71FFB">
        <w:rPr>
          <w:rFonts w:cs="Times New Roman"/>
          <w:color w:val="000000"/>
          <w:szCs w:val="24"/>
        </w:rPr>
        <w:t>.</w:t>
      </w:r>
    </w:p>
    <w:p w14:paraId="5D458E00" w14:textId="4CEE487A" w:rsidR="00A71FFB" w:rsidRDefault="00A71FFB">
      <w:pPr>
        <w:pStyle w:val="Akapitzlist"/>
        <w:numPr>
          <w:ilvl w:val="0"/>
          <w:numId w:val="280"/>
        </w:numPr>
        <w:autoSpaceDE w:val="0"/>
        <w:autoSpaceDN w:val="0"/>
        <w:adjustRightInd w:val="0"/>
        <w:ind w:left="709" w:right="62" w:hanging="709"/>
        <w:jc w:val="both"/>
        <w:rPr>
          <w:rFonts w:cs="Times New Roman"/>
          <w:color w:val="000000"/>
          <w:szCs w:val="24"/>
        </w:rPr>
      </w:pPr>
      <w:r>
        <w:rPr>
          <w:rFonts w:cs="Times New Roman"/>
          <w:color w:val="000000"/>
          <w:w w:val="105"/>
          <w:szCs w:val="24"/>
        </w:rPr>
        <w:t xml:space="preserve">OSDn, w danym roku kalendarzowym zainstaluje na wniosek odbiorcy końcowego przyłączonego do sieci o napięciu znamionowym nie wyższym niż </w:t>
      </w:r>
      <w:r>
        <w:rPr>
          <w:rFonts w:cs="Times New Roman"/>
          <w:color w:val="000000"/>
          <w:w w:val="105"/>
          <w:szCs w:val="24"/>
        </w:rPr>
        <w:br/>
      </w:r>
      <w:r>
        <w:rPr>
          <w:rFonts w:cs="Times New Roman"/>
          <w:color w:val="000000"/>
          <w:szCs w:val="24"/>
        </w:rPr>
        <w:t>1 kV, liczniki   zdalnego   odczytu, w nie więcej niż 0</w:t>
      </w:r>
      <w:r>
        <w:rPr>
          <w:rFonts w:cs="Times New Roman"/>
          <w:color w:val="000000"/>
          <w:spacing w:val="2"/>
          <w:szCs w:val="24"/>
        </w:rPr>
        <w:t xml:space="preserve">,1% </w:t>
      </w:r>
      <w:r>
        <w:rPr>
          <w:rFonts w:cs="Times New Roman"/>
          <w:color w:val="000000"/>
          <w:szCs w:val="24"/>
        </w:rPr>
        <w:t xml:space="preserve">punktów poboru   energii </w:t>
      </w:r>
      <w:r w:rsidR="00A775AD">
        <w:rPr>
          <w:rFonts w:cs="Times New Roman"/>
          <w:color w:val="000000"/>
          <w:szCs w:val="24"/>
        </w:rPr>
        <w:br/>
      </w:r>
      <w:r>
        <w:rPr>
          <w:rFonts w:cs="Times New Roman"/>
          <w:color w:val="000000"/>
          <w:szCs w:val="24"/>
        </w:rPr>
        <w:t>u odbiorców końcowych, przyłączonych do sieci OSDn. Przepisu nie stosuje się do odbiorcy końcowego i wytwórcy energii elektrycznej należącego do spółdzielni energetycznej w rozumieniu art. 2 pkt 33a Ustawy</w:t>
      </w:r>
      <w:r>
        <w:rPr>
          <w:rFonts w:cs="Times New Roman"/>
          <w:color w:val="000000"/>
          <w:spacing w:val="-17"/>
          <w:szCs w:val="24"/>
        </w:rPr>
        <w:t xml:space="preserve"> </w:t>
      </w:r>
      <w:r>
        <w:rPr>
          <w:rFonts w:cs="Times New Roman"/>
          <w:color w:val="000000"/>
          <w:szCs w:val="24"/>
        </w:rPr>
        <w:t>OZE.</w:t>
      </w:r>
    </w:p>
    <w:p w14:paraId="1ED236E3" w14:textId="3DA31E37" w:rsidR="00390B4A" w:rsidRDefault="00390B4A">
      <w:pPr>
        <w:pStyle w:val="Akapitzlist"/>
        <w:numPr>
          <w:ilvl w:val="0"/>
          <w:numId w:val="280"/>
        </w:numPr>
        <w:spacing w:line="252" w:lineRule="auto"/>
        <w:ind w:left="709" w:right="60" w:hanging="756"/>
        <w:jc w:val="both"/>
        <w:rPr>
          <w:rFonts w:cs="Times New Roman"/>
          <w:color w:val="000000"/>
          <w:w w:val="105"/>
          <w:szCs w:val="24"/>
        </w:rPr>
      </w:pPr>
      <w:r w:rsidRPr="00390B4A">
        <w:rPr>
          <w:rFonts w:cs="Times New Roman"/>
          <w:color w:val="000000"/>
          <w:w w:val="105"/>
          <w:szCs w:val="24"/>
        </w:rPr>
        <w:t>Odbiorca końcowy ponosi koszty zainstalowania i uruchomienia licznika zdalnego odczytu na wniosek, o którym mowa w pkt 1.4.5. ppkt 1) i 3).</w:t>
      </w:r>
    </w:p>
    <w:p w14:paraId="35CAE731" w14:textId="77777777" w:rsidR="00336AE2" w:rsidRPr="00336AE2" w:rsidRDefault="00336AE2" w:rsidP="00336AE2">
      <w:pPr>
        <w:spacing w:line="252" w:lineRule="auto"/>
        <w:ind w:right="60"/>
        <w:jc w:val="both"/>
        <w:rPr>
          <w:rFonts w:cs="Times New Roman"/>
          <w:color w:val="000000"/>
          <w:w w:val="105"/>
          <w:szCs w:val="24"/>
        </w:rPr>
      </w:pPr>
    </w:p>
    <w:p w14:paraId="193B86F7" w14:textId="77777777" w:rsidR="00336AE2" w:rsidRDefault="00336AE2" w:rsidP="00336AE2">
      <w:pPr>
        <w:pStyle w:val="Nagwek2"/>
      </w:pPr>
      <w:bookmarkStart w:id="11" w:name="_Toc141963868"/>
      <w:r>
        <w:rPr>
          <w:w w:val="105"/>
        </w:rPr>
        <w:lastRenderedPageBreak/>
        <w:t>I.5. REJESTR MAGAZYNÓW ENERGII ELEKTRYCZNEJ</w:t>
      </w:r>
      <w:bookmarkEnd w:id="11"/>
    </w:p>
    <w:p w14:paraId="1BB56429" w14:textId="789E3706" w:rsidR="00336AE2" w:rsidRDefault="00336AE2">
      <w:pPr>
        <w:pStyle w:val="Akapitzlist"/>
        <w:widowControl w:val="0"/>
        <w:numPr>
          <w:ilvl w:val="0"/>
          <w:numId w:val="282"/>
        </w:numPr>
        <w:autoSpaceDE w:val="0"/>
        <w:autoSpaceDN w:val="0"/>
        <w:spacing w:before="146" w:line="254" w:lineRule="auto"/>
        <w:ind w:left="426" w:right="202" w:hanging="426"/>
        <w:jc w:val="both"/>
        <w:rPr>
          <w:rFonts w:cs="Times New Roman"/>
          <w:color w:val="000000"/>
          <w:szCs w:val="24"/>
        </w:rPr>
      </w:pPr>
      <w:r>
        <w:rPr>
          <w:rFonts w:cs="Times New Roman"/>
          <w:color w:val="000000"/>
          <w:w w:val="105"/>
          <w:szCs w:val="24"/>
        </w:rPr>
        <w:t>OSDn prowadzi, w postaci elektronicznej, rejestr magazynów energii</w:t>
      </w:r>
      <w:r>
        <w:rPr>
          <w:rFonts w:cs="Times New Roman"/>
          <w:color w:val="000000"/>
          <w:spacing w:val="7"/>
          <w:w w:val="105"/>
          <w:szCs w:val="24"/>
        </w:rPr>
        <w:t xml:space="preserve"> </w:t>
      </w:r>
      <w:r>
        <w:rPr>
          <w:rFonts w:cs="Times New Roman"/>
          <w:color w:val="000000"/>
          <w:w w:val="105"/>
          <w:szCs w:val="24"/>
        </w:rPr>
        <w:t>elektrycznej:</w:t>
      </w:r>
    </w:p>
    <w:p w14:paraId="18D035BD" w14:textId="77777777" w:rsidR="00336AE2" w:rsidRDefault="00336AE2">
      <w:pPr>
        <w:pStyle w:val="Akapitzlist"/>
        <w:widowControl w:val="0"/>
        <w:numPr>
          <w:ilvl w:val="0"/>
          <w:numId w:val="281"/>
        </w:numPr>
        <w:tabs>
          <w:tab w:val="left" w:pos="1007"/>
        </w:tabs>
        <w:autoSpaceDE w:val="0"/>
        <w:autoSpaceDN w:val="0"/>
        <w:spacing w:before="113"/>
        <w:ind w:left="993" w:right="202" w:hanging="426"/>
        <w:jc w:val="both"/>
        <w:rPr>
          <w:rFonts w:cs="Times New Roman"/>
          <w:color w:val="000000"/>
          <w:szCs w:val="24"/>
        </w:rPr>
      </w:pPr>
      <w:r>
        <w:rPr>
          <w:rFonts w:cs="Times New Roman"/>
          <w:color w:val="000000"/>
          <w:w w:val="105"/>
          <w:szCs w:val="24"/>
        </w:rPr>
        <w:t>przyłączonych do sieci dystrybucyjnej OSDn,</w:t>
      </w:r>
    </w:p>
    <w:p w14:paraId="06AA5A06" w14:textId="77777777" w:rsidR="00336AE2" w:rsidRDefault="00336AE2">
      <w:pPr>
        <w:pStyle w:val="Akapitzlist"/>
        <w:widowControl w:val="0"/>
        <w:numPr>
          <w:ilvl w:val="0"/>
          <w:numId w:val="281"/>
        </w:numPr>
        <w:tabs>
          <w:tab w:val="left" w:pos="1000"/>
        </w:tabs>
        <w:autoSpaceDE w:val="0"/>
        <w:autoSpaceDN w:val="0"/>
        <w:spacing w:before="11"/>
        <w:ind w:left="993" w:right="202" w:hanging="426"/>
        <w:jc w:val="both"/>
        <w:rPr>
          <w:rFonts w:cs="Times New Roman"/>
          <w:color w:val="000000"/>
          <w:szCs w:val="24"/>
        </w:rPr>
      </w:pPr>
      <w:r>
        <w:rPr>
          <w:rFonts w:cs="Times New Roman"/>
          <w:color w:val="000000"/>
          <w:w w:val="105"/>
          <w:szCs w:val="24"/>
        </w:rPr>
        <w:t>stanowiących część sieci dystrybucyjnej OSDn,</w:t>
      </w:r>
    </w:p>
    <w:p w14:paraId="504C3ACC" w14:textId="77777777" w:rsidR="00336AE2" w:rsidRDefault="00336AE2">
      <w:pPr>
        <w:pStyle w:val="Akapitzlist"/>
        <w:widowControl w:val="0"/>
        <w:numPr>
          <w:ilvl w:val="0"/>
          <w:numId w:val="281"/>
        </w:numPr>
        <w:tabs>
          <w:tab w:val="left" w:pos="1005"/>
        </w:tabs>
        <w:autoSpaceDE w:val="0"/>
        <w:autoSpaceDN w:val="0"/>
        <w:spacing w:before="11" w:line="249" w:lineRule="auto"/>
        <w:ind w:left="993" w:right="202" w:hanging="426"/>
        <w:jc w:val="both"/>
        <w:rPr>
          <w:rFonts w:cs="Times New Roman"/>
          <w:color w:val="000000"/>
          <w:szCs w:val="24"/>
        </w:rPr>
      </w:pPr>
      <w:r>
        <w:rPr>
          <w:rFonts w:cs="Times New Roman"/>
          <w:color w:val="000000"/>
          <w:w w:val="105"/>
          <w:szCs w:val="24"/>
        </w:rPr>
        <w:t>wchodzących w skład jednostki wytwórczej lub instalacji odbiorcy końcowego przyłączonej do sieci dystrybucyjnej OSDn.</w:t>
      </w:r>
    </w:p>
    <w:p w14:paraId="17787ACE" w14:textId="77777777" w:rsidR="00336AE2" w:rsidRDefault="00336AE2" w:rsidP="00336AE2">
      <w:pPr>
        <w:spacing w:before="118" w:line="252" w:lineRule="auto"/>
        <w:ind w:left="596" w:right="202" w:firstLine="2"/>
        <w:jc w:val="both"/>
        <w:rPr>
          <w:rFonts w:cs="Times New Roman"/>
          <w:color w:val="000000"/>
          <w:szCs w:val="24"/>
        </w:rPr>
      </w:pPr>
      <w:r>
        <w:rPr>
          <w:rFonts w:cs="Times New Roman"/>
          <w:color w:val="000000"/>
          <w:w w:val="105"/>
          <w:szCs w:val="24"/>
        </w:rPr>
        <w:t>Rejestr magazynów energii elektrycznej jest prowadzony zgodnie ze wzorem określonym w</w:t>
      </w:r>
      <w:r>
        <w:rPr>
          <w:rFonts w:cs="Times New Roman"/>
          <w:color w:val="000000"/>
          <w:spacing w:val="-18"/>
          <w:w w:val="105"/>
          <w:szCs w:val="24"/>
        </w:rPr>
        <w:t xml:space="preserve"> </w:t>
      </w:r>
      <w:r>
        <w:rPr>
          <w:rFonts w:cs="Times New Roman"/>
          <w:color w:val="000000"/>
          <w:w w:val="105"/>
          <w:szCs w:val="24"/>
        </w:rPr>
        <w:t>rozporządzeniu</w:t>
      </w:r>
      <w:r>
        <w:rPr>
          <w:rFonts w:cs="Times New Roman"/>
          <w:color w:val="000000"/>
          <w:spacing w:val="-12"/>
          <w:w w:val="105"/>
          <w:szCs w:val="24"/>
        </w:rPr>
        <w:t xml:space="preserve"> </w:t>
      </w:r>
      <w:r>
        <w:rPr>
          <w:rFonts w:cs="Times New Roman"/>
          <w:color w:val="000000"/>
          <w:w w:val="105"/>
          <w:szCs w:val="24"/>
        </w:rPr>
        <w:t>Ministra</w:t>
      </w:r>
      <w:r>
        <w:rPr>
          <w:rFonts w:cs="Times New Roman"/>
          <w:color w:val="000000"/>
          <w:spacing w:val="-6"/>
          <w:w w:val="105"/>
          <w:szCs w:val="24"/>
        </w:rPr>
        <w:t xml:space="preserve"> </w:t>
      </w:r>
      <w:r>
        <w:rPr>
          <w:rFonts w:cs="Times New Roman"/>
          <w:color w:val="000000"/>
          <w:w w:val="105"/>
          <w:szCs w:val="24"/>
        </w:rPr>
        <w:t>Klimatu</w:t>
      </w:r>
      <w:r>
        <w:rPr>
          <w:rFonts w:cs="Times New Roman"/>
          <w:color w:val="000000"/>
          <w:spacing w:val="-7"/>
          <w:w w:val="105"/>
          <w:szCs w:val="24"/>
        </w:rPr>
        <w:t xml:space="preserve"> </w:t>
      </w:r>
      <w:r>
        <w:rPr>
          <w:rFonts w:cs="Times New Roman"/>
          <w:color w:val="000000"/>
          <w:w w:val="105"/>
          <w:szCs w:val="24"/>
        </w:rPr>
        <w:t>i</w:t>
      </w:r>
      <w:r>
        <w:rPr>
          <w:rFonts w:cs="Times New Roman"/>
          <w:color w:val="000000"/>
          <w:spacing w:val="-12"/>
          <w:w w:val="105"/>
          <w:szCs w:val="24"/>
        </w:rPr>
        <w:t xml:space="preserve"> </w:t>
      </w:r>
      <w:r>
        <w:rPr>
          <w:rFonts w:cs="Times New Roman"/>
          <w:color w:val="000000"/>
          <w:w w:val="105"/>
          <w:szCs w:val="24"/>
        </w:rPr>
        <w:t>Środowiska</w:t>
      </w:r>
      <w:r>
        <w:rPr>
          <w:rFonts w:cs="Times New Roman"/>
          <w:color w:val="000000"/>
          <w:spacing w:val="-5"/>
          <w:w w:val="105"/>
          <w:szCs w:val="24"/>
        </w:rPr>
        <w:t xml:space="preserve"> </w:t>
      </w:r>
      <w:r>
        <w:rPr>
          <w:rFonts w:cs="Times New Roman"/>
          <w:color w:val="000000"/>
          <w:w w:val="105"/>
          <w:szCs w:val="24"/>
        </w:rPr>
        <w:t>z</w:t>
      </w:r>
      <w:r>
        <w:rPr>
          <w:rFonts w:cs="Times New Roman"/>
          <w:color w:val="000000"/>
          <w:spacing w:val="-22"/>
          <w:w w:val="105"/>
          <w:szCs w:val="24"/>
        </w:rPr>
        <w:t xml:space="preserve"> </w:t>
      </w:r>
      <w:r>
        <w:rPr>
          <w:rFonts w:cs="Times New Roman"/>
          <w:color w:val="000000"/>
          <w:w w:val="105"/>
          <w:szCs w:val="24"/>
        </w:rPr>
        <w:t>dnia</w:t>
      </w:r>
      <w:r>
        <w:rPr>
          <w:rFonts w:cs="Times New Roman"/>
          <w:color w:val="000000"/>
          <w:spacing w:val="-11"/>
          <w:w w:val="105"/>
          <w:szCs w:val="24"/>
        </w:rPr>
        <w:t xml:space="preserve"> </w:t>
      </w:r>
      <w:r>
        <w:rPr>
          <w:rFonts w:cs="Times New Roman"/>
          <w:color w:val="000000"/>
          <w:w w:val="105"/>
          <w:szCs w:val="24"/>
        </w:rPr>
        <w:t>21</w:t>
      </w:r>
      <w:r>
        <w:rPr>
          <w:rFonts w:cs="Times New Roman"/>
          <w:color w:val="000000"/>
          <w:spacing w:val="-9"/>
          <w:w w:val="105"/>
          <w:szCs w:val="24"/>
        </w:rPr>
        <w:t xml:space="preserve"> </w:t>
      </w:r>
      <w:r>
        <w:rPr>
          <w:rFonts w:cs="Times New Roman"/>
          <w:color w:val="000000"/>
          <w:w w:val="105"/>
          <w:szCs w:val="24"/>
        </w:rPr>
        <w:t>października</w:t>
      </w:r>
      <w:r>
        <w:rPr>
          <w:rFonts w:cs="Times New Roman"/>
          <w:color w:val="000000"/>
          <w:spacing w:val="4"/>
          <w:w w:val="105"/>
          <w:szCs w:val="24"/>
        </w:rPr>
        <w:t xml:space="preserve"> </w:t>
      </w:r>
      <w:r>
        <w:rPr>
          <w:rFonts w:cs="Times New Roman"/>
          <w:color w:val="000000"/>
          <w:w w:val="105"/>
          <w:szCs w:val="24"/>
        </w:rPr>
        <w:t>2021</w:t>
      </w:r>
      <w:r>
        <w:rPr>
          <w:rFonts w:cs="Times New Roman"/>
          <w:color w:val="000000"/>
          <w:spacing w:val="-8"/>
          <w:w w:val="105"/>
          <w:szCs w:val="24"/>
        </w:rPr>
        <w:t xml:space="preserve"> </w:t>
      </w:r>
      <w:r>
        <w:rPr>
          <w:rFonts w:cs="Times New Roman"/>
          <w:color w:val="000000"/>
          <w:w w:val="105"/>
          <w:szCs w:val="24"/>
        </w:rPr>
        <w:t>r.</w:t>
      </w:r>
      <w:r>
        <w:rPr>
          <w:rFonts w:cs="Times New Roman"/>
          <w:color w:val="000000"/>
          <w:spacing w:val="-15"/>
          <w:w w:val="105"/>
          <w:szCs w:val="24"/>
        </w:rPr>
        <w:t xml:space="preserve"> </w:t>
      </w:r>
      <w:r>
        <w:rPr>
          <w:rFonts w:cs="Times New Roman"/>
          <w:color w:val="000000"/>
          <w:w w:val="105"/>
          <w:szCs w:val="24"/>
        </w:rPr>
        <w:t>w</w:t>
      </w:r>
      <w:r>
        <w:rPr>
          <w:rFonts w:cs="Times New Roman"/>
          <w:color w:val="000000"/>
          <w:spacing w:val="-18"/>
          <w:w w:val="105"/>
          <w:szCs w:val="24"/>
        </w:rPr>
        <w:t xml:space="preserve"> </w:t>
      </w:r>
      <w:r>
        <w:rPr>
          <w:rFonts w:cs="Times New Roman"/>
          <w:color w:val="000000"/>
          <w:w w:val="105"/>
          <w:szCs w:val="24"/>
        </w:rPr>
        <w:t xml:space="preserve">sprawie rejestru magazynów energii elektrycznej (Dz. U. </w:t>
      </w:r>
      <w:r>
        <w:rPr>
          <w:rFonts w:cs="Times New Roman"/>
          <w:color w:val="000000"/>
          <w:w w:val="105"/>
          <w:szCs w:val="24"/>
        </w:rPr>
        <w:br/>
        <w:t>z 2021 r. poz.</w:t>
      </w:r>
      <w:r>
        <w:rPr>
          <w:rFonts w:cs="Times New Roman"/>
          <w:color w:val="000000"/>
          <w:spacing w:val="-9"/>
          <w:w w:val="105"/>
          <w:szCs w:val="24"/>
        </w:rPr>
        <w:t xml:space="preserve"> </w:t>
      </w:r>
      <w:r>
        <w:rPr>
          <w:rFonts w:cs="Times New Roman"/>
          <w:color w:val="000000"/>
          <w:w w:val="105"/>
          <w:szCs w:val="24"/>
        </w:rPr>
        <w:t>2010).</w:t>
      </w:r>
    </w:p>
    <w:p w14:paraId="582B7842" w14:textId="0560DC29" w:rsidR="00336AE2" w:rsidRPr="00C6089C" w:rsidRDefault="00336AE2">
      <w:pPr>
        <w:pStyle w:val="Akapitzlist"/>
        <w:numPr>
          <w:ilvl w:val="0"/>
          <w:numId w:val="282"/>
        </w:numPr>
        <w:spacing w:line="249" w:lineRule="auto"/>
        <w:ind w:left="567" w:right="202" w:hanging="567"/>
        <w:jc w:val="both"/>
        <w:rPr>
          <w:rFonts w:cs="Times New Roman"/>
          <w:color w:val="000000"/>
          <w:szCs w:val="24"/>
        </w:rPr>
      </w:pPr>
      <w:r w:rsidRPr="00C6089C">
        <w:rPr>
          <w:rFonts w:cs="Times New Roman"/>
          <w:color w:val="000000"/>
          <w:w w:val="105"/>
          <w:szCs w:val="24"/>
        </w:rPr>
        <w:t>Wpisowi do rejestru, o którym mowa w pkt I.5.1., podlegają magazyny energii elektrycznej o łącznej mocy zainstalowanej większej niż 50</w:t>
      </w:r>
      <w:r w:rsidRPr="00C6089C">
        <w:rPr>
          <w:rFonts w:cs="Times New Roman"/>
          <w:color w:val="000000"/>
          <w:spacing w:val="52"/>
          <w:w w:val="105"/>
          <w:szCs w:val="24"/>
        </w:rPr>
        <w:t xml:space="preserve"> </w:t>
      </w:r>
      <w:r w:rsidRPr="00C6089C">
        <w:rPr>
          <w:rFonts w:cs="Times New Roman"/>
          <w:color w:val="000000"/>
          <w:w w:val="105"/>
          <w:szCs w:val="24"/>
        </w:rPr>
        <w:t>kW.</w:t>
      </w:r>
    </w:p>
    <w:p w14:paraId="2DDC9197" w14:textId="1784A5A5" w:rsidR="00336AE2" w:rsidRDefault="00336AE2">
      <w:pPr>
        <w:pStyle w:val="Akapitzlist"/>
        <w:widowControl w:val="0"/>
        <w:numPr>
          <w:ilvl w:val="0"/>
          <w:numId w:val="282"/>
        </w:numPr>
        <w:autoSpaceDE w:val="0"/>
        <w:autoSpaceDN w:val="0"/>
        <w:spacing w:line="249" w:lineRule="auto"/>
        <w:ind w:left="567" w:right="202" w:hanging="567"/>
        <w:jc w:val="both"/>
        <w:rPr>
          <w:rFonts w:cs="Times New Roman"/>
          <w:color w:val="000000"/>
          <w:szCs w:val="24"/>
        </w:rPr>
      </w:pPr>
      <w:r>
        <w:rPr>
          <w:rFonts w:cs="Times New Roman"/>
          <w:color w:val="000000"/>
          <w:w w:val="105"/>
          <w:szCs w:val="24"/>
        </w:rPr>
        <w:t>OSDn wpisuje magazyn energii elektrycznej do rejestru, o którym mowa</w:t>
      </w:r>
      <w:r>
        <w:rPr>
          <w:rFonts w:cs="Times New Roman"/>
          <w:color w:val="000000"/>
          <w:spacing w:val="1"/>
          <w:w w:val="105"/>
          <w:szCs w:val="24"/>
        </w:rPr>
        <w:t xml:space="preserve"> </w:t>
      </w:r>
      <w:r>
        <w:rPr>
          <w:rFonts w:cs="Times New Roman"/>
          <w:color w:val="000000"/>
          <w:spacing w:val="1"/>
          <w:w w:val="105"/>
          <w:szCs w:val="24"/>
        </w:rPr>
        <w:br/>
      </w:r>
      <w:r>
        <w:rPr>
          <w:rFonts w:cs="Times New Roman"/>
          <w:color w:val="000000"/>
          <w:w w:val="105"/>
          <w:szCs w:val="24"/>
        </w:rPr>
        <w:t>w</w:t>
      </w:r>
      <w:r>
        <w:rPr>
          <w:rFonts w:cs="Times New Roman"/>
          <w:color w:val="000000"/>
          <w:spacing w:val="-1"/>
          <w:w w:val="105"/>
          <w:szCs w:val="24"/>
        </w:rPr>
        <w:t xml:space="preserve"> </w:t>
      </w:r>
      <w:r>
        <w:rPr>
          <w:rFonts w:cs="Times New Roman"/>
          <w:color w:val="000000"/>
          <w:w w:val="105"/>
          <w:szCs w:val="24"/>
        </w:rPr>
        <w:t>pkt</w:t>
      </w:r>
      <w:r>
        <w:rPr>
          <w:rFonts w:cs="Times New Roman"/>
          <w:color w:val="000000"/>
          <w:spacing w:val="-18"/>
          <w:w w:val="105"/>
          <w:szCs w:val="24"/>
        </w:rPr>
        <w:t xml:space="preserve"> I</w:t>
      </w:r>
      <w:r>
        <w:rPr>
          <w:rFonts w:cs="Times New Roman"/>
          <w:color w:val="000000"/>
          <w:w w:val="105"/>
          <w:szCs w:val="24"/>
        </w:rPr>
        <w:t>.5.l., w</w:t>
      </w:r>
      <w:r>
        <w:rPr>
          <w:rFonts w:cs="Times New Roman"/>
          <w:color w:val="000000"/>
          <w:spacing w:val="-13"/>
          <w:w w:val="105"/>
          <w:szCs w:val="24"/>
        </w:rPr>
        <w:t xml:space="preserve"> </w:t>
      </w:r>
      <w:r>
        <w:rPr>
          <w:rFonts w:cs="Times New Roman"/>
          <w:color w:val="000000"/>
          <w:w w:val="105"/>
          <w:szCs w:val="24"/>
        </w:rPr>
        <w:t>terminie</w:t>
      </w:r>
      <w:r>
        <w:rPr>
          <w:rFonts w:cs="Times New Roman"/>
          <w:color w:val="000000"/>
          <w:spacing w:val="7"/>
          <w:w w:val="105"/>
          <w:szCs w:val="24"/>
        </w:rPr>
        <w:t xml:space="preserve"> </w:t>
      </w:r>
      <w:r>
        <w:rPr>
          <w:rFonts w:cs="Times New Roman"/>
          <w:color w:val="000000"/>
          <w:w w:val="105"/>
          <w:szCs w:val="24"/>
        </w:rPr>
        <w:t>14</w:t>
      </w:r>
      <w:r>
        <w:rPr>
          <w:rFonts w:cs="Times New Roman"/>
          <w:color w:val="000000"/>
          <w:spacing w:val="-10"/>
          <w:w w:val="105"/>
          <w:szCs w:val="24"/>
        </w:rPr>
        <w:t xml:space="preserve"> </w:t>
      </w:r>
      <w:r>
        <w:rPr>
          <w:rFonts w:cs="Times New Roman"/>
          <w:color w:val="000000"/>
          <w:w w:val="105"/>
          <w:szCs w:val="24"/>
        </w:rPr>
        <w:t>dni</w:t>
      </w:r>
      <w:r>
        <w:rPr>
          <w:rFonts w:cs="Times New Roman"/>
          <w:color w:val="000000"/>
          <w:spacing w:val="5"/>
          <w:w w:val="105"/>
          <w:szCs w:val="24"/>
        </w:rPr>
        <w:t xml:space="preserve"> </w:t>
      </w:r>
      <w:r>
        <w:rPr>
          <w:rFonts w:cs="Times New Roman"/>
          <w:color w:val="000000"/>
          <w:w w:val="105"/>
          <w:szCs w:val="24"/>
        </w:rPr>
        <w:t>kalendarzowych</w:t>
      </w:r>
      <w:r>
        <w:rPr>
          <w:rFonts w:cs="Times New Roman"/>
          <w:color w:val="000000"/>
          <w:spacing w:val="-4"/>
          <w:w w:val="105"/>
          <w:szCs w:val="24"/>
        </w:rPr>
        <w:t xml:space="preserve"> </w:t>
      </w:r>
      <w:r>
        <w:rPr>
          <w:rFonts w:cs="Times New Roman"/>
          <w:color w:val="000000"/>
          <w:w w:val="105"/>
          <w:szCs w:val="24"/>
        </w:rPr>
        <w:t>od</w:t>
      </w:r>
      <w:r>
        <w:rPr>
          <w:rFonts w:cs="Times New Roman"/>
          <w:color w:val="000000"/>
          <w:spacing w:val="-2"/>
          <w:w w:val="105"/>
          <w:szCs w:val="24"/>
        </w:rPr>
        <w:t xml:space="preserve"> </w:t>
      </w:r>
      <w:r>
        <w:rPr>
          <w:rFonts w:cs="Times New Roman"/>
          <w:color w:val="000000"/>
          <w:w w:val="105"/>
          <w:szCs w:val="24"/>
        </w:rPr>
        <w:t>dnia</w:t>
      </w:r>
      <w:r>
        <w:rPr>
          <w:rFonts w:cs="Times New Roman"/>
          <w:color w:val="000000"/>
          <w:spacing w:val="-6"/>
          <w:w w:val="105"/>
          <w:szCs w:val="24"/>
        </w:rPr>
        <w:t xml:space="preserve"> </w:t>
      </w:r>
      <w:r>
        <w:rPr>
          <w:rFonts w:cs="Times New Roman"/>
          <w:color w:val="000000"/>
          <w:w w:val="105"/>
          <w:szCs w:val="24"/>
        </w:rPr>
        <w:t>oddania</w:t>
      </w:r>
      <w:r>
        <w:rPr>
          <w:rFonts w:cs="Times New Roman"/>
          <w:color w:val="000000"/>
          <w:spacing w:val="2"/>
          <w:w w:val="105"/>
          <w:szCs w:val="24"/>
        </w:rPr>
        <w:t xml:space="preserve"> </w:t>
      </w:r>
      <w:r>
        <w:rPr>
          <w:rFonts w:cs="Times New Roman"/>
          <w:color w:val="000000"/>
          <w:w w:val="105"/>
          <w:szCs w:val="24"/>
        </w:rPr>
        <w:t>tego</w:t>
      </w:r>
      <w:r>
        <w:rPr>
          <w:rFonts w:cs="Times New Roman"/>
          <w:color w:val="000000"/>
          <w:spacing w:val="-1"/>
          <w:w w:val="105"/>
          <w:szCs w:val="24"/>
        </w:rPr>
        <w:t xml:space="preserve"> </w:t>
      </w:r>
      <w:r>
        <w:rPr>
          <w:rFonts w:cs="Times New Roman"/>
          <w:color w:val="000000"/>
          <w:w w:val="105"/>
          <w:szCs w:val="24"/>
        </w:rPr>
        <w:t>magazynu</w:t>
      </w:r>
      <w:r>
        <w:rPr>
          <w:rFonts w:cs="Times New Roman"/>
          <w:color w:val="000000"/>
          <w:spacing w:val="19"/>
          <w:w w:val="105"/>
          <w:szCs w:val="24"/>
        </w:rPr>
        <w:t xml:space="preserve"> </w:t>
      </w:r>
      <w:r>
        <w:rPr>
          <w:rFonts w:cs="Times New Roman"/>
          <w:color w:val="000000"/>
          <w:w w:val="105"/>
          <w:szCs w:val="24"/>
        </w:rPr>
        <w:t>do eksploatacji lub otrzymania informacji, o której mowa w pkt</w:t>
      </w:r>
      <w:r>
        <w:rPr>
          <w:rFonts w:cs="Times New Roman"/>
          <w:color w:val="000000"/>
          <w:spacing w:val="32"/>
          <w:w w:val="105"/>
          <w:szCs w:val="24"/>
        </w:rPr>
        <w:t xml:space="preserve"> </w:t>
      </w:r>
      <w:r>
        <w:rPr>
          <w:rFonts w:cs="Times New Roman"/>
          <w:color w:val="000000"/>
          <w:w w:val="105"/>
          <w:szCs w:val="24"/>
        </w:rPr>
        <w:t>I.5.4.</w:t>
      </w:r>
    </w:p>
    <w:p w14:paraId="01CA08E7" w14:textId="77777777" w:rsidR="00336AE2" w:rsidRDefault="00336AE2" w:rsidP="00336AE2">
      <w:pPr>
        <w:spacing w:before="120" w:line="252" w:lineRule="auto"/>
        <w:ind w:left="606" w:right="202" w:firstLine="3"/>
        <w:jc w:val="both"/>
        <w:rPr>
          <w:rFonts w:cs="Times New Roman"/>
          <w:color w:val="000000"/>
          <w:szCs w:val="24"/>
        </w:rPr>
      </w:pPr>
      <w:r>
        <w:rPr>
          <w:rFonts w:cs="Times New Roman"/>
          <w:color w:val="000000"/>
          <w:w w:val="105"/>
          <w:szCs w:val="24"/>
        </w:rPr>
        <w:t>W</w:t>
      </w:r>
      <w:r>
        <w:rPr>
          <w:rFonts w:cs="Times New Roman"/>
          <w:color w:val="000000"/>
          <w:spacing w:val="-16"/>
          <w:w w:val="105"/>
          <w:szCs w:val="24"/>
        </w:rPr>
        <w:t xml:space="preserve"> </w:t>
      </w:r>
      <w:r>
        <w:rPr>
          <w:rFonts w:cs="Times New Roman"/>
          <w:color w:val="000000"/>
          <w:w w:val="105"/>
          <w:szCs w:val="24"/>
        </w:rPr>
        <w:t>przypadku</w:t>
      </w:r>
      <w:r>
        <w:rPr>
          <w:rFonts w:cs="Times New Roman"/>
          <w:color w:val="000000"/>
          <w:spacing w:val="-8"/>
          <w:w w:val="105"/>
          <w:szCs w:val="24"/>
        </w:rPr>
        <w:t xml:space="preserve"> </w:t>
      </w:r>
      <w:r>
        <w:rPr>
          <w:rFonts w:cs="Times New Roman"/>
          <w:color w:val="000000"/>
          <w:w w:val="105"/>
          <w:szCs w:val="24"/>
        </w:rPr>
        <w:t>gdy</w:t>
      </w:r>
      <w:r>
        <w:rPr>
          <w:rFonts w:cs="Times New Roman"/>
          <w:color w:val="000000"/>
          <w:spacing w:val="-13"/>
          <w:w w:val="105"/>
          <w:szCs w:val="24"/>
        </w:rPr>
        <w:t xml:space="preserve"> </w:t>
      </w:r>
      <w:r>
        <w:rPr>
          <w:rFonts w:cs="Times New Roman"/>
          <w:color w:val="000000"/>
          <w:w w:val="105"/>
          <w:szCs w:val="24"/>
        </w:rPr>
        <w:t>właściwym</w:t>
      </w:r>
      <w:r>
        <w:rPr>
          <w:rFonts w:cs="Times New Roman"/>
          <w:color w:val="000000"/>
          <w:spacing w:val="-5"/>
          <w:w w:val="105"/>
          <w:szCs w:val="24"/>
        </w:rPr>
        <w:t xml:space="preserve"> </w:t>
      </w:r>
      <w:r>
        <w:rPr>
          <w:rFonts w:cs="Times New Roman"/>
          <w:color w:val="000000"/>
          <w:w w:val="105"/>
          <w:szCs w:val="24"/>
        </w:rPr>
        <w:t>do</w:t>
      </w:r>
      <w:r>
        <w:rPr>
          <w:rFonts w:cs="Times New Roman"/>
          <w:color w:val="000000"/>
          <w:spacing w:val="-24"/>
          <w:w w:val="105"/>
          <w:szCs w:val="24"/>
        </w:rPr>
        <w:t xml:space="preserve"> </w:t>
      </w:r>
      <w:r>
        <w:rPr>
          <w:rFonts w:cs="Times New Roman"/>
          <w:color w:val="000000"/>
          <w:w w:val="105"/>
          <w:szCs w:val="24"/>
        </w:rPr>
        <w:t>dokonania</w:t>
      </w:r>
      <w:r>
        <w:rPr>
          <w:rFonts w:cs="Times New Roman"/>
          <w:color w:val="000000"/>
          <w:spacing w:val="-2"/>
          <w:w w:val="105"/>
          <w:szCs w:val="24"/>
        </w:rPr>
        <w:t xml:space="preserve"> </w:t>
      </w:r>
      <w:r>
        <w:rPr>
          <w:rFonts w:cs="Times New Roman"/>
          <w:color w:val="000000"/>
          <w:w w:val="105"/>
          <w:szCs w:val="24"/>
        </w:rPr>
        <w:t>wpisu</w:t>
      </w:r>
      <w:r>
        <w:rPr>
          <w:rFonts w:cs="Times New Roman"/>
          <w:color w:val="000000"/>
          <w:spacing w:val="-12"/>
          <w:w w:val="105"/>
          <w:szCs w:val="24"/>
        </w:rPr>
        <w:t xml:space="preserve"> </w:t>
      </w:r>
      <w:r>
        <w:rPr>
          <w:rFonts w:cs="Times New Roman"/>
          <w:color w:val="000000"/>
          <w:w w:val="105"/>
          <w:szCs w:val="24"/>
        </w:rPr>
        <w:t>do</w:t>
      </w:r>
      <w:r>
        <w:rPr>
          <w:rFonts w:cs="Times New Roman"/>
          <w:color w:val="000000"/>
          <w:spacing w:val="-19"/>
          <w:w w:val="105"/>
          <w:szCs w:val="24"/>
        </w:rPr>
        <w:t xml:space="preserve"> </w:t>
      </w:r>
      <w:r>
        <w:rPr>
          <w:rFonts w:cs="Times New Roman"/>
          <w:color w:val="000000"/>
          <w:w w:val="105"/>
          <w:szCs w:val="24"/>
        </w:rPr>
        <w:t>rejestru,</w:t>
      </w:r>
      <w:r>
        <w:rPr>
          <w:rFonts w:cs="Times New Roman"/>
          <w:color w:val="000000"/>
          <w:spacing w:val="-7"/>
          <w:w w:val="105"/>
          <w:szCs w:val="24"/>
        </w:rPr>
        <w:t xml:space="preserve"> </w:t>
      </w:r>
      <w:r>
        <w:rPr>
          <w:rFonts w:cs="Times New Roman"/>
          <w:color w:val="000000"/>
          <w:w w:val="105"/>
          <w:szCs w:val="24"/>
        </w:rPr>
        <w:t>o</w:t>
      </w:r>
      <w:r>
        <w:rPr>
          <w:rFonts w:cs="Times New Roman"/>
          <w:color w:val="000000"/>
          <w:spacing w:val="-21"/>
          <w:w w:val="105"/>
          <w:szCs w:val="24"/>
        </w:rPr>
        <w:t xml:space="preserve"> </w:t>
      </w:r>
      <w:r>
        <w:rPr>
          <w:rFonts w:cs="Times New Roman"/>
          <w:color w:val="000000"/>
          <w:w w:val="105"/>
          <w:szCs w:val="24"/>
        </w:rPr>
        <w:t>którym</w:t>
      </w:r>
      <w:r>
        <w:rPr>
          <w:rFonts w:cs="Times New Roman"/>
          <w:color w:val="000000"/>
          <w:spacing w:val="-13"/>
          <w:w w:val="105"/>
          <w:szCs w:val="24"/>
        </w:rPr>
        <w:t xml:space="preserve"> </w:t>
      </w:r>
      <w:r>
        <w:rPr>
          <w:rFonts w:cs="Times New Roman"/>
          <w:color w:val="000000"/>
          <w:w w:val="105"/>
          <w:szCs w:val="24"/>
        </w:rPr>
        <w:t>mowa</w:t>
      </w:r>
      <w:r>
        <w:rPr>
          <w:rFonts w:cs="Times New Roman"/>
          <w:color w:val="000000"/>
          <w:spacing w:val="-10"/>
          <w:w w:val="105"/>
          <w:szCs w:val="24"/>
        </w:rPr>
        <w:t xml:space="preserve"> </w:t>
      </w:r>
      <w:r>
        <w:rPr>
          <w:rFonts w:cs="Times New Roman"/>
          <w:color w:val="000000"/>
          <w:spacing w:val="-10"/>
          <w:w w:val="105"/>
          <w:szCs w:val="24"/>
        </w:rPr>
        <w:br/>
      </w:r>
      <w:r>
        <w:rPr>
          <w:rFonts w:cs="Times New Roman"/>
          <w:color w:val="000000"/>
          <w:w w:val="105"/>
          <w:szCs w:val="24"/>
        </w:rPr>
        <w:t>w</w:t>
      </w:r>
      <w:r>
        <w:rPr>
          <w:rFonts w:cs="Times New Roman"/>
          <w:color w:val="000000"/>
          <w:spacing w:val="-25"/>
          <w:w w:val="105"/>
          <w:szCs w:val="24"/>
        </w:rPr>
        <w:t xml:space="preserve"> </w:t>
      </w:r>
      <w:r>
        <w:rPr>
          <w:rFonts w:cs="Times New Roman"/>
          <w:color w:val="000000"/>
          <w:w w:val="105"/>
          <w:szCs w:val="24"/>
        </w:rPr>
        <w:t>pkt</w:t>
      </w:r>
      <w:r>
        <w:rPr>
          <w:rFonts w:cs="Times New Roman"/>
          <w:color w:val="000000"/>
          <w:spacing w:val="-27"/>
          <w:w w:val="105"/>
          <w:szCs w:val="24"/>
        </w:rPr>
        <w:t xml:space="preserve"> </w:t>
      </w:r>
      <w:r>
        <w:rPr>
          <w:rFonts w:cs="Times New Roman"/>
          <w:color w:val="000000"/>
          <w:w w:val="105"/>
          <w:szCs w:val="24"/>
        </w:rPr>
        <w:t>I.5.1., poza OSDn jest także inny operator systemu elektroenergetycznego, wpisu</w:t>
      </w:r>
      <w:r>
        <w:rPr>
          <w:rFonts w:cs="Times New Roman"/>
          <w:color w:val="000000"/>
          <w:spacing w:val="-2"/>
          <w:w w:val="105"/>
          <w:szCs w:val="24"/>
        </w:rPr>
        <w:t xml:space="preserve"> </w:t>
      </w:r>
      <w:r>
        <w:rPr>
          <w:rFonts w:cs="Times New Roman"/>
          <w:color w:val="000000"/>
          <w:w w:val="105"/>
          <w:szCs w:val="24"/>
        </w:rPr>
        <w:t>do</w:t>
      </w:r>
      <w:r>
        <w:rPr>
          <w:rFonts w:cs="Times New Roman"/>
          <w:color w:val="000000"/>
          <w:spacing w:val="-11"/>
          <w:w w:val="105"/>
          <w:szCs w:val="24"/>
        </w:rPr>
        <w:t xml:space="preserve"> </w:t>
      </w:r>
      <w:r>
        <w:rPr>
          <w:rFonts w:cs="Times New Roman"/>
          <w:color w:val="000000"/>
          <w:w w:val="105"/>
          <w:szCs w:val="24"/>
        </w:rPr>
        <w:t>rejestru</w:t>
      </w:r>
      <w:r>
        <w:rPr>
          <w:rFonts w:cs="Times New Roman"/>
          <w:color w:val="000000"/>
          <w:spacing w:val="-3"/>
          <w:w w:val="105"/>
          <w:szCs w:val="24"/>
        </w:rPr>
        <w:t xml:space="preserve"> </w:t>
      </w:r>
      <w:r>
        <w:rPr>
          <w:rFonts w:cs="Times New Roman"/>
          <w:color w:val="000000"/>
          <w:w w:val="105"/>
          <w:szCs w:val="24"/>
        </w:rPr>
        <w:t>dokonuje</w:t>
      </w:r>
      <w:r>
        <w:rPr>
          <w:rFonts w:cs="Times New Roman"/>
          <w:color w:val="000000"/>
          <w:spacing w:val="-8"/>
          <w:w w:val="105"/>
          <w:szCs w:val="24"/>
        </w:rPr>
        <w:t xml:space="preserve"> </w:t>
      </w:r>
      <w:r>
        <w:rPr>
          <w:rFonts w:cs="Times New Roman"/>
          <w:color w:val="000000"/>
          <w:w w:val="105"/>
          <w:szCs w:val="24"/>
        </w:rPr>
        <w:t>operator</w:t>
      </w:r>
      <w:r>
        <w:rPr>
          <w:rFonts w:cs="Times New Roman"/>
          <w:color w:val="000000"/>
          <w:spacing w:val="-5"/>
          <w:w w:val="105"/>
          <w:szCs w:val="24"/>
        </w:rPr>
        <w:t xml:space="preserve"> </w:t>
      </w:r>
      <w:r>
        <w:rPr>
          <w:rFonts w:cs="Times New Roman"/>
          <w:color w:val="000000"/>
          <w:w w:val="105"/>
          <w:szCs w:val="24"/>
        </w:rPr>
        <w:t>systemy</w:t>
      </w:r>
      <w:r>
        <w:rPr>
          <w:rFonts w:cs="Times New Roman"/>
          <w:color w:val="000000"/>
          <w:spacing w:val="-6"/>
          <w:w w:val="105"/>
          <w:szCs w:val="24"/>
        </w:rPr>
        <w:t xml:space="preserve"> </w:t>
      </w:r>
      <w:r>
        <w:rPr>
          <w:rFonts w:cs="Times New Roman"/>
          <w:color w:val="000000"/>
          <w:w w:val="105"/>
          <w:szCs w:val="24"/>
        </w:rPr>
        <w:t>dystrybucyjnego</w:t>
      </w:r>
      <w:r>
        <w:rPr>
          <w:rFonts w:cs="Times New Roman"/>
          <w:color w:val="000000"/>
          <w:spacing w:val="-15"/>
          <w:w w:val="105"/>
          <w:szCs w:val="24"/>
        </w:rPr>
        <w:t xml:space="preserve"> </w:t>
      </w:r>
      <w:r>
        <w:rPr>
          <w:rFonts w:cs="Times New Roman"/>
          <w:color w:val="000000"/>
          <w:w w:val="105"/>
          <w:szCs w:val="24"/>
        </w:rPr>
        <w:t>wskazany</w:t>
      </w:r>
      <w:r>
        <w:rPr>
          <w:rFonts w:cs="Times New Roman"/>
          <w:color w:val="000000"/>
          <w:spacing w:val="3"/>
          <w:w w:val="105"/>
          <w:szCs w:val="24"/>
        </w:rPr>
        <w:t xml:space="preserve"> </w:t>
      </w:r>
      <w:r>
        <w:rPr>
          <w:rFonts w:cs="Times New Roman"/>
          <w:color w:val="000000"/>
          <w:w w:val="105"/>
          <w:szCs w:val="24"/>
        </w:rPr>
        <w:t>przez</w:t>
      </w:r>
      <w:r>
        <w:rPr>
          <w:rFonts w:cs="Times New Roman"/>
          <w:color w:val="000000"/>
          <w:spacing w:val="-6"/>
          <w:w w:val="105"/>
          <w:szCs w:val="24"/>
        </w:rPr>
        <w:t xml:space="preserve"> </w:t>
      </w:r>
      <w:r>
        <w:rPr>
          <w:rFonts w:cs="Times New Roman"/>
          <w:color w:val="000000"/>
          <w:w w:val="105"/>
          <w:szCs w:val="24"/>
        </w:rPr>
        <w:t>posiadacza magazynu energii</w:t>
      </w:r>
      <w:r>
        <w:rPr>
          <w:rFonts w:cs="Times New Roman"/>
          <w:color w:val="000000"/>
          <w:spacing w:val="-23"/>
          <w:w w:val="105"/>
          <w:szCs w:val="24"/>
        </w:rPr>
        <w:t xml:space="preserve"> </w:t>
      </w:r>
      <w:r>
        <w:rPr>
          <w:rFonts w:cs="Times New Roman"/>
          <w:color w:val="000000"/>
          <w:w w:val="105"/>
          <w:szCs w:val="24"/>
        </w:rPr>
        <w:t>elektrycznej.</w:t>
      </w:r>
    </w:p>
    <w:p w14:paraId="099E2093" w14:textId="77777777" w:rsidR="00336AE2" w:rsidRDefault="00336AE2">
      <w:pPr>
        <w:pStyle w:val="Akapitzlist"/>
        <w:widowControl w:val="0"/>
        <w:numPr>
          <w:ilvl w:val="0"/>
          <w:numId w:val="282"/>
        </w:numPr>
        <w:autoSpaceDE w:val="0"/>
        <w:autoSpaceDN w:val="0"/>
        <w:spacing w:before="1" w:line="249" w:lineRule="auto"/>
        <w:ind w:left="567" w:right="202" w:hanging="567"/>
        <w:jc w:val="both"/>
        <w:rPr>
          <w:rFonts w:cs="Times New Roman"/>
          <w:color w:val="000000"/>
          <w:szCs w:val="24"/>
        </w:rPr>
      </w:pPr>
      <w:r>
        <w:rPr>
          <w:rFonts w:cs="Times New Roman"/>
          <w:color w:val="000000"/>
          <w:w w:val="105"/>
          <w:szCs w:val="24"/>
        </w:rPr>
        <w:t xml:space="preserve">I.5.4.W przypadku, gdy magazyn energii elektrycznej wchodzi w skład jednostki wytwórczej lub instalacji odbiorcy końcowego przyłączonej do sieci OSDn, posiadacz tego magazynu przekazuje OSDn informację, zgodnie z wzorem </w:t>
      </w:r>
      <w:r>
        <w:rPr>
          <w:rFonts w:cs="Times New Roman"/>
          <w:color w:val="000000"/>
          <w:w w:val="105"/>
          <w:szCs w:val="24"/>
        </w:rPr>
        <w:br/>
        <w:t xml:space="preserve">i zakresem określonym w przepisach wydanych na podstawie Ustawy, w terminie </w:t>
      </w:r>
      <w:r>
        <w:rPr>
          <w:rFonts w:cs="Times New Roman"/>
          <w:color w:val="000000"/>
          <w:w w:val="105"/>
          <w:szCs w:val="24"/>
        </w:rPr>
        <w:br/>
        <w:t>7 dni kalendarzowych od dnia oddania tego magazynu do</w:t>
      </w:r>
      <w:r>
        <w:rPr>
          <w:rFonts w:cs="Times New Roman"/>
          <w:color w:val="000000"/>
          <w:spacing w:val="19"/>
          <w:w w:val="105"/>
          <w:szCs w:val="24"/>
        </w:rPr>
        <w:t xml:space="preserve"> </w:t>
      </w:r>
      <w:r>
        <w:rPr>
          <w:rFonts w:cs="Times New Roman"/>
          <w:color w:val="000000"/>
          <w:w w:val="105"/>
          <w:szCs w:val="24"/>
        </w:rPr>
        <w:t>eksploatacji.</w:t>
      </w:r>
    </w:p>
    <w:p w14:paraId="4AD008A8" w14:textId="4D2EE1D7" w:rsidR="00336AE2" w:rsidRDefault="00336AE2">
      <w:pPr>
        <w:pStyle w:val="Akapitzlist"/>
        <w:widowControl w:val="0"/>
        <w:numPr>
          <w:ilvl w:val="0"/>
          <w:numId w:val="282"/>
        </w:numPr>
        <w:autoSpaceDE w:val="0"/>
        <w:autoSpaceDN w:val="0"/>
        <w:spacing w:before="1" w:line="249" w:lineRule="auto"/>
        <w:ind w:left="567" w:right="202" w:hanging="567"/>
        <w:jc w:val="both"/>
        <w:rPr>
          <w:rFonts w:cs="Times New Roman"/>
          <w:color w:val="000000"/>
          <w:szCs w:val="24"/>
        </w:rPr>
      </w:pPr>
      <w:r>
        <w:rPr>
          <w:rFonts w:cs="Times New Roman"/>
          <w:color w:val="000000"/>
          <w:w w:val="105"/>
          <w:szCs w:val="24"/>
        </w:rPr>
        <w:t>Rejestr, o którym mowa w pkt I.5.1., jest jawny i udostępniany przez OSDn na stronie internetowej, z wyłączeniem informacji stanowiących tajemnicę przedsiębiorstwa, które zastrzegł posiadacz magazynu energii elektrycznej, lub podlegających ochronie danych</w:t>
      </w:r>
      <w:r>
        <w:rPr>
          <w:rFonts w:cs="Times New Roman"/>
          <w:color w:val="000000"/>
          <w:spacing w:val="-29"/>
          <w:w w:val="105"/>
          <w:szCs w:val="24"/>
        </w:rPr>
        <w:t xml:space="preserve"> </w:t>
      </w:r>
      <w:r>
        <w:rPr>
          <w:rFonts w:cs="Times New Roman"/>
          <w:color w:val="000000"/>
          <w:w w:val="105"/>
          <w:szCs w:val="24"/>
        </w:rPr>
        <w:t>osobowych."</w:t>
      </w:r>
    </w:p>
    <w:p w14:paraId="11E310EA" w14:textId="77777777" w:rsidR="00336AE2" w:rsidRPr="00336AE2" w:rsidRDefault="00336AE2" w:rsidP="00336AE2">
      <w:pPr>
        <w:spacing w:line="252" w:lineRule="auto"/>
        <w:ind w:right="60"/>
        <w:jc w:val="both"/>
        <w:rPr>
          <w:rFonts w:cs="Times New Roman"/>
          <w:color w:val="000000"/>
          <w:w w:val="105"/>
          <w:szCs w:val="24"/>
        </w:rPr>
      </w:pPr>
    </w:p>
    <w:p w14:paraId="460FFF7A" w14:textId="77777777" w:rsidR="00572BA3" w:rsidRDefault="002C4CAD" w:rsidP="0008709D">
      <w:pPr>
        <w:pStyle w:val="Nagwek1"/>
        <w:ind w:left="709" w:hanging="709"/>
        <w:jc w:val="both"/>
      </w:pPr>
      <w:bookmarkStart w:id="12" w:name="_Toc141963869"/>
      <w:r>
        <w:t xml:space="preserve">II. </w:t>
      </w:r>
      <w:r w:rsidR="00572BA3">
        <w:t xml:space="preserve">PRZYŁĄCZANIE ORAZ PLANOWANIE ROZWOJU SIECI DYSTRYBUCYJNEJ </w:t>
      </w:r>
      <w:r w:rsidR="008A5CAF">
        <w:t>OSDn</w:t>
      </w:r>
      <w:bookmarkEnd w:id="12"/>
    </w:p>
    <w:p w14:paraId="6EC8C861" w14:textId="77777777" w:rsidR="00572BA3" w:rsidRDefault="00631D39" w:rsidP="0008709D">
      <w:pPr>
        <w:pStyle w:val="Nagwek2"/>
      </w:pPr>
      <w:bookmarkStart w:id="13" w:name="_Toc141963870"/>
      <w:r>
        <w:t>II</w:t>
      </w:r>
      <w:r w:rsidR="00572BA3">
        <w:t>.1.</w:t>
      </w:r>
      <w:r w:rsidR="00572BA3">
        <w:tab/>
        <w:t>ZASADY PRZYŁĄCZANIA</w:t>
      </w:r>
      <w:bookmarkEnd w:id="13"/>
    </w:p>
    <w:p w14:paraId="27BC2202" w14:textId="77777777" w:rsidR="00572BA3" w:rsidRDefault="00572BA3" w:rsidP="0008709D">
      <w:pPr>
        <w:rPr>
          <w:rFonts w:eastAsia="Times New Roman"/>
        </w:rPr>
      </w:pPr>
    </w:p>
    <w:p w14:paraId="77716870" w14:textId="77777777" w:rsidR="000F556E" w:rsidRPr="003B5EA2" w:rsidRDefault="00572BA3">
      <w:pPr>
        <w:numPr>
          <w:ilvl w:val="0"/>
          <w:numId w:val="229"/>
        </w:numPr>
        <w:ind w:right="40" w:hanging="780"/>
        <w:jc w:val="both"/>
        <w:rPr>
          <w:rFonts w:eastAsia="Times New Roman"/>
          <w:color w:val="000000"/>
          <w:szCs w:val="24"/>
        </w:rPr>
      </w:pPr>
      <w:r>
        <w:rPr>
          <w:rFonts w:eastAsia="Times New Roman"/>
        </w:rPr>
        <w:t xml:space="preserve">Przyłączanie </w:t>
      </w:r>
      <w:r w:rsidR="000F556E" w:rsidRPr="003B5EA2">
        <w:rPr>
          <w:rFonts w:eastAsia="Times New Roman"/>
          <w:color w:val="000000"/>
          <w:szCs w:val="24"/>
        </w:rPr>
        <w:t xml:space="preserve">do sieci dystrybucyjnej OSDn następuje na podstawie umowy </w:t>
      </w:r>
      <w:r w:rsidR="001860D7">
        <w:rPr>
          <w:rFonts w:eastAsia="Times New Roman"/>
          <w:color w:val="000000"/>
          <w:szCs w:val="24"/>
        </w:rPr>
        <w:br/>
      </w:r>
      <w:r w:rsidR="000F556E" w:rsidRPr="003B5EA2">
        <w:rPr>
          <w:rFonts w:eastAsia="Times New Roman"/>
          <w:color w:val="000000"/>
          <w:szCs w:val="24"/>
        </w:rPr>
        <w:t xml:space="preserve">o przyłączenie i po spełnieniu warunków przyłączenia, </w:t>
      </w:r>
      <w:r w:rsidR="000F556E" w:rsidRPr="001E5C7B">
        <w:rPr>
          <w:rFonts w:eastAsia="Times New Roman"/>
          <w:color w:val="000000"/>
          <w:szCs w:val="24"/>
        </w:rPr>
        <w:t xml:space="preserve">określonych przez OSDn albo na podstawie zgłoszenia przyłączenia mikroinstalacji, o którym mowa </w:t>
      </w:r>
      <w:r w:rsidR="00535173">
        <w:rPr>
          <w:rFonts w:eastAsia="Times New Roman"/>
          <w:color w:val="000000"/>
          <w:szCs w:val="24"/>
        </w:rPr>
        <w:br/>
      </w:r>
      <w:r w:rsidR="000F556E" w:rsidRPr="001E5C7B">
        <w:rPr>
          <w:rFonts w:eastAsia="Times New Roman"/>
          <w:color w:val="000000"/>
          <w:szCs w:val="24"/>
        </w:rPr>
        <w:t>w ppk</w:t>
      </w:r>
      <w:r w:rsidR="000F556E" w:rsidRPr="00BE64F7">
        <w:rPr>
          <w:rFonts w:eastAsia="Times New Roman"/>
          <w:color w:val="000000"/>
          <w:szCs w:val="24"/>
        </w:rPr>
        <w:t>t. II.1.</w:t>
      </w:r>
      <w:r w:rsidR="00BE64F7" w:rsidRPr="00BE64F7">
        <w:rPr>
          <w:rFonts w:eastAsia="Times New Roman"/>
          <w:color w:val="000000"/>
          <w:szCs w:val="24"/>
        </w:rPr>
        <w:t>1</w:t>
      </w:r>
      <w:r w:rsidR="000F556E" w:rsidRPr="00BE64F7">
        <w:rPr>
          <w:rFonts w:eastAsia="Times New Roman"/>
          <w:color w:val="000000"/>
          <w:szCs w:val="24"/>
        </w:rPr>
        <w:t>7.</w:t>
      </w:r>
    </w:p>
    <w:p w14:paraId="30ABB0B3" w14:textId="77777777" w:rsidR="00D326CC" w:rsidRDefault="00D326CC">
      <w:pPr>
        <w:pStyle w:val="Akapitzlist"/>
        <w:widowControl w:val="0"/>
        <w:numPr>
          <w:ilvl w:val="0"/>
          <w:numId w:val="229"/>
        </w:numPr>
        <w:autoSpaceDE w:val="0"/>
        <w:autoSpaceDN w:val="0"/>
        <w:ind w:left="709" w:right="62" w:hanging="709"/>
        <w:jc w:val="both"/>
        <w:rPr>
          <w:rFonts w:cs="Times New Roman"/>
          <w:color w:val="000000"/>
          <w:szCs w:val="24"/>
        </w:rPr>
      </w:pPr>
      <w:r>
        <w:rPr>
          <w:rFonts w:cs="Times New Roman"/>
          <w:color w:val="000000"/>
          <w:szCs w:val="24"/>
        </w:rPr>
        <w:t>Procedura przyłączenia do sieci dystrybucyjnej OSDn, z wyłączeniem mikroinstalacji przyłączanych na podstawie zgłoszenia,</w:t>
      </w:r>
      <w:r>
        <w:rPr>
          <w:rFonts w:cs="Times New Roman"/>
          <w:color w:val="000000"/>
          <w:spacing w:val="27"/>
          <w:szCs w:val="24"/>
        </w:rPr>
        <w:t xml:space="preserve"> </w:t>
      </w:r>
      <w:r>
        <w:rPr>
          <w:rFonts w:cs="Times New Roman"/>
          <w:color w:val="000000"/>
          <w:szCs w:val="24"/>
        </w:rPr>
        <w:t>obejmuje:</w:t>
      </w:r>
    </w:p>
    <w:p w14:paraId="45A69AD8" w14:textId="77777777" w:rsidR="00D326CC" w:rsidRDefault="00D326CC">
      <w:pPr>
        <w:pStyle w:val="Akapitzlist"/>
        <w:widowControl w:val="0"/>
        <w:numPr>
          <w:ilvl w:val="0"/>
          <w:numId w:val="283"/>
        </w:numPr>
        <w:tabs>
          <w:tab w:val="left" w:pos="868"/>
          <w:tab w:val="left" w:pos="9072"/>
        </w:tabs>
        <w:autoSpaceDE w:val="0"/>
        <w:autoSpaceDN w:val="0"/>
        <w:ind w:left="1134" w:right="62" w:hanging="425"/>
        <w:jc w:val="both"/>
        <w:rPr>
          <w:rFonts w:cs="Times New Roman"/>
          <w:color w:val="000000"/>
          <w:szCs w:val="24"/>
        </w:rPr>
      </w:pPr>
      <w:r>
        <w:rPr>
          <w:rFonts w:cs="Times New Roman"/>
          <w:color w:val="000000"/>
          <w:szCs w:val="24"/>
        </w:rPr>
        <w:t>pozyskanie przez podmiot od OSDn, wzoru wniosku o określenie warunków przyłączenia lub wzoru wniosku o określenie warunków przyłączania mikroinstalacji (dalej „wniosek dla mikroinstalacji"),</w:t>
      </w:r>
    </w:p>
    <w:p w14:paraId="238F25D0" w14:textId="77777777" w:rsidR="00D326CC" w:rsidRDefault="00D326CC">
      <w:pPr>
        <w:pStyle w:val="Akapitzlist"/>
        <w:widowControl w:val="0"/>
        <w:numPr>
          <w:ilvl w:val="0"/>
          <w:numId w:val="283"/>
        </w:numPr>
        <w:tabs>
          <w:tab w:val="left" w:pos="867"/>
          <w:tab w:val="left" w:pos="9072"/>
        </w:tabs>
        <w:autoSpaceDE w:val="0"/>
        <w:autoSpaceDN w:val="0"/>
        <w:ind w:left="1134" w:right="62" w:hanging="425"/>
        <w:jc w:val="both"/>
        <w:rPr>
          <w:rFonts w:cs="Times New Roman"/>
          <w:color w:val="000000"/>
          <w:szCs w:val="24"/>
        </w:rPr>
      </w:pPr>
      <w:r>
        <w:rPr>
          <w:rFonts w:cs="Times New Roman"/>
          <w:color w:val="000000"/>
          <w:szCs w:val="24"/>
        </w:rPr>
        <w:t>złożenie przez podmiot u OSDn, wniosku o określenie warunków przyłączenia wraz z wymaganymi załącznikami, zgodnego ze wzorem określonym przez OSDn. Wniosek składa się w formie pisemnej, dokumentowej.</w:t>
      </w:r>
    </w:p>
    <w:p w14:paraId="45AA7221" w14:textId="744AFE6F" w:rsidR="00D326CC" w:rsidRDefault="00D326CC">
      <w:pPr>
        <w:pStyle w:val="Akapitzlist"/>
        <w:widowControl w:val="0"/>
        <w:numPr>
          <w:ilvl w:val="0"/>
          <w:numId w:val="283"/>
        </w:numPr>
        <w:tabs>
          <w:tab w:val="left" w:pos="875"/>
          <w:tab w:val="left" w:pos="9072"/>
        </w:tabs>
        <w:autoSpaceDE w:val="0"/>
        <w:autoSpaceDN w:val="0"/>
        <w:ind w:left="1134" w:right="62" w:hanging="425"/>
        <w:jc w:val="both"/>
        <w:rPr>
          <w:rFonts w:cs="Times New Roman"/>
          <w:color w:val="000000"/>
          <w:szCs w:val="24"/>
        </w:rPr>
      </w:pPr>
      <w:r>
        <w:rPr>
          <w:rFonts w:cs="Times New Roman"/>
          <w:color w:val="000000"/>
          <w:szCs w:val="24"/>
        </w:rPr>
        <w:lastRenderedPageBreak/>
        <w:t xml:space="preserve">w przypadku wniosku dla mikroinstalacji, sporządza się go na piśmie utrwalonym </w:t>
      </w:r>
      <w:r w:rsidR="005828F9">
        <w:rPr>
          <w:rFonts w:cs="Times New Roman"/>
          <w:color w:val="000000"/>
          <w:szCs w:val="24"/>
        </w:rPr>
        <w:br/>
      </w:r>
      <w:r>
        <w:rPr>
          <w:rFonts w:cs="Times New Roman"/>
          <w:color w:val="000000"/>
          <w:szCs w:val="24"/>
        </w:rPr>
        <w:t>w postaci</w:t>
      </w:r>
      <w:r>
        <w:rPr>
          <w:rFonts w:cs="Times New Roman"/>
          <w:color w:val="000000"/>
          <w:spacing w:val="-1"/>
          <w:szCs w:val="24"/>
        </w:rPr>
        <w:t xml:space="preserve"> </w:t>
      </w:r>
      <w:r>
        <w:rPr>
          <w:rFonts w:cs="Times New Roman"/>
          <w:color w:val="000000"/>
          <w:szCs w:val="24"/>
        </w:rPr>
        <w:t>papierowej i składa</w:t>
      </w:r>
      <w:r>
        <w:rPr>
          <w:rFonts w:cs="Times New Roman"/>
          <w:color w:val="000000"/>
          <w:spacing w:val="-18"/>
          <w:szCs w:val="24"/>
        </w:rPr>
        <w:t xml:space="preserve"> </w:t>
      </w:r>
      <w:r>
        <w:rPr>
          <w:rFonts w:cs="Times New Roman"/>
          <w:color w:val="000000"/>
          <w:szCs w:val="24"/>
        </w:rPr>
        <w:t>się:</w:t>
      </w:r>
    </w:p>
    <w:p w14:paraId="36E94676" w14:textId="3AE7DA86" w:rsidR="00D326CC" w:rsidRDefault="00D326CC">
      <w:pPr>
        <w:pStyle w:val="Akapitzlist"/>
        <w:widowControl w:val="0"/>
        <w:numPr>
          <w:ilvl w:val="1"/>
          <w:numId w:val="283"/>
        </w:numPr>
        <w:tabs>
          <w:tab w:val="left" w:pos="1290"/>
          <w:tab w:val="left" w:pos="9072"/>
        </w:tabs>
        <w:autoSpaceDE w:val="0"/>
        <w:autoSpaceDN w:val="0"/>
        <w:ind w:left="1276" w:right="62" w:hanging="283"/>
        <w:jc w:val="both"/>
        <w:rPr>
          <w:rFonts w:cs="Times New Roman"/>
          <w:color w:val="000000"/>
          <w:szCs w:val="24"/>
        </w:rPr>
      </w:pPr>
      <w:r>
        <w:rPr>
          <w:rFonts w:cs="Times New Roman"/>
          <w:color w:val="000000"/>
          <w:szCs w:val="24"/>
        </w:rPr>
        <w:t xml:space="preserve">za pośrednictwem operatora wyznaczonego w rozumieniu art. 3 pkt 13 ustawy </w:t>
      </w:r>
      <w:r w:rsidR="003B0317">
        <w:rPr>
          <w:rFonts w:cs="Times New Roman"/>
          <w:color w:val="000000"/>
          <w:szCs w:val="24"/>
        </w:rPr>
        <w:br/>
      </w:r>
      <w:r>
        <w:rPr>
          <w:rFonts w:cs="Times New Roman"/>
          <w:color w:val="000000"/>
          <w:szCs w:val="24"/>
        </w:rPr>
        <w:t xml:space="preserve">z dnia 23 listopada 2012 r. - Prawo pocztowe (Dz. U. z 2020 r. poz. 1041 </w:t>
      </w:r>
      <w:r>
        <w:rPr>
          <w:rFonts w:cs="Times New Roman"/>
          <w:color w:val="000000"/>
          <w:szCs w:val="24"/>
        </w:rPr>
        <w:br/>
        <w:t>z późn. zm.)</w:t>
      </w:r>
      <w:r>
        <w:rPr>
          <w:rFonts w:cs="Times New Roman"/>
          <w:color w:val="000000"/>
          <w:spacing w:val="-19"/>
          <w:szCs w:val="24"/>
        </w:rPr>
        <w:t xml:space="preserve"> </w:t>
      </w:r>
      <w:r>
        <w:rPr>
          <w:rFonts w:cs="Times New Roman"/>
          <w:color w:val="000000"/>
          <w:szCs w:val="24"/>
        </w:rPr>
        <w:t>lub</w:t>
      </w:r>
      <w:r>
        <w:rPr>
          <w:rFonts w:cs="Times New Roman"/>
          <w:color w:val="000000"/>
          <w:spacing w:val="-19"/>
          <w:szCs w:val="24"/>
        </w:rPr>
        <w:t xml:space="preserve"> </w:t>
      </w:r>
      <w:r>
        <w:rPr>
          <w:rFonts w:cs="Times New Roman"/>
          <w:color w:val="000000"/>
          <w:szCs w:val="24"/>
        </w:rPr>
        <w:t>placówki</w:t>
      </w:r>
      <w:r>
        <w:rPr>
          <w:rFonts w:cs="Times New Roman"/>
          <w:color w:val="000000"/>
          <w:spacing w:val="-7"/>
          <w:szCs w:val="24"/>
        </w:rPr>
        <w:t xml:space="preserve"> </w:t>
      </w:r>
      <w:r>
        <w:rPr>
          <w:rFonts w:cs="Times New Roman"/>
          <w:color w:val="000000"/>
          <w:szCs w:val="24"/>
        </w:rPr>
        <w:t>pocztowej</w:t>
      </w:r>
      <w:r>
        <w:rPr>
          <w:rFonts w:cs="Times New Roman"/>
          <w:color w:val="000000"/>
          <w:spacing w:val="-7"/>
          <w:szCs w:val="24"/>
        </w:rPr>
        <w:t xml:space="preserve"> </w:t>
      </w:r>
      <w:r>
        <w:rPr>
          <w:rFonts w:cs="Times New Roman"/>
          <w:color w:val="000000"/>
          <w:szCs w:val="24"/>
        </w:rPr>
        <w:t>operatora</w:t>
      </w:r>
      <w:r>
        <w:rPr>
          <w:rFonts w:cs="Times New Roman"/>
          <w:color w:val="000000"/>
          <w:spacing w:val="-15"/>
          <w:szCs w:val="24"/>
        </w:rPr>
        <w:t xml:space="preserve"> </w:t>
      </w:r>
      <w:r>
        <w:rPr>
          <w:rFonts w:cs="Times New Roman"/>
          <w:color w:val="000000"/>
          <w:szCs w:val="24"/>
        </w:rPr>
        <w:t>świadczącego</w:t>
      </w:r>
      <w:r>
        <w:rPr>
          <w:rFonts w:cs="Times New Roman"/>
          <w:color w:val="000000"/>
          <w:spacing w:val="-1"/>
          <w:szCs w:val="24"/>
        </w:rPr>
        <w:t xml:space="preserve"> </w:t>
      </w:r>
      <w:r>
        <w:rPr>
          <w:rFonts w:cs="Times New Roman"/>
          <w:color w:val="000000"/>
          <w:szCs w:val="24"/>
        </w:rPr>
        <w:t>pocztowe</w:t>
      </w:r>
      <w:r>
        <w:rPr>
          <w:rFonts w:cs="Times New Roman"/>
          <w:color w:val="000000"/>
          <w:spacing w:val="-12"/>
          <w:szCs w:val="24"/>
        </w:rPr>
        <w:t xml:space="preserve"> </w:t>
      </w:r>
      <w:r>
        <w:rPr>
          <w:rFonts w:cs="Times New Roman"/>
          <w:color w:val="000000"/>
          <w:szCs w:val="24"/>
        </w:rPr>
        <w:t>usługi</w:t>
      </w:r>
      <w:r>
        <w:rPr>
          <w:rFonts w:cs="Times New Roman"/>
          <w:color w:val="000000"/>
          <w:spacing w:val="-10"/>
          <w:szCs w:val="24"/>
        </w:rPr>
        <w:t xml:space="preserve"> </w:t>
      </w:r>
      <w:r>
        <w:rPr>
          <w:rFonts w:cs="Times New Roman"/>
          <w:color w:val="000000"/>
          <w:szCs w:val="24"/>
        </w:rPr>
        <w:t>powszechne w innym państwie członkowskim Unii Europejskiej, Konfederacji Szwajcarskiej, państwie</w:t>
      </w:r>
      <w:r>
        <w:rPr>
          <w:rFonts w:cs="Times New Roman"/>
          <w:color w:val="000000"/>
          <w:spacing w:val="-15"/>
          <w:szCs w:val="24"/>
        </w:rPr>
        <w:t xml:space="preserve"> </w:t>
      </w:r>
      <w:r>
        <w:rPr>
          <w:rFonts w:cs="Times New Roman"/>
          <w:color w:val="000000"/>
          <w:szCs w:val="24"/>
        </w:rPr>
        <w:t>członkowskim</w:t>
      </w:r>
      <w:r>
        <w:rPr>
          <w:rFonts w:cs="Times New Roman"/>
          <w:color w:val="000000"/>
          <w:spacing w:val="-9"/>
          <w:szCs w:val="24"/>
        </w:rPr>
        <w:t xml:space="preserve"> </w:t>
      </w:r>
      <w:r>
        <w:rPr>
          <w:rFonts w:cs="Times New Roman"/>
          <w:color w:val="000000"/>
          <w:szCs w:val="24"/>
        </w:rPr>
        <w:t>Europejskiego Porozumienia</w:t>
      </w:r>
      <w:r>
        <w:rPr>
          <w:rFonts w:cs="Times New Roman"/>
          <w:color w:val="000000"/>
          <w:spacing w:val="-2"/>
          <w:szCs w:val="24"/>
        </w:rPr>
        <w:t xml:space="preserve"> </w:t>
      </w:r>
      <w:r>
        <w:rPr>
          <w:rFonts w:cs="Times New Roman"/>
          <w:color w:val="000000"/>
          <w:spacing w:val="-2"/>
          <w:szCs w:val="24"/>
        </w:rPr>
        <w:br/>
      </w:r>
      <w:r>
        <w:rPr>
          <w:rFonts w:cs="Times New Roman"/>
          <w:color w:val="000000"/>
          <w:szCs w:val="24"/>
        </w:rPr>
        <w:t>o</w:t>
      </w:r>
      <w:r>
        <w:rPr>
          <w:rFonts w:cs="Times New Roman"/>
          <w:color w:val="000000"/>
          <w:spacing w:val="-17"/>
          <w:szCs w:val="24"/>
        </w:rPr>
        <w:t xml:space="preserve"> </w:t>
      </w:r>
      <w:r>
        <w:rPr>
          <w:rFonts w:cs="Times New Roman"/>
          <w:color w:val="000000"/>
          <w:szCs w:val="24"/>
        </w:rPr>
        <w:t>Wolnym</w:t>
      </w:r>
      <w:r>
        <w:rPr>
          <w:rFonts w:cs="Times New Roman"/>
          <w:color w:val="000000"/>
          <w:spacing w:val="-6"/>
          <w:szCs w:val="24"/>
        </w:rPr>
        <w:t xml:space="preserve"> </w:t>
      </w:r>
      <w:r>
        <w:rPr>
          <w:rFonts w:cs="Times New Roman"/>
          <w:color w:val="000000"/>
          <w:szCs w:val="24"/>
        </w:rPr>
        <w:t>Handlu</w:t>
      </w:r>
      <w:r>
        <w:rPr>
          <w:rFonts w:cs="Times New Roman"/>
          <w:color w:val="000000"/>
          <w:spacing w:val="-7"/>
          <w:szCs w:val="24"/>
        </w:rPr>
        <w:t xml:space="preserve"> </w:t>
      </w:r>
      <w:r>
        <w:rPr>
          <w:rFonts w:cs="Times New Roman"/>
          <w:color w:val="000000"/>
          <w:szCs w:val="24"/>
        </w:rPr>
        <w:t>(EFTA)</w:t>
      </w:r>
      <w:r>
        <w:rPr>
          <w:rFonts w:cs="Times New Roman"/>
          <w:color w:val="000000"/>
          <w:spacing w:val="-31"/>
          <w:szCs w:val="24"/>
        </w:rPr>
        <w:t xml:space="preserve"> </w:t>
      </w:r>
      <w:r>
        <w:rPr>
          <w:rFonts w:cs="Times New Roman"/>
          <w:color w:val="000000"/>
          <w:szCs w:val="24"/>
        </w:rPr>
        <w:t xml:space="preserve">- stronie umowy o Europejskim Obszarze Gospodarczym, </w:t>
      </w:r>
    </w:p>
    <w:p w14:paraId="2E40FAFB" w14:textId="77777777" w:rsidR="00D326CC" w:rsidRDefault="00D326CC" w:rsidP="00050CB6">
      <w:pPr>
        <w:pStyle w:val="Akapitzlist"/>
        <w:widowControl w:val="0"/>
        <w:tabs>
          <w:tab w:val="left" w:pos="1290"/>
        </w:tabs>
        <w:autoSpaceDE w:val="0"/>
        <w:autoSpaceDN w:val="0"/>
        <w:ind w:left="1276" w:right="62" w:hanging="283"/>
        <w:jc w:val="both"/>
        <w:rPr>
          <w:rFonts w:cs="Times New Roman"/>
          <w:color w:val="000000"/>
          <w:szCs w:val="24"/>
        </w:rPr>
      </w:pPr>
      <w:r>
        <w:rPr>
          <w:rFonts w:cs="Times New Roman"/>
          <w:color w:val="000000"/>
          <w:szCs w:val="24"/>
        </w:rPr>
        <w:t>lub</w:t>
      </w:r>
    </w:p>
    <w:p w14:paraId="0DE9280F" w14:textId="77777777" w:rsidR="00D326CC" w:rsidRDefault="00D326CC">
      <w:pPr>
        <w:pStyle w:val="Akapitzlist"/>
        <w:widowControl w:val="0"/>
        <w:numPr>
          <w:ilvl w:val="1"/>
          <w:numId w:val="283"/>
        </w:numPr>
        <w:tabs>
          <w:tab w:val="left" w:pos="1290"/>
          <w:tab w:val="left" w:pos="9072"/>
        </w:tabs>
        <w:autoSpaceDE w:val="0"/>
        <w:autoSpaceDN w:val="0"/>
        <w:ind w:left="1276" w:right="62" w:hanging="283"/>
        <w:jc w:val="both"/>
        <w:rPr>
          <w:rFonts w:cs="Times New Roman"/>
          <w:color w:val="000000"/>
          <w:szCs w:val="24"/>
        </w:rPr>
      </w:pPr>
      <w:r>
        <w:rPr>
          <w:rFonts w:cs="Times New Roman"/>
          <w:color w:val="000000"/>
          <w:szCs w:val="24"/>
        </w:rPr>
        <w:t>osobiście w siedzibie OSDn.</w:t>
      </w:r>
    </w:p>
    <w:p w14:paraId="44B275C1" w14:textId="77777777" w:rsidR="00D326CC" w:rsidRDefault="00D326CC">
      <w:pPr>
        <w:pStyle w:val="Akapitzlist"/>
        <w:widowControl w:val="0"/>
        <w:numPr>
          <w:ilvl w:val="0"/>
          <w:numId w:val="283"/>
        </w:numPr>
        <w:tabs>
          <w:tab w:val="left" w:pos="851"/>
        </w:tabs>
        <w:autoSpaceDE w:val="0"/>
        <w:autoSpaceDN w:val="0"/>
        <w:ind w:left="851" w:right="62" w:hanging="284"/>
        <w:jc w:val="both"/>
        <w:rPr>
          <w:rFonts w:cs="Times New Roman"/>
          <w:color w:val="000000"/>
          <w:szCs w:val="24"/>
        </w:rPr>
      </w:pPr>
      <w:r>
        <w:rPr>
          <w:rFonts w:cs="Times New Roman"/>
          <w:color w:val="000000"/>
          <w:szCs w:val="24"/>
        </w:rPr>
        <w:t>w</w:t>
      </w:r>
      <w:r>
        <w:rPr>
          <w:rFonts w:cs="Times New Roman"/>
          <w:color w:val="000000"/>
          <w:spacing w:val="-20"/>
          <w:szCs w:val="24"/>
        </w:rPr>
        <w:t xml:space="preserve"> </w:t>
      </w:r>
      <w:r>
        <w:rPr>
          <w:rFonts w:cs="Times New Roman"/>
          <w:color w:val="000000"/>
          <w:szCs w:val="24"/>
        </w:rPr>
        <w:t>przypadku</w:t>
      </w:r>
      <w:r>
        <w:rPr>
          <w:rFonts w:cs="Times New Roman"/>
          <w:color w:val="000000"/>
          <w:spacing w:val="-5"/>
          <w:szCs w:val="24"/>
        </w:rPr>
        <w:t xml:space="preserve"> </w:t>
      </w:r>
      <w:r>
        <w:rPr>
          <w:rFonts w:cs="Times New Roman"/>
          <w:color w:val="000000"/>
          <w:szCs w:val="24"/>
        </w:rPr>
        <w:t>podmiotów</w:t>
      </w:r>
      <w:r>
        <w:rPr>
          <w:rFonts w:cs="Times New Roman"/>
          <w:color w:val="000000"/>
          <w:spacing w:val="5"/>
          <w:szCs w:val="24"/>
        </w:rPr>
        <w:t xml:space="preserve"> </w:t>
      </w:r>
      <w:r>
        <w:rPr>
          <w:rFonts w:cs="Times New Roman"/>
          <w:color w:val="000000"/>
          <w:szCs w:val="24"/>
        </w:rPr>
        <w:t>ubiegających</w:t>
      </w:r>
      <w:r>
        <w:rPr>
          <w:rFonts w:cs="Times New Roman"/>
          <w:color w:val="000000"/>
          <w:spacing w:val="-4"/>
          <w:szCs w:val="24"/>
        </w:rPr>
        <w:t xml:space="preserve"> </w:t>
      </w:r>
      <w:r>
        <w:rPr>
          <w:rFonts w:cs="Times New Roman"/>
          <w:color w:val="000000"/>
          <w:szCs w:val="24"/>
        </w:rPr>
        <w:t>się</w:t>
      </w:r>
      <w:r>
        <w:rPr>
          <w:rFonts w:cs="Times New Roman"/>
          <w:color w:val="000000"/>
          <w:spacing w:val="-18"/>
          <w:szCs w:val="24"/>
        </w:rPr>
        <w:t xml:space="preserve"> </w:t>
      </w:r>
      <w:r>
        <w:rPr>
          <w:rFonts w:cs="Times New Roman"/>
          <w:color w:val="000000"/>
          <w:szCs w:val="24"/>
        </w:rPr>
        <w:t>o</w:t>
      </w:r>
      <w:r>
        <w:rPr>
          <w:rFonts w:cs="Times New Roman"/>
          <w:color w:val="000000"/>
          <w:spacing w:val="-14"/>
          <w:szCs w:val="24"/>
        </w:rPr>
        <w:t xml:space="preserve"> </w:t>
      </w:r>
      <w:r>
        <w:rPr>
          <w:rFonts w:cs="Times New Roman"/>
          <w:color w:val="000000"/>
          <w:szCs w:val="24"/>
        </w:rPr>
        <w:t>przyłączenie</w:t>
      </w:r>
      <w:r>
        <w:rPr>
          <w:rFonts w:cs="Times New Roman"/>
          <w:color w:val="000000"/>
          <w:spacing w:val="-1"/>
          <w:szCs w:val="24"/>
        </w:rPr>
        <w:t xml:space="preserve"> </w:t>
      </w:r>
      <w:r>
        <w:rPr>
          <w:rFonts w:cs="Times New Roman"/>
          <w:color w:val="000000"/>
          <w:szCs w:val="24"/>
        </w:rPr>
        <w:t>źródła</w:t>
      </w:r>
      <w:r>
        <w:rPr>
          <w:rFonts w:cs="Times New Roman"/>
          <w:color w:val="000000"/>
          <w:spacing w:val="-16"/>
          <w:szCs w:val="24"/>
        </w:rPr>
        <w:t xml:space="preserve"> </w:t>
      </w:r>
      <w:r>
        <w:rPr>
          <w:rFonts w:cs="Times New Roman"/>
          <w:color w:val="000000"/>
          <w:szCs w:val="24"/>
        </w:rPr>
        <w:t>energii</w:t>
      </w:r>
      <w:r>
        <w:rPr>
          <w:rFonts w:cs="Times New Roman"/>
          <w:color w:val="000000"/>
          <w:spacing w:val="-8"/>
          <w:szCs w:val="24"/>
        </w:rPr>
        <w:t xml:space="preserve"> </w:t>
      </w:r>
      <w:r>
        <w:rPr>
          <w:rFonts w:cs="Times New Roman"/>
          <w:color w:val="000000"/>
          <w:szCs w:val="24"/>
        </w:rPr>
        <w:t>elektrycznej</w:t>
      </w:r>
      <w:r>
        <w:rPr>
          <w:rFonts w:cs="Times New Roman"/>
          <w:color w:val="000000"/>
          <w:spacing w:val="-3"/>
          <w:szCs w:val="24"/>
        </w:rPr>
        <w:t xml:space="preserve"> </w:t>
      </w:r>
      <w:r>
        <w:rPr>
          <w:rFonts w:cs="Times New Roman"/>
          <w:color w:val="000000"/>
          <w:szCs w:val="24"/>
        </w:rPr>
        <w:t>do sieci</w:t>
      </w:r>
      <w:r>
        <w:rPr>
          <w:rFonts w:cs="Times New Roman"/>
          <w:color w:val="000000"/>
          <w:spacing w:val="-19"/>
          <w:szCs w:val="24"/>
        </w:rPr>
        <w:t xml:space="preserve"> </w:t>
      </w:r>
      <w:r>
        <w:rPr>
          <w:rFonts w:cs="Times New Roman"/>
          <w:color w:val="000000"/>
          <w:szCs w:val="24"/>
        </w:rPr>
        <w:t>elektroenergetycznej</w:t>
      </w:r>
      <w:r>
        <w:rPr>
          <w:rFonts w:cs="Times New Roman"/>
          <w:color w:val="000000"/>
          <w:spacing w:val="-27"/>
          <w:szCs w:val="24"/>
        </w:rPr>
        <w:t xml:space="preserve"> </w:t>
      </w:r>
      <w:r>
        <w:rPr>
          <w:rFonts w:cs="Times New Roman"/>
          <w:color w:val="000000"/>
          <w:szCs w:val="24"/>
        </w:rPr>
        <w:t>o</w:t>
      </w:r>
      <w:r>
        <w:rPr>
          <w:rFonts w:cs="Times New Roman"/>
          <w:color w:val="000000"/>
          <w:spacing w:val="-18"/>
          <w:szCs w:val="24"/>
        </w:rPr>
        <w:t xml:space="preserve"> </w:t>
      </w:r>
      <w:r>
        <w:rPr>
          <w:rFonts w:cs="Times New Roman"/>
          <w:color w:val="000000"/>
          <w:szCs w:val="24"/>
        </w:rPr>
        <w:t>napięciu</w:t>
      </w:r>
      <w:r>
        <w:rPr>
          <w:rFonts w:cs="Times New Roman"/>
          <w:color w:val="000000"/>
          <w:spacing w:val="-3"/>
          <w:szCs w:val="24"/>
        </w:rPr>
        <w:t xml:space="preserve"> </w:t>
      </w:r>
      <w:r>
        <w:rPr>
          <w:rFonts w:cs="Times New Roman"/>
          <w:color w:val="000000"/>
          <w:szCs w:val="24"/>
        </w:rPr>
        <w:t>znamionowym</w:t>
      </w:r>
      <w:r>
        <w:rPr>
          <w:rFonts w:cs="Times New Roman"/>
          <w:color w:val="000000"/>
          <w:spacing w:val="-4"/>
          <w:szCs w:val="24"/>
        </w:rPr>
        <w:t xml:space="preserve"> </w:t>
      </w:r>
      <w:r>
        <w:rPr>
          <w:rFonts w:cs="Times New Roman"/>
          <w:color w:val="000000"/>
          <w:szCs w:val="24"/>
        </w:rPr>
        <w:t>wyższym</w:t>
      </w:r>
      <w:r>
        <w:rPr>
          <w:rFonts w:cs="Times New Roman"/>
          <w:color w:val="000000"/>
          <w:spacing w:val="-12"/>
          <w:szCs w:val="24"/>
        </w:rPr>
        <w:t xml:space="preserve"> </w:t>
      </w:r>
      <w:r>
        <w:rPr>
          <w:rFonts w:cs="Times New Roman"/>
          <w:color w:val="000000"/>
          <w:szCs w:val="24"/>
        </w:rPr>
        <w:t>niż</w:t>
      </w:r>
      <w:r>
        <w:rPr>
          <w:rFonts w:cs="Times New Roman"/>
          <w:color w:val="000000"/>
          <w:spacing w:val="-21"/>
          <w:szCs w:val="24"/>
        </w:rPr>
        <w:t xml:space="preserve"> </w:t>
      </w:r>
      <w:r>
        <w:rPr>
          <w:rFonts w:cs="Times New Roman"/>
          <w:color w:val="000000"/>
          <w:szCs w:val="24"/>
        </w:rPr>
        <w:t>1</w:t>
      </w:r>
      <w:r>
        <w:rPr>
          <w:rFonts w:cs="Times New Roman"/>
          <w:color w:val="000000"/>
          <w:spacing w:val="-16"/>
          <w:szCs w:val="24"/>
        </w:rPr>
        <w:t xml:space="preserve"> </w:t>
      </w:r>
      <w:r>
        <w:rPr>
          <w:rFonts w:cs="Times New Roman"/>
          <w:color w:val="000000"/>
          <w:szCs w:val="24"/>
        </w:rPr>
        <w:t>kV</w:t>
      </w:r>
      <w:r>
        <w:rPr>
          <w:rFonts w:cs="Times New Roman"/>
          <w:color w:val="000000"/>
          <w:spacing w:val="-14"/>
          <w:szCs w:val="24"/>
        </w:rPr>
        <w:t xml:space="preserve"> </w:t>
      </w:r>
      <w:r>
        <w:rPr>
          <w:rFonts w:cs="Times New Roman"/>
          <w:color w:val="000000"/>
          <w:spacing w:val="-14"/>
          <w:szCs w:val="24"/>
        </w:rPr>
        <w:br/>
      </w:r>
      <w:r>
        <w:rPr>
          <w:rFonts w:cs="Times New Roman"/>
          <w:color w:val="000000"/>
          <w:szCs w:val="24"/>
        </w:rPr>
        <w:t>(z</w:t>
      </w:r>
      <w:r>
        <w:rPr>
          <w:rFonts w:cs="Times New Roman"/>
          <w:color w:val="000000"/>
          <w:spacing w:val="-25"/>
          <w:szCs w:val="24"/>
        </w:rPr>
        <w:t xml:space="preserve"> </w:t>
      </w:r>
      <w:r>
        <w:rPr>
          <w:rFonts w:cs="Times New Roman"/>
          <w:color w:val="000000"/>
          <w:szCs w:val="24"/>
        </w:rPr>
        <w:t>wyłączeniem przypadków określonych w Ustawie) wpłacenie na rachunek bankowy wskazany</w:t>
      </w:r>
      <w:r>
        <w:rPr>
          <w:rFonts w:cs="Times New Roman"/>
          <w:color w:val="000000"/>
          <w:spacing w:val="-37"/>
          <w:szCs w:val="24"/>
        </w:rPr>
        <w:t xml:space="preserve"> </w:t>
      </w:r>
      <w:r>
        <w:rPr>
          <w:rFonts w:cs="Times New Roman"/>
          <w:color w:val="000000"/>
          <w:szCs w:val="24"/>
        </w:rPr>
        <w:t xml:space="preserve">przez OSDn, zaliczki na poczet opłaty za przyłączenie do </w:t>
      </w:r>
      <w:r>
        <w:rPr>
          <w:rFonts w:cs="Times New Roman"/>
          <w:color w:val="000000"/>
          <w:spacing w:val="3"/>
          <w:szCs w:val="24"/>
        </w:rPr>
        <w:t>sieci.</w:t>
      </w:r>
      <w:r>
        <w:rPr>
          <w:rFonts w:cs="Times New Roman"/>
          <w:color w:val="000000"/>
          <w:spacing w:val="-19"/>
          <w:szCs w:val="24"/>
        </w:rPr>
        <w:t xml:space="preserve"> </w:t>
      </w:r>
    </w:p>
    <w:p w14:paraId="0D5C50B2" w14:textId="77777777" w:rsidR="00D326CC" w:rsidRDefault="00D326CC" w:rsidP="00C46F12">
      <w:pPr>
        <w:pStyle w:val="Akapitzlist"/>
        <w:widowControl w:val="0"/>
        <w:autoSpaceDE w:val="0"/>
        <w:autoSpaceDN w:val="0"/>
        <w:ind w:left="851" w:right="62"/>
        <w:jc w:val="both"/>
        <w:rPr>
          <w:rFonts w:cs="Times New Roman"/>
          <w:color w:val="000000"/>
          <w:szCs w:val="24"/>
        </w:rPr>
      </w:pPr>
      <w:r>
        <w:rPr>
          <w:rFonts w:cs="Times New Roman"/>
          <w:color w:val="000000"/>
          <w:szCs w:val="24"/>
        </w:rPr>
        <w:t xml:space="preserve">Zaliczkę </w:t>
      </w:r>
      <w:r>
        <w:rPr>
          <w:rFonts w:cs="Times New Roman"/>
          <w:color w:val="000000"/>
          <w:w w:val="105"/>
          <w:szCs w:val="24"/>
        </w:rPr>
        <w:t xml:space="preserve">wnosi się w ciągu 14 dni kalendarzowych od dnia złożenia wniosku </w:t>
      </w:r>
      <w:r>
        <w:rPr>
          <w:rFonts w:cs="Times New Roman"/>
          <w:color w:val="000000"/>
          <w:w w:val="105"/>
          <w:szCs w:val="24"/>
        </w:rPr>
        <w:br/>
        <w:t>o określenie warunków przyłączenia, pod rygorem pozostawienia wniosku bez rozpatrzenia,</w:t>
      </w:r>
    </w:p>
    <w:p w14:paraId="29907F80" w14:textId="77777777" w:rsidR="00D326CC" w:rsidRDefault="00D326CC">
      <w:pPr>
        <w:pStyle w:val="Akapitzlist"/>
        <w:widowControl w:val="0"/>
        <w:numPr>
          <w:ilvl w:val="0"/>
          <w:numId w:val="283"/>
        </w:numPr>
        <w:autoSpaceDE w:val="0"/>
        <w:autoSpaceDN w:val="0"/>
        <w:ind w:left="851" w:right="62" w:hanging="284"/>
        <w:jc w:val="both"/>
        <w:rPr>
          <w:rFonts w:cs="Times New Roman"/>
          <w:color w:val="000000"/>
          <w:szCs w:val="24"/>
        </w:rPr>
      </w:pPr>
      <w:r>
        <w:rPr>
          <w:rFonts w:cs="Times New Roman"/>
          <w:color w:val="000000"/>
          <w:w w:val="105"/>
          <w:szCs w:val="24"/>
        </w:rPr>
        <w:t>w</w:t>
      </w:r>
      <w:r>
        <w:rPr>
          <w:rFonts w:cs="Times New Roman"/>
          <w:color w:val="000000"/>
          <w:spacing w:val="-16"/>
          <w:w w:val="105"/>
          <w:szCs w:val="24"/>
        </w:rPr>
        <w:t xml:space="preserve"> </w:t>
      </w:r>
      <w:r>
        <w:rPr>
          <w:rFonts w:cs="Times New Roman"/>
          <w:color w:val="000000"/>
          <w:w w:val="105"/>
          <w:szCs w:val="24"/>
        </w:rPr>
        <w:t>przypadku</w:t>
      </w:r>
      <w:r>
        <w:rPr>
          <w:rFonts w:cs="Times New Roman"/>
          <w:color w:val="000000"/>
          <w:spacing w:val="3"/>
          <w:w w:val="105"/>
          <w:szCs w:val="24"/>
        </w:rPr>
        <w:t xml:space="preserve"> </w:t>
      </w:r>
      <w:r>
        <w:rPr>
          <w:rFonts w:cs="Times New Roman"/>
          <w:color w:val="000000"/>
          <w:w w:val="105"/>
          <w:szCs w:val="24"/>
        </w:rPr>
        <w:t>wniesienia</w:t>
      </w:r>
      <w:r>
        <w:rPr>
          <w:rFonts w:cs="Times New Roman"/>
          <w:color w:val="000000"/>
          <w:spacing w:val="1"/>
          <w:w w:val="105"/>
          <w:szCs w:val="24"/>
        </w:rPr>
        <w:t xml:space="preserve"> </w:t>
      </w:r>
      <w:r>
        <w:rPr>
          <w:rFonts w:cs="Times New Roman"/>
          <w:color w:val="000000"/>
          <w:w w:val="105"/>
          <w:szCs w:val="24"/>
        </w:rPr>
        <w:t>zaliczki</w:t>
      </w:r>
      <w:r>
        <w:rPr>
          <w:rFonts w:cs="Times New Roman"/>
          <w:color w:val="000000"/>
          <w:spacing w:val="-4"/>
          <w:w w:val="105"/>
          <w:szCs w:val="24"/>
        </w:rPr>
        <w:t xml:space="preserve"> </w:t>
      </w:r>
      <w:r>
        <w:rPr>
          <w:rFonts w:cs="Times New Roman"/>
          <w:color w:val="000000"/>
          <w:w w:val="105"/>
          <w:szCs w:val="24"/>
        </w:rPr>
        <w:t>na</w:t>
      </w:r>
      <w:r>
        <w:rPr>
          <w:rFonts w:cs="Times New Roman"/>
          <w:color w:val="000000"/>
          <w:spacing w:val="-14"/>
          <w:w w:val="105"/>
          <w:szCs w:val="24"/>
        </w:rPr>
        <w:t xml:space="preserve"> </w:t>
      </w:r>
      <w:r>
        <w:rPr>
          <w:rFonts w:cs="Times New Roman"/>
          <w:color w:val="000000"/>
          <w:w w:val="105"/>
          <w:szCs w:val="24"/>
        </w:rPr>
        <w:t>poczet</w:t>
      </w:r>
      <w:r>
        <w:rPr>
          <w:rFonts w:cs="Times New Roman"/>
          <w:color w:val="000000"/>
          <w:spacing w:val="-9"/>
          <w:w w:val="105"/>
          <w:szCs w:val="24"/>
        </w:rPr>
        <w:t xml:space="preserve"> </w:t>
      </w:r>
      <w:r>
        <w:rPr>
          <w:rFonts w:cs="Times New Roman"/>
          <w:color w:val="000000"/>
          <w:w w:val="105"/>
          <w:szCs w:val="24"/>
        </w:rPr>
        <w:t>opłaty</w:t>
      </w:r>
      <w:r>
        <w:rPr>
          <w:rFonts w:cs="Times New Roman"/>
          <w:color w:val="000000"/>
          <w:spacing w:val="-1"/>
          <w:w w:val="105"/>
          <w:szCs w:val="24"/>
        </w:rPr>
        <w:t xml:space="preserve"> </w:t>
      </w:r>
      <w:r>
        <w:rPr>
          <w:rFonts w:cs="Times New Roman"/>
          <w:color w:val="000000"/>
          <w:w w:val="105"/>
          <w:szCs w:val="24"/>
        </w:rPr>
        <w:t>za</w:t>
      </w:r>
      <w:r>
        <w:rPr>
          <w:rFonts w:cs="Times New Roman"/>
          <w:color w:val="000000"/>
          <w:spacing w:val="-18"/>
          <w:w w:val="105"/>
          <w:szCs w:val="24"/>
        </w:rPr>
        <w:t xml:space="preserve"> </w:t>
      </w:r>
      <w:r>
        <w:rPr>
          <w:rFonts w:cs="Times New Roman"/>
          <w:color w:val="000000"/>
          <w:w w:val="105"/>
          <w:szCs w:val="24"/>
        </w:rPr>
        <w:t>przyłączenie</w:t>
      </w:r>
      <w:r>
        <w:rPr>
          <w:rFonts w:cs="Times New Roman"/>
          <w:color w:val="000000"/>
          <w:spacing w:val="-7"/>
          <w:w w:val="105"/>
          <w:szCs w:val="24"/>
        </w:rPr>
        <w:t xml:space="preserve"> </w:t>
      </w:r>
      <w:r>
        <w:rPr>
          <w:rFonts w:cs="Times New Roman"/>
          <w:color w:val="000000"/>
          <w:w w:val="105"/>
          <w:szCs w:val="24"/>
        </w:rPr>
        <w:t>przed</w:t>
      </w:r>
      <w:r>
        <w:rPr>
          <w:rFonts w:cs="Times New Roman"/>
          <w:color w:val="000000"/>
          <w:spacing w:val="-7"/>
          <w:w w:val="105"/>
          <w:szCs w:val="24"/>
        </w:rPr>
        <w:t xml:space="preserve"> </w:t>
      </w:r>
      <w:r>
        <w:rPr>
          <w:rFonts w:cs="Times New Roman"/>
          <w:color w:val="000000"/>
          <w:w w:val="105"/>
          <w:szCs w:val="24"/>
        </w:rPr>
        <w:t>dniem</w:t>
      </w:r>
      <w:r>
        <w:rPr>
          <w:rFonts w:cs="Times New Roman"/>
          <w:color w:val="000000"/>
          <w:spacing w:val="-12"/>
          <w:w w:val="105"/>
          <w:szCs w:val="24"/>
        </w:rPr>
        <w:t xml:space="preserve"> </w:t>
      </w:r>
      <w:r>
        <w:rPr>
          <w:rFonts w:cs="Times New Roman"/>
          <w:color w:val="000000"/>
          <w:w w:val="105"/>
          <w:szCs w:val="24"/>
        </w:rPr>
        <w:t>złożenia wniosku o określenie warunków przyłączen</w:t>
      </w:r>
      <w:r>
        <w:rPr>
          <w:rFonts w:cs="Times New Roman"/>
          <w:color w:val="000000"/>
          <w:spacing w:val="4"/>
          <w:w w:val="105"/>
          <w:szCs w:val="24"/>
        </w:rPr>
        <w:t>ia, OSDn</w:t>
      </w:r>
      <w:r>
        <w:rPr>
          <w:rFonts w:cs="Times New Roman"/>
          <w:color w:val="000000"/>
          <w:w w:val="105"/>
          <w:szCs w:val="24"/>
        </w:rPr>
        <w:t xml:space="preserve"> niezwłocznie zwraca</w:t>
      </w:r>
      <w:r>
        <w:rPr>
          <w:rFonts w:cs="Times New Roman"/>
          <w:color w:val="000000"/>
          <w:spacing w:val="5"/>
          <w:w w:val="105"/>
          <w:szCs w:val="24"/>
        </w:rPr>
        <w:t xml:space="preserve"> </w:t>
      </w:r>
      <w:r>
        <w:rPr>
          <w:rFonts w:cs="Times New Roman"/>
          <w:color w:val="000000"/>
          <w:w w:val="105"/>
          <w:szCs w:val="24"/>
        </w:rPr>
        <w:t>zaliczkę,</w:t>
      </w:r>
    </w:p>
    <w:p w14:paraId="27782C3D" w14:textId="77777777" w:rsidR="00D326CC" w:rsidRDefault="00D326CC">
      <w:pPr>
        <w:pStyle w:val="Akapitzlist"/>
        <w:widowControl w:val="0"/>
        <w:numPr>
          <w:ilvl w:val="0"/>
          <w:numId w:val="283"/>
        </w:numPr>
        <w:autoSpaceDE w:val="0"/>
        <w:autoSpaceDN w:val="0"/>
        <w:ind w:left="851" w:right="62" w:hanging="284"/>
        <w:jc w:val="both"/>
        <w:rPr>
          <w:rFonts w:cs="Times New Roman"/>
          <w:color w:val="000000"/>
          <w:szCs w:val="24"/>
        </w:rPr>
      </w:pPr>
      <w:r>
        <w:rPr>
          <w:rFonts w:cs="Times New Roman"/>
          <w:color w:val="000000"/>
          <w:w w:val="105"/>
          <w:szCs w:val="24"/>
        </w:rPr>
        <w:t xml:space="preserve">jeżeli złożony wniosek o określenie warunków przyłączenia, jest niezgodny </w:t>
      </w:r>
      <w:r>
        <w:rPr>
          <w:rFonts w:cs="Times New Roman"/>
          <w:color w:val="000000"/>
          <w:w w:val="105"/>
          <w:szCs w:val="24"/>
        </w:rPr>
        <w:br/>
        <w:t xml:space="preserve">z wzorem udostępnionym przez OSDn, nie spełnia wymagań określonych odpowiednio dla danego rodzaju </w:t>
      </w:r>
      <w:r>
        <w:rPr>
          <w:rFonts w:cs="Times New Roman"/>
          <w:color w:val="000000"/>
          <w:spacing w:val="4"/>
          <w:w w:val="105"/>
          <w:szCs w:val="24"/>
        </w:rPr>
        <w:t>wniosku, OSDn</w:t>
      </w:r>
      <w:r>
        <w:rPr>
          <w:rFonts w:cs="Times New Roman"/>
          <w:color w:val="000000"/>
          <w:w w:val="105"/>
          <w:szCs w:val="24"/>
        </w:rPr>
        <w:t xml:space="preserve"> wzywa wnioskodawcę do usunięcia braków w terminie 14 dni kalendarzowych od dnia otrzymania</w:t>
      </w:r>
      <w:r>
        <w:rPr>
          <w:rFonts w:cs="Times New Roman"/>
          <w:color w:val="000000"/>
          <w:spacing w:val="-5"/>
          <w:w w:val="105"/>
          <w:szCs w:val="24"/>
        </w:rPr>
        <w:t xml:space="preserve"> </w:t>
      </w:r>
      <w:r>
        <w:rPr>
          <w:rFonts w:cs="Times New Roman"/>
          <w:color w:val="000000"/>
          <w:w w:val="105"/>
          <w:szCs w:val="24"/>
        </w:rPr>
        <w:t>wezwania</w:t>
      </w:r>
      <w:r>
        <w:rPr>
          <w:rFonts w:cs="Times New Roman"/>
          <w:color w:val="000000"/>
          <w:spacing w:val="-6"/>
          <w:w w:val="105"/>
          <w:szCs w:val="24"/>
        </w:rPr>
        <w:t xml:space="preserve"> </w:t>
      </w:r>
      <w:r>
        <w:rPr>
          <w:rFonts w:cs="Times New Roman"/>
          <w:color w:val="000000"/>
          <w:w w:val="105"/>
          <w:szCs w:val="24"/>
        </w:rPr>
        <w:t>z</w:t>
      </w:r>
      <w:r>
        <w:rPr>
          <w:rFonts w:cs="Times New Roman"/>
          <w:color w:val="000000"/>
          <w:spacing w:val="-15"/>
          <w:w w:val="105"/>
          <w:szCs w:val="24"/>
        </w:rPr>
        <w:t xml:space="preserve"> </w:t>
      </w:r>
      <w:r>
        <w:rPr>
          <w:rFonts w:cs="Times New Roman"/>
          <w:color w:val="000000"/>
          <w:w w:val="105"/>
          <w:szCs w:val="24"/>
        </w:rPr>
        <w:t>pouczeniem, że</w:t>
      </w:r>
      <w:r>
        <w:rPr>
          <w:rFonts w:cs="Times New Roman"/>
          <w:color w:val="000000"/>
          <w:spacing w:val="-14"/>
          <w:w w:val="105"/>
          <w:szCs w:val="24"/>
        </w:rPr>
        <w:t xml:space="preserve"> </w:t>
      </w:r>
      <w:r>
        <w:rPr>
          <w:rFonts w:cs="Times New Roman"/>
          <w:color w:val="000000"/>
          <w:w w:val="105"/>
          <w:szCs w:val="24"/>
        </w:rPr>
        <w:t>nieusunięcie</w:t>
      </w:r>
      <w:r>
        <w:rPr>
          <w:rFonts w:cs="Times New Roman"/>
          <w:color w:val="000000"/>
          <w:spacing w:val="5"/>
          <w:w w:val="105"/>
          <w:szCs w:val="24"/>
        </w:rPr>
        <w:t xml:space="preserve"> </w:t>
      </w:r>
      <w:r>
        <w:rPr>
          <w:rFonts w:cs="Times New Roman"/>
          <w:color w:val="000000"/>
          <w:w w:val="105"/>
          <w:szCs w:val="24"/>
        </w:rPr>
        <w:t>braków</w:t>
      </w:r>
      <w:r>
        <w:rPr>
          <w:rFonts w:cs="Times New Roman"/>
          <w:color w:val="000000"/>
          <w:spacing w:val="-12"/>
          <w:w w:val="105"/>
          <w:szCs w:val="24"/>
        </w:rPr>
        <w:t xml:space="preserve"> </w:t>
      </w:r>
      <w:r>
        <w:rPr>
          <w:rFonts w:cs="Times New Roman"/>
          <w:color w:val="000000"/>
          <w:w w:val="105"/>
          <w:szCs w:val="24"/>
        </w:rPr>
        <w:t>w</w:t>
      </w:r>
      <w:r>
        <w:rPr>
          <w:rFonts w:cs="Times New Roman"/>
          <w:color w:val="000000"/>
          <w:spacing w:val="-13"/>
          <w:w w:val="105"/>
          <w:szCs w:val="24"/>
        </w:rPr>
        <w:t xml:space="preserve"> </w:t>
      </w:r>
      <w:r>
        <w:rPr>
          <w:rFonts w:cs="Times New Roman"/>
          <w:color w:val="000000"/>
          <w:w w:val="105"/>
          <w:szCs w:val="24"/>
        </w:rPr>
        <w:t>wyznaczonym</w:t>
      </w:r>
      <w:r>
        <w:rPr>
          <w:rFonts w:cs="Times New Roman"/>
          <w:color w:val="000000"/>
          <w:spacing w:val="9"/>
          <w:w w:val="105"/>
          <w:szCs w:val="24"/>
        </w:rPr>
        <w:t xml:space="preserve"> </w:t>
      </w:r>
      <w:r>
        <w:rPr>
          <w:rFonts w:cs="Times New Roman"/>
          <w:color w:val="000000"/>
          <w:w w:val="105"/>
          <w:szCs w:val="24"/>
        </w:rPr>
        <w:t>terminie spowoduje pozostawienie tego wniosku bez</w:t>
      </w:r>
      <w:r>
        <w:rPr>
          <w:rFonts w:cs="Times New Roman"/>
          <w:color w:val="000000"/>
          <w:spacing w:val="16"/>
          <w:w w:val="105"/>
          <w:szCs w:val="24"/>
        </w:rPr>
        <w:t xml:space="preserve"> </w:t>
      </w:r>
      <w:r>
        <w:rPr>
          <w:rFonts w:cs="Times New Roman"/>
          <w:color w:val="000000"/>
          <w:w w:val="105"/>
          <w:szCs w:val="24"/>
        </w:rPr>
        <w:t>rozpoznania,</w:t>
      </w:r>
    </w:p>
    <w:p w14:paraId="4845F8BA" w14:textId="77777777" w:rsidR="00D326CC" w:rsidRDefault="00D326CC">
      <w:pPr>
        <w:pStyle w:val="Akapitzlist"/>
        <w:widowControl w:val="0"/>
        <w:numPr>
          <w:ilvl w:val="0"/>
          <w:numId w:val="283"/>
        </w:numPr>
        <w:autoSpaceDE w:val="0"/>
        <w:autoSpaceDN w:val="0"/>
        <w:ind w:left="851" w:right="62" w:hanging="284"/>
        <w:jc w:val="both"/>
        <w:rPr>
          <w:rFonts w:cs="Times New Roman"/>
          <w:color w:val="000000"/>
          <w:szCs w:val="24"/>
        </w:rPr>
      </w:pPr>
      <w:r>
        <w:rPr>
          <w:rFonts w:cs="Times New Roman"/>
          <w:color w:val="000000"/>
          <w:w w:val="105"/>
          <w:szCs w:val="24"/>
        </w:rPr>
        <w:t xml:space="preserve">w przypadku nieusunięcia braków w wyznaczonym terminie, wniosek </w:t>
      </w:r>
      <w:r>
        <w:rPr>
          <w:rFonts w:cs="Times New Roman"/>
          <w:color w:val="000000"/>
          <w:w w:val="105"/>
          <w:szCs w:val="24"/>
        </w:rPr>
        <w:br/>
        <w:t>o określenie warunków</w:t>
      </w:r>
      <w:r>
        <w:rPr>
          <w:rFonts w:cs="Times New Roman"/>
          <w:color w:val="000000"/>
          <w:spacing w:val="-18"/>
          <w:w w:val="105"/>
          <w:szCs w:val="24"/>
        </w:rPr>
        <w:t xml:space="preserve"> </w:t>
      </w:r>
      <w:r>
        <w:rPr>
          <w:rFonts w:cs="Times New Roman"/>
          <w:color w:val="000000"/>
          <w:w w:val="105"/>
          <w:szCs w:val="24"/>
        </w:rPr>
        <w:t>przyłączenia</w:t>
      </w:r>
      <w:r>
        <w:rPr>
          <w:rFonts w:cs="Times New Roman"/>
          <w:color w:val="000000"/>
          <w:spacing w:val="-13"/>
          <w:w w:val="105"/>
          <w:szCs w:val="24"/>
        </w:rPr>
        <w:t xml:space="preserve"> </w:t>
      </w:r>
      <w:r>
        <w:rPr>
          <w:rFonts w:cs="Times New Roman"/>
          <w:color w:val="000000"/>
          <w:w w:val="105"/>
          <w:szCs w:val="24"/>
        </w:rPr>
        <w:t>pozostawia</w:t>
      </w:r>
      <w:r>
        <w:rPr>
          <w:rFonts w:cs="Times New Roman"/>
          <w:color w:val="000000"/>
          <w:spacing w:val="-18"/>
          <w:w w:val="105"/>
          <w:szCs w:val="24"/>
        </w:rPr>
        <w:t xml:space="preserve"> </w:t>
      </w:r>
      <w:r>
        <w:rPr>
          <w:rFonts w:cs="Times New Roman"/>
          <w:color w:val="000000"/>
          <w:w w:val="105"/>
          <w:szCs w:val="24"/>
        </w:rPr>
        <w:t>się</w:t>
      </w:r>
      <w:r>
        <w:rPr>
          <w:rFonts w:cs="Times New Roman"/>
          <w:color w:val="000000"/>
          <w:spacing w:val="-19"/>
          <w:w w:val="105"/>
          <w:szCs w:val="24"/>
        </w:rPr>
        <w:t xml:space="preserve"> </w:t>
      </w:r>
      <w:r>
        <w:rPr>
          <w:rFonts w:cs="Times New Roman"/>
          <w:color w:val="000000"/>
          <w:w w:val="105"/>
          <w:szCs w:val="24"/>
        </w:rPr>
        <w:t>bez</w:t>
      </w:r>
      <w:r>
        <w:rPr>
          <w:rFonts w:cs="Times New Roman"/>
          <w:color w:val="000000"/>
          <w:spacing w:val="-24"/>
          <w:w w:val="105"/>
          <w:szCs w:val="24"/>
        </w:rPr>
        <w:t xml:space="preserve"> </w:t>
      </w:r>
      <w:r>
        <w:rPr>
          <w:rFonts w:cs="Times New Roman"/>
          <w:color w:val="000000"/>
          <w:w w:val="105"/>
          <w:szCs w:val="24"/>
        </w:rPr>
        <w:t>rozpoznania,</w:t>
      </w:r>
      <w:r>
        <w:rPr>
          <w:rFonts w:cs="Times New Roman"/>
          <w:color w:val="000000"/>
          <w:spacing w:val="-15"/>
          <w:w w:val="105"/>
          <w:szCs w:val="24"/>
        </w:rPr>
        <w:t xml:space="preserve"> </w:t>
      </w:r>
      <w:r>
        <w:rPr>
          <w:rFonts w:cs="Times New Roman"/>
          <w:color w:val="000000"/>
          <w:w w:val="105"/>
          <w:szCs w:val="24"/>
        </w:rPr>
        <w:t>o</w:t>
      </w:r>
      <w:r>
        <w:rPr>
          <w:rFonts w:cs="Times New Roman"/>
          <w:color w:val="000000"/>
          <w:spacing w:val="-23"/>
          <w:w w:val="105"/>
          <w:szCs w:val="24"/>
        </w:rPr>
        <w:t xml:space="preserve"> </w:t>
      </w:r>
      <w:r>
        <w:rPr>
          <w:rFonts w:cs="Times New Roman"/>
          <w:color w:val="000000"/>
          <w:w w:val="105"/>
          <w:szCs w:val="24"/>
        </w:rPr>
        <w:t>czym</w:t>
      </w:r>
      <w:r>
        <w:rPr>
          <w:rFonts w:cs="Times New Roman"/>
          <w:color w:val="000000"/>
          <w:spacing w:val="-15"/>
          <w:w w:val="105"/>
          <w:szCs w:val="24"/>
        </w:rPr>
        <w:t xml:space="preserve"> OSDn</w:t>
      </w:r>
      <w:r>
        <w:rPr>
          <w:rFonts w:cs="Times New Roman"/>
          <w:color w:val="000000"/>
          <w:w w:val="105"/>
          <w:szCs w:val="24"/>
        </w:rPr>
        <w:t xml:space="preserve"> informuje</w:t>
      </w:r>
      <w:r>
        <w:rPr>
          <w:rFonts w:cs="Times New Roman"/>
          <w:color w:val="000000"/>
          <w:spacing w:val="14"/>
          <w:w w:val="105"/>
          <w:szCs w:val="24"/>
        </w:rPr>
        <w:t xml:space="preserve"> </w:t>
      </w:r>
      <w:r>
        <w:rPr>
          <w:rFonts w:cs="Times New Roman"/>
          <w:color w:val="000000"/>
          <w:w w:val="105"/>
          <w:szCs w:val="24"/>
        </w:rPr>
        <w:t>wnioskodawcę,</w:t>
      </w:r>
    </w:p>
    <w:p w14:paraId="3F63C5DF" w14:textId="7A219F76" w:rsidR="00D326CC" w:rsidRDefault="00D326CC">
      <w:pPr>
        <w:pStyle w:val="Akapitzlist"/>
        <w:widowControl w:val="0"/>
        <w:numPr>
          <w:ilvl w:val="0"/>
          <w:numId w:val="283"/>
        </w:numPr>
        <w:autoSpaceDE w:val="0"/>
        <w:autoSpaceDN w:val="0"/>
        <w:ind w:left="851" w:right="62" w:hanging="284"/>
        <w:jc w:val="both"/>
        <w:rPr>
          <w:rFonts w:cs="Times New Roman"/>
          <w:color w:val="000000"/>
          <w:szCs w:val="24"/>
        </w:rPr>
      </w:pPr>
      <w:r>
        <w:rPr>
          <w:rFonts w:cs="Times New Roman"/>
          <w:color w:val="000000"/>
          <w:w w:val="105"/>
          <w:szCs w:val="24"/>
        </w:rPr>
        <w:t>w przypadku, gdy złożony wniosek dla mikroinstalacji jest niekompletny, nieprawidłowo</w:t>
      </w:r>
      <w:r>
        <w:rPr>
          <w:rFonts w:cs="Times New Roman"/>
          <w:color w:val="000000"/>
          <w:spacing w:val="-10"/>
          <w:w w:val="105"/>
          <w:szCs w:val="24"/>
        </w:rPr>
        <w:t xml:space="preserve"> </w:t>
      </w:r>
      <w:r>
        <w:rPr>
          <w:rFonts w:cs="Times New Roman"/>
          <w:color w:val="000000"/>
          <w:w w:val="105"/>
          <w:szCs w:val="24"/>
        </w:rPr>
        <w:t>wypełniony</w:t>
      </w:r>
      <w:r>
        <w:rPr>
          <w:rFonts w:cs="Times New Roman"/>
          <w:color w:val="000000"/>
          <w:spacing w:val="-5"/>
          <w:w w:val="105"/>
          <w:szCs w:val="24"/>
        </w:rPr>
        <w:t xml:space="preserve"> </w:t>
      </w:r>
      <w:r>
        <w:rPr>
          <w:rFonts w:cs="Times New Roman"/>
          <w:color w:val="000000"/>
          <w:w w:val="105"/>
          <w:szCs w:val="24"/>
        </w:rPr>
        <w:t>lub</w:t>
      </w:r>
      <w:r>
        <w:rPr>
          <w:rFonts w:cs="Times New Roman"/>
          <w:color w:val="000000"/>
          <w:spacing w:val="-20"/>
          <w:w w:val="105"/>
          <w:szCs w:val="24"/>
        </w:rPr>
        <w:t xml:space="preserve"> </w:t>
      </w:r>
      <w:r>
        <w:rPr>
          <w:rFonts w:cs="Times New Roman"/>
          <w:color w:val="000000"/>
          <w:w w:val="105"/>
          <w:szCs w:val="24"/>
        </w:rPr>
        <w:t>nie</w:t>
      </w:r>
      <w:r>
        <w:rPr>
          <w:rFonts w:cs="Times New Roman"/>
          <w:color w:val="000000"/>
          <w:spacing w:val="-18"/>
          <w:w w:val="105"/>
          <w:szCs w:val="24"/>
        </w:rPr>
        <w:t xml:space="preserve"> </w:t>
      </w:r>
      <w:r>
        <w:rPr>
          <w:rFonts w:cs="Times New Roman"/>
          <w:color w:val="000000"/>
          <w:w w:val="105"/>
          <w:szCs w:val="24"/>
        </w:rPr>
        <w:t>został</w:t>
      </w:r>
      <w:r>
        <w:rPr>
          <w:rFonts w:cs="Times New Roman"/>
          <w:color w:val="000000"/>
          <w:spacing w:val="-20"/>
          <w:w w:val="105"/>
          <w:szCs w:val="24"/>
        </w:rPr>
        <w:t xml:space="preserve"> </w:t>
      </w:r>
      <w:r>
        <w:rPr>
          <w:rFonts w:cs="Times New Roman"/>
          <w:color w:val="000000"/>
          <w:w w:val="105"/>
          <w:szCs w:val="24"/>
        </w:rPr>
        <w:t>złożony</w:t>
      </w:r>
      <w:r>
        <w:rPr>
          <w:rFonts w:cs="Times New Roman"/>
          <w:color w:val="000000"/>
          <w:spacing w:val="-16"/>
          <w:w w:val="105"/>
          <w:szCs w:val="24"/>
        </w:rPr>
        <w:t xml:space="preserve"> </w:t>
      </w:r>
      <w:r>
        <w:rPr>
          <w:rFonts w:cs="Times New Roman"/>
          <w:color w:val="000000"/>
          <w:w w:val="105"/>
          <w:szCs w:val="24"/>
        </w:rPr>
        <w:t>zgodnie</w:t>
      </w:r>
      <w:r>
        <w:rPr>
          <w:rFonts w:cs="Times New Roman"/>
          <w:color w:val="000000"/>
          <w:spacing w:val="-13"/>
          <w:w w:val="105"/>
          <w:szCs w:val="24"/>
        </w:rPr>
        <w:t xml:space="preserve"> </w:t>
      </w:r>
      <w:r>
        <w:rPr>
          <w:rFonts w:cs="Times New Roman"/>
          <w:color w:val="000000"/>
          <w:w w:val="105"/>
          <w:szCs w:val="24"/>
        </w:rPr>
        <w:t>ze</w:t>
      </w:r>
      <w:r>
        <w:rPr>
          <w:rFonts w:cs="Times New Roman"/>
          <w:color w:val="000000"/>
          <w:spacing w:val="-24"/>
          <w:w w:val="105"/>
          <w:szCs w:val="24"/>
        </w:rPr>
        <w:t xml:space="preserve"> </w:t>
      </w:r>
      <w:r>
        <w:rPr>
          <w:rFonts w:cs="Times New Roman"/>
          <w:color w:val="000000"/>
          <w:w w:val="105"/>
          <w:szCs w:val="24"/>
        </w:rPr>
        <w:t>wzorem</w:t>
      </w:r>
      <w:r>
        <w:rPr>
          <w:rFonts w:cs="Times New Roman"/>
          <w:color w:val="000000"/>
          <w:spacing w:val="-12"/>
          <w:w w:val="105"/>
          <w:szCs w:val="24"/>
        </w:rPr>
        <w:t xml:space="preserve"> </w:t>
      </w:r>
      <w:r>
        <w:rPr>
          <w:rFonts w:cs="Times New Roman"/>
          <w:color w:val="000000"/>
          <w:w w:val="105"/>
          <w:szCs w:val="24"/>
        </w:rPr>
        <w:t>określonym</w:t>
      </w:r>
      <w:r>
        <w:rPr>
          <w:rFonts w:cs="Times New Roman"/>
          <w:color w:val="000000"/>
          <w:spacing w:val="-10"/>
          <w:w w:val="105"/>
          <w:szCs w:val="24"/>
        </w:rPr>
        <w:t xml:space="preserve"> </w:t>
      </w:r>
      <w:r>
        <w:rPr>
          <w:rFonts w:cs="Times New Roman"/>
          <w:color w:val="000000"/>
          <w:w w:val="105"/>
          <w:szCs w:val="24"/>
        </w:rPr>
        <w:t>przez OSDn, OSDn w terminie 7 dni kalendarzowych od daty wpływu wniosku wzywa składającego wniosek do jego uzupełnienia lub poprawienia</w:t>
      </w:r>
      <w:r>
        <w:rPr>
          <w:rFonts w:cs="Times New Roman"/>
          <w:color w:val="000000"/>
          <w:spacing w:val="-6"/>
          <w:w w:val="105"/>
          <w:szCs w:val="24"/>
        </w:rPr>
        <w:t xml:space="preserve"> </w:t>
      </w:r>
      <w:r w:rsidR="00050CB6">
        <w:rPr>
          <w:rFonts w:cs="Times New Roman"/>
          <w:color w:val="000000"/>
          <w:spacing w:val="-6"/>
          <w:w w:val="105"/>
          <w:szCs w:val="24"/>
        </w:rPr>
        <w:br/>
      </w:r>
      <w:r>
        <w:rPr>
          <w:rFonts w:cs="Times New Roman"/>
          <w:color w:val="000000"/>
          <w:w w:val="105"/>
          <w:szCs w:val="24"/>
        </w:rPr>
        <w:t>w</w:t>
      </w:r>
      <w:r>
        <w:rPr>
          <w:rFonts w:cs="Times New Roman"/>
          <w:color w:val="000000"/>
          <w:spacing w:val="-19"/>
          <w:w w:val="105"/>
          <w:szCs w:val="24"/>
        </w:rPr>
        <w:t xml:space="preserve"> </w:t>
      </w:r>
      <w:r>
        <w:rPr>
          <w:rFonts w:cs="Times New Roman"/>
          <w:color w:val="000000"/>
          <w:w w:val="105"/>
          <w:szCs w:val="24"/>
        </w:rPr>
        <w:t>wyznaczonym</w:t>
      </w:r>
      <w:r>
        <w:rPr>
          <w:rFonts w:cs="Times New Roman"/>
          <w:color w:val="000000"/>
          <w:spacing w:val="5"/>
          <w:w w:val="105"/>
          <w:szCs w:val="24"/>
        </w:rPr>
        <w:t xml:space="preserve"> </w:t>
      </w:r>
      <w:r>
        <w:rPr>
          <w:rFonts w:cs="Times New Roman"/>
          <w:color w:val="000000"/>
          <w:w w:val="105"/>
          <w:szCs w:val="24"/>
        </w:rPr>
        <w:t>terminie,</w:t>
      </w:r>
      <w:r>
        <w:rPr>
          <w:rFonts w:cs="Times New Roman"/>
          <w:color w:val="000000"/>
          <w:spacing w:val="-11"/>
          <w:w w:val="105"/>
          <w:szCs w:val="24"/>
        </w:rPr>
        <w:t xml:space="preserve"> </w:t>
      </w:r>
      <w:r>
        <w:rPr>
          <w:rFonts w:cs="Times New Roman"/>
          <w:color w:val="000000"/>
          <w:w w:val="105"/>
          <w:szCs w:val="24"/>
        </w:rPr>
        <w:t>nie</w:t>
      </w:r>
      <w:r>
        <w:rPr>
          <w:rFonts w:cs="Times New Roman"/>
          <w:color w:val="000000"/>
          <w:spacing w:val="-15"/>
          <w:w w:val="105"/>
          <w:szCs w:val="24"/>
        </w:rPr>
        <w:t xml:space="preserve"> </w:t>
      </w:r>
      <w:r>
        <w:rPr>
          <w:rFonts w:cs="Times New Roman"/>
          <w:color w:val="000000"/>
          <w:w w:val="105"/>
          <w:szCs w:val="24"/>
        </w:rPr>
        <w:t>krótszym</w:t>
      </w:r>
      <w:r>
        <w:rPr>
          <w:rFonts w:cs="Times New Roman"/>
          <w:color w:val="000000"/>
          <w:spacing w:val="4"/>
          <w:w w:val="105"/>
          <w:szCs w:val="24"/>
        </w:rPr>
        <w:t xml:space="preserve"> </w:t>
      </w:r>
      <w:r>
        <w:rPr>
          <w:rFonts w:cs="Times New Roman"/>
          <w:color w:val="000000"/>
          <w:w w:val="105"/>
          <w:szCs w:val="24"/>
        </w:rPr>
        <w:t>jednak</w:t>
      </w:r>
      <w:r>
        <w:rPr>
          <w:rFonts w:cs="Times New Roman"/>
          <w:color w:val="000000"/>
          <w:spacing w:val="-7"/>
          <w:w w:val="105"/>
          <w:szCs w:val="24"/>
        </w:rPr>
        <w:t xml:space="preserve"> </w:t>
      </w:r>
      <w:r>
        <w:rPr>
          <w:rFonts w:cs="Times New Roman"/>
          <w:color w:val="000000"/>
          <w:w w:val="105"/>
          <w:szCs w:val="24"/>
        </w:rPr>
        <w:t>niż</w:t>
      </w:r>
      <w:r>
        <w:rPr>
          <w:rFonts w:cs="Times New Roman"/>
          <w:color w:val="000000"/>
          <w:spacing w:val="-18"/>
          <w:w w:val="105"/>
          <w:szCs w:val="24"/>
        </w:rPr>
        <w:t xml:space="preserve"> </w:t>
      </w:r>
      <w:r>
        <w:rPr>
          <w:rFonts w:cs="Times New Roman"/>
          <w:color w:val="000000"/>
          <w:w w:val="105"/>
          <w:szCs w:val="24"/>
        </w:rPr>
        <w:t>30</w:t>
      </w:r>
      <w:r>
        <w:rPr>
          <w:rFonts w:cs="Times New Roman"/>
          <w:color w:val="000000"/>
          <w:spacing w:val="-21"/>
          <w:w w:val="105"/>
          <w:szCs w:val="24"/>
        </w:rPr>
        <w:t xml:space="preserve"> </w:t>
      </w:r>
      <w:r>
        <w:rPr>
          <w:rFonts w:cs="Times New Roman"/>
          <w:color w:val="000000"/>
          <w:w w:val="105"/>
          <w:szCs w:val="24"/>
        </w:rPr>
        <w:t>dni</w:t>
      </w:r>
      <w:r>
        <w:rPr>
          <w:rFonts w:cs="Times New Roman"/>
          <w:color w:val="000000"/>
          <w:spacing w:val="-9"/>
          <w:w w:val="105"/>
          <w:szCs w:val="24"/>
        </w:rPr>
        <w:t xml:space="preserve"> </w:t>
      </w:r>
      <w:r>
        <w:rPr>
          <w:rFonts w:cs="Times New Roman"/>
          <w:color w:val="000000"/>
          <w:w w:val="105"/>
          <w:szCs w:val="24"/>
        </w:rPr>
        <w:t>kalendarzowych od dnia doręczenia</w:t>
      </w:r>
      <w:r>
        <w:rPr>
          <w:rFonts w:cs="Times New Roman"/>
          <w:color w:val="000000"/>
          <w:spacing w:val="10"/>
          <w:w w:val="105"/>
          <w:szCs w:val="24"/>
        </w:rPr>
        <w:t xml:space="preserve"> </w:t>
      </w:r>
      <w:r>
        <w:rPr>
          <w:rFonts w:cs="Times New Roman"/>
          <w:color w:val="000000"/>
          <w:w w:val="105"/>
          <w:szCs w:val="24"/>
        </w:rPr>
        <w:t>wezwania.</w:t>
      </w:r>
    </w:p>
    <w:p w14:paraId="71AACEBB" w14:textId="76EF5B4A" w:rsidR="00D326CC" w:rsidRDefault="00D326CC" w:rsidP="00050CB6">
      <w:pPr>
        <w:tabs>
          <w:tab w:val="left" w:pos="9072"/>
        </w:tabs>
        <w:ind w:left="851" w:right="62"/>
        <w:jc w:val="both"/>
        <w:rPr>
          <w:rFonts w:cs="Times New Roman"/>
          <w:color w:val="000000"/>
          <w:szCs w:val="24"/>
        </w:rPr>
      </w:pPr>
      <w:r>
        <w:rPr>
          <w:rFonts w:cs="Times New Roman"/>
          <w:color w:val="000000"/>
          <w:w w:val="105"/>
          <w:szCs w:val="24"/>
        </w:rPr>
        <w:t xml:space="preserve">Nadanie w terminie uzupełnionego lub poprawionego wniosku dla mikroinstalacji w polskiej placówce pocztowej operatora wyznaczonego </w:t>
      </w:r>
      <w:r>
        <w:rPr>
          <w:rFonts w:cs="Times New Roman"/>
          <w:color w:val="000000"/>
          <w:w w:val="105"/>
          <w:szCs w:val="24"/>
        </w:rPr>
        <w:br/>
        <w:t>w rozumieniu art. 3 pkt 13 ustawy z dnia 23 listopada 2012 r. - Prawo pocztowe lub w placówce pocztowej operatora</w:t>
      </w:r>
      <w:r>
        <w:rPr>
          <w:rFonts w:cs="Times New Roman"/>
          <w:color w:val="000000"/>
          <w:spacing w:val="-14"/>
          <w:w w:val="105"/>
          <w:szCs w:val="24"/>
        </w:rPr>
        <w:t xml:space="preserve"> </w:t>
      </w:r>
      <w:r>
        <w:rPr>
          <w:rFonts w:cs="Times New Roman"/>
          <w:color w:val="000000"/>
          <w:w w:val="105"/>
          <w:szCs w:val="24"/>
        </w:rPr>
        <w:t>świadczącego</w:t>
      </w:r>
      <w:r>
        <w:rPr>
          <w:rFonts w:cs="Times New Roman"/>
          <w:color w:val="000000"/>
          <w:spacing w:val="-6"/>
          <w:w w:val="105"/>
          <w:szCs w:val="24"/>
        </w:rPr>
        <w:t xml:space="preserve"> </w:t>
      </w:r>
      <w:r>
        <w:rPr>
          <w:rFonts w:cs="Times New Roman"/>
          <w:color w:val="000000"/>
          <w:w w:val="105"/>
          <w:szCs w:val="24"/>
        </w:rPr>
        <w:t>pocztowe</w:t>
      </w:r>
      <w:r>
        <w:rPr>
          <w:rFonts w:cs="Times New Roman"/>
          <w:color w:val="000000"/>
          <w:spacing w:val="-14"/>
          <w:w w:val="105"/>
          <w:szCs w:val="24"/>
        </w:rPr>
        <w:t xml:space="preserve"> </w:t>
      </w:r>
      <w:r>
        <w:rPr>
          <w:rFonts w:cs="Times New Roman"/>
          <w:color w:val="000000"/>
          <w:w w:val="105"/>
          <w:szCs w:val="24"/>
        </w:rPr>
        <w:t>usługi</w:t>
      </w:r>
      <w:r>
        <w:rPr>
          <w:rFonts w:cs="Times New Roman"/>
          <w:color w:val="000000"/>
          <w:spacing w:val="-15"/>
          <w:w w:val="105"/>
          <w:szCs w:val="24"/>
        </w:rPr>
        <w:t xml:space="preserve"> </w:t>
      </w:r>
      <w:r>
        <w:rPr>
          <w:rFonts w:cs="Times New Roman"/>
          <w:color w:val="000000"/>
          <w:w w:val="105"/>
          <w:szCs w:val="24"/>
        </w:rPr>
        <w:t>powszechne</w:t>
      </w:r>
      <w:r>
        <w:rPr>
          <w:rFonts w:cs="Times New Roman"/>
          <w:color w:val="000000"/>
          <w:spacing w:val="-11"/>
          <w:w w:val="105"/>
          <w:szCs w:val="24"/>
        </w:rPr>
        <w:t xml:space="preserve"> </w:t>
      </w:r>
      <w:r w:rsidR="00050CB6">
        <w:rPr>
          <w:rFonts w:cs="Times New Roman"/>
          <w:color w:val="000000"/>
          <w:spacing w:val="-11"/>
          <w:w w:val="105"/>
          <w:szCs w:val="24"/>
        </w:rPr>
        <w:br/>
      </w:r>
      <w:r>
        <w:rPr>
          <w:rFonts w:cs="Times New Roman"/>
          <w:color w:val="000000"/>
          <w:w w:val="105"/>
          <w:szCs w:val="24"/>
        </w:rPr>
        <w:t>w</w:t>
      </w:r>
      <w:r>
        <w:rPr>
          <w:rFonts w:cs="Times New Roman"/>
          <w:color w:val="000000"/>
          <w:spacing w:val="-22"/>
          <w:w w:val="105"/>
          <w:szCs w:val="24"/>
        </w:rPr>
        <w:t xml:space="preserve"> </w:t>
      </w:r>
      <w:r>
        <w:rPr>
          <w:rFonts w:cs="Times New Roman"/>
          <w:color w:val="000000"/>
          <w:w w:val="105"/>
          <w:szCs w:val="24"/>
        </w:rPr>
        <w:t>innym</w:t>
      </w:r>
      <w:r>
        <w:rPr>
          <w:rFonts w:cs="Times New Roman"/>
          <w:color w:val="000000"/>
          <w:spacing w:val="-13"/>
          <w:w w:val="105"/>
          <w:szCs w:val="24"/>
        </w:rPr>
        <w:t xml:space="preserve"> </w:t>
      </w:r>
      <w:r>
        <w:rPr>
          <w:rFonts w:cs="Times New Roman"/>
          <w:color w:val="000000"/>
          <w:w w:val="105"/>
          <w:szCs w:val="24"/>
        </w:rPr>
        <w:t>państwie</w:t>
      </w:r>
      <w:r>
        <w:rPr>
          <w:rFonts w:cs="Times New Roman"/>
          <w:color w:val="000000"/>
          <w:spacing w:val="-12"/>
          <w:w w:val="105"/>
          <w:szCs w:val="24"/>
        </w:rPr>
        <w:t xml:space="preserve"> </w:t>
      </w:r>
      <w:r>
        <w:rPr>
          <w:rFonts w:cs="Times New Roman"/>
          <w:color w:val="000000"/>
          <w:w w:val="105"/>
          <w:szCs w:val="24"/>
        </w:rPr>
        <w:t xml:space="preserve">członkowskim Unii Europejskiej, Konfederacji </w:t>
      </w:r>
      <w:r>
        <w:rPr>
          <w:rFonts w:cs="Times New Roman"/>
          <w:color w:val="000000"/>
          <w:spacing w:val="-3"/>
          <w:w w:val="105"/>
          <w:szCs w:val="24"/>
        </w:rPr>
        <w:t>Szwajcarskiej</w:t>
      </w:r>
      <w:r>
        <w:rPr>
          <w:rFonts w:cs="Times New Roman"/>
          <w:color w:val="000000"/>
          <w:w w:val="105"/>
          <w:szCs w:val="24"/>
        </w:rPr>
        <w:t xml:space="preserve">, państwie członkowskim Europejskiego Porozumienia o Wolnym Handlu (EFTA) - stronie umowy o Europejskim Obszarze Gospodarczym jest równoznaczne </w:t>
      </w:r>
      <w:r w:rsidR="00CC0845">
        <w:rPr>
          <w:rFonts w:cs="Times New Roman"/>
          <w:color w:val="000000"/>
          <w:w w:val="105"/>
          <w:szCs w:val="24"/>
        </w:rPr>
        <w:br/>
      </w:r>
      <w:r>
        <w:rPr>
          <w:rFonts w:cs="Times New Roman"/>
          <w:color w:val="000000"/>
          <w:w w:val="105"/>
          <w:szCs w:val="24"/>
        </w:rPr>
        <w:t>z wniesieniem go w</w:t>
      </w:r>
      <w:r>
        <w:rPr>
          <w:rFonts w:cs="Times New Roman"/>
          <w:color w:val="000000"/>
          <w:spacing w:val="-25"/>
          <w:w w:val="105"/>
          <w:szCs w:val="24"/>
        </w:rPr>
        <w:t xml:space="preserve"> </w:t>
      </w:r>
      <w:r>
        <w:rPr>
          <w:rFonts w:cs="Times New Roman"/>
          <w:color w:val="000000"/>
          <w:w w:val="105"/>
          <w:szCs w:val="24"/>
        </w:rPr>
        <w:t>terminie.</w:t>
      </w:r>
    </w:p>
    <w:p w14:paraId="40C9CA27" w14:textId="77777777" w:rsidR="00D326CC" w:rsidRDefault="00D326CC" w:rsidP="00050CB6">
      <w:pPr>
        <w:tabs>
          <w:tab w:val="left" w:pos="9072"/>
        </w:tabs>
        <w:ind w:left="851" w:right="62"/>
        <w:jc w:val="both"/>
        <w:rPr>
          <w:rFonts w:cs="Times New Roman"/>
          <w:color w:val="000000"/>
          <w:szCs w:val="24"/>
        </w:rPr>
      </w:pPr>
      <w:r>
        <w:rPr>
          <w:rFonts w:cs="Times New Roman"/>
          <w:color w:val="000000"/>
          <w:w w:val="105"/>
          <w:szCs w:val="24"/>
        </w:rPr>
        <w:t>Wniosek dla mikroinstalacji nieuzupełniony lub niepoprawiony w terminie wyznaczonym przez OSDn pozostawia się bez rozpatrzenia.</w:t>
      </w:r>
    </w:p>
    <w:p w14:paraId="185D1B81" w14:textId="77777777" w:rsidR="00D326CC" w:rsidRDefault="00D326CC">
      <w:pPr>
        <w:pStyle w:val="Akapitzlist"/>
        <w:widowControl w:val="0"/>
        <w:numPr>
          <w:ilvl w:val="0"/>
          <w:numId w:val="283"/>
        </w:numPr>
        <w:tabs>
          <w:tab w:val="left" w:pos="1053"/>
          <w:tab w:val="left" w:pos="9072"/>
        </w:tabs>
        <w:autoSpaceDE w:val="0"/>
        <w:autoSpaceDN w:val="0"/>
        <w:ind w:left="851" w:right="62" w:hanging="284"/>
        <w:jc w:val="both"/>
        <w:rPr>
          <w:rFonts w:cs="Times New Roman"/>
          <w:color w:val="000000"/>
          <w:szCs w:val="24"/>
        </w:rPr>
      </w:pPr>
      <w:r>
        <w:rPr>
          <w:rFonts w:cs="Times New Roman"/>
          <w:color w:val="000000"/>
          <w:w w:val="105"/>
          <w:szCs w:val="24"/>
        </w:rPr>
        <w:t xml:space="preserve">OSDn na żądanie wnioskodawcy, potwierdza w formie pisemnej, dokumentowej złożenie wniosku o określenie warunków przyłączenia, określając w szczególności datę jego </w:t>
      </w:r>
      <w:r>
        <w:rPr>
          <w:rFonts w:cs="Times New Roman"/>
          <w:color w:val="000000"/>
          <w:spacing w:val="-3"/>
          <w:w w:val="105"/>
          <w:szCs w:val="24"/>
        </w:rPr>
        <w:t>złożenia,</w:t>
      </w:r>
    </w:p>
    <w:p w14:paraId="46F4D577" w14:textId="77777777" w:rsidR="00D326CC" w:rsidRDefault="00D326CC">
      <w:pPr>
        <w:numPr>
          <w:ilvl w:val="0"/>
          <w:numId w:val="283"/>
        </w:numPr>
        <w:ind w:left="993" w:right="62" w:hanging="426"/>
        <w:jc w:val="both"/>
        <w:rPr>
          <w:rFonts w:cs="Times New Roman"/>
          <w:color w:val="000000"/>
          <w:szCs w:val="24"/>
        </w:rPr>
      </w:pPr>
      <w:r>
        <w:rPr>
          <w:rFonts w:cs="Times New Roman"/>
          <w:color w:val="000000"/>
          <w:szCs w:val="24"/>
        </w:rPr>
        <w:lastRenderedPageBreak/>
        <w:t xml:space="preserve">w przypadku urządzeń, instalacji lub sieci przyłączanych bezpośrednio do sieci </w:t>
      </w:r>
      <w:r>
        <w:rPr>
          <w:rFonts w:cs="Times New Roman"/>
          <w:color w:val="000000"/>
          <w:szCs w:val="24"/>
        </w:rPr>
        <w:br/>
      </w:r>
      <w:r>
        <w:rPr>
          <w:rFonts w:cs="Times New Roman"/>
          <w:color w:val="000000"/>
          <w:w w:val="105"/>
          <w:szCs w:val="24"/>
        </w:rPr>
        <w:t xml:space="preserve">o napięciu znamionowym wyższym niż 1 kV, sporządzenie ekspertyzy wpływu tych urządzeń, instalacji lub sieci na system elektroenergetyczny, </w:t>
      </w:r>
      <w:r>
        <w:rPr>
          <w:rFonts w:cs="Times New Roman"/>
          <w:color w:val="000000"/>
          <w:w w:val="105"/>
          <w:szCs w:val="24"/>
        </w:rPr>
        <w:br/>
        <w:t>z wyjątkiem:</w:t>
      </w:r>
    </w:p>
    <w:p w14:paraId="39AE1983" w14:textId="77777777" w:rsidR="00D326CC" w:rsidRDefault="00D326CC">
      <w:pPr>
        <w:pStyle w:val="Akapitzlist"/>
        <w:widowControl w:val="0"/>
        <w:numPr>
          <w:ilvl w:val="1"/>
          <w:numId w:val="283"/>
        </w:numPr>
        <w:tabs>
          <w:tab w:val="left" w:pos="1334"/>
          <w:tab w:val="left" w:pos="9072"/>
        </w:tabs>
        <w:autoSpaceDE w:val="0"/>
        <w:autoSpaceDN w:val="0"/>
        <w:ind w:left="1276" w:right="62" w:hanging="283"/>
        <w:jc w:val="both"/>
        <w:rPr>
          <w:rFonts w:cs="Times New Roman"/>
          <w:color w:val="000000"/>
          <w:szCs w:val="24"/>
        </w:rPr>
      </w:pPr>
      <w:r>
        <w:rPr>
          <w:rFonts w:cs="Times New Roman"/>
          <w:color w:val="000000"/>
          <w:w w:val="105"/>
          <w:szCs w:val="24"/>
        </w:rPr>
        <w:t>przyłączanej</w:t>
      </w:r>
      <w:r>
        <w:rPr>
          <w:rFonts w:cs="Times New Roman"/>
          <w:color w:val="000000"/>
          <w:spacing w:val="5"/>
          <w:w w:val="105"/>
          <w:szCs w:val="24"/>
        </w:rPr>
        <w:t xml:space="preserve"> </w:t>
      </w:r>
      <w:r>
        <w:rPr>
          <w:rFonts w:cs="Times New Roman"/>
          <w:color w:val="000000"/>
          <w:w w:val="105"/>
          <w:szCs w:val="24"/>
        </w:rPr>
        <w:t>jednostki</w:t>
      </w:r>
      <w:r>
        <w:rPr>
          <w:rFonts w:cs="Times New Roman"/>
          <w:color w:val="000000"/>
          <w:spacing w:val="-2"/>
          <w:w w:val="105"/>
          <w:szCs w:val="24"/>
        </w:rPr>
        <w:t xml:space="preserve"> </w:t>
      </w:r>
      <w:r>
        <w:rPr>
          <w:rFonts w:cs="Times New Roman"/>
          <w:color w:val="000000"/>
          <w:w w:val="105"/>
          <w:szCs w:val="24"/>
        </w:rPr>
        <w:t>wytwórczej</w:t>
      </w:r>
      <w:r>
        <w:rPr>
          <w:rFonts w:cs="Times New Roman"/>
          <w:color w:val="000000"/>
          <w:spacing w:val="-5"/>
          <w:w w:val="105"/>
          <w:szCs w:val="24"/>
        </w:rPr>
        <w:t xml:space="preserve"> </w:t>
      </w:r>
      <w:r>
        <w:rPr>
          <w:rFonts w:cs="Times New Roman"/>
          <w:color w:val="000000"/>
          <w:w w:val="105"/>
          <w:szCs w:val="24"/>
        </w:rPr>
        <w:t>o</w:t>
      </w:r>
      <w:r>
        <w:rPr>
          <w:rFonts w:cs="Times New Roman"/>
          <w:color w:val="000000"/>
          <w:spacing w:val="-16"/>
          <w:w w:val="105"/>
          <w:szCs w:val="24"/>
        </w:rPr>
        <w:t xml:space="preserve"> </w:t>
      </w:r>
      <w:r>
        <w:rPr>
          <w:rFonts w:cs="Times New Roman"/>
          <w:color w:val="000000"/>
          <w:w w:val="105"/>
          <w:szCs w:val="24"/>
        </w:rPr>
        <w:t>łącznej</w:t>
      </w:r>
      <w:r>
        <w:rPr>
          <w:rFonts w:cs="Times New Roman"/>
          <w:color w:val="000000"/>
          <w:spacing w:val="-8"/>
          <w:w w:val="105"/>
          <w:szCs w:val="24"/>
        </w:rPr>
        <w:t xml:space="preserve"> </w:t>
      </w:r>
      <w:r>
        <w:rPr>
          <w:rFonts w:cs="Times New Roman"/>
          <w:color w:val="000000"/>
          <w:w w:val="105"/>
          <w:szCs w:val="24"/>
        </w:rPr>
        <w:t>mocy</w:t>
      </w:r>
      <w:r>
        <w:rPr>
          <w:rFonts w:cs="Times New Roman"/>
          <w:color w:val="000000"/>
          <w:spacing w:val="-7"/>
          <w:w w:val="105"/>
          <w:szCs w:val="24"/>
        </w:rPr>
        <w:t xml:space="preserve"> </w:t>
      </w:r>
      <w:r>
        <w:rPr>
          <w:rFonts w:cs="Times New Roman"/>
          <w:color w:val="000000"/>
          <w:w w:val="105"/>
          <w:szCs w:val="24"/>
        </w:rPr>
        <w:t>zainstalowanej</w:t>
      </w:r>
      <w:r>
        <w:rPr>
          <w:rFonts w:cs="Times New Roman"/>
          <w:color w:val="000000"/>
          <w:spacing w:val="-17"/>
          <w:w w:val="105"/>
          <w:szCs w:val="24"/>
        </w:rPr>
        <w:t xml:space="preserve"> </w:t>
      </w:r>
      <w:r>
        <w:rPr>
          <w:rFonts w:cs="Times New Roman"/>
          <w:color w:val="000000"/>
          <w:w w:val="105"/>
          <w:szCs w:val="24"/>
        </w:rPr>
        <w:t>nie</w:t>
      </w:r>
      <w:r>
        <w:rPr>
          <w:rFonts w:cs="Times New Roman"/>
          <w:color w:val="000000"/>
          <w:spacing w:val="-10"/>
          <w:w w:val="105"/>
          <w:szCs w:val="24"/>
        </w:rPr>
        <w:t xml:space="preserve"> </w:t>
      </w:r>
      <w:r>
        <w:rPr>
          <w:rFonts w:cs="Times New Roman"/>
          <w:color w:val="000000"/>
          <w:w w:val="105"/>
          <w:szCs w:val="24"/>
        </w:rPr>
        <w:t>większej</w:t>
      </w:r>
      <w:r>
        <w:rPr>
          <w:rFonts w:cs="Times New Roman"/>
          <w:color w:val="000000"/>
          <w:spacing w:val="-6"/>
          <w:w w:val="105"/>
          <w:szCs w:val="24"/>
        </w:rPr>
        <w:t xml:space="preserve"> </w:t>
      </w:r>
      <w:r>
        <w:rPr>
          <w:rFonts w:cs="Times New Roman"/>
          <w:color w:val="000000"/>
          <w:w w:val="105"/>
          <w:szCs w:val="24"/>
        </w:rPr>
        <w:t>niż</w:t>
      </w:r>
      <w:r>
        <w:rPr>
          <w:rFonts w:cs="Times New Roman"/>
          <w:color w:val="000000"/>
          <w:spacing w:val="-16"/>
          <w:w w:val="105"/>
          <w:szCs w:val="24"/>
        </w:rPr>
        <w:t xml:space="preserve"> </w:t>
      </w:r>
      <w:r>
        <w:rPr>
          <w:rFonts w:cs="Times New Roman"/>
          <w:color w:val="000000"/>
          <w:w w:val="105"/>
          <w:szCs w:val="24"/>
        </w:rPr>
        <w:t>2 MW, lub</w:t>
      </w:r>
    </w:p>
    <w:p w14:paraId="671583EA" w14:textId="77777777" w:rsidR="00D326CC" w:rsidRDefault="00D326CC">
      <w:pPr>
        <w:pStyle w:val="Akapitzlist"/>
        <w:widowControl w:val="0"/>
        <w:numPr>
          <w:ilvl w:val="1"/>
          <w:numId w:val="283"/>
        </w:numPr>
        <w:tabs>
          <w:tab w:val="left" w:pos="1339"/>
          <w:tab w:val="left" w:pos="9072"/>
        </w:tabs>
        <w:autoSpaceDE w:val="0"/>
        <w:autoSpaceDN w:val="0"/>
        <w:ind w:left="1276" w:right="62" w:hanging="283"/>
        <w:jc w:val="both"/>
        <w:rPr>
          <w:rFonts w:cs="Times New Roman"/>
          <w:color w:val="000000"/>
          <w:szCs w:val="24"/>
        </w:rPr>
      </w:pPr>
      <w:r>
        <w:rPr>
          <w:rFonts w:cs="Times New Roman"/>
          <w:color w:val="000000"/>
          <w:w w:val="105"/>
          <w:szCs w:val="24"/>
        </w:rPr>
        <w:t>przyłączanych urządzeń odbiorcy końcowego o łącznej mocy przyłączeniowej nie większej niż 5 MW,</w:t>
      </w:r>
      <w:r>
        <w:rPr>
          <w:rFonts w:cs="Times New Roman"/>
          <w:color w:val="000000"/>
          <w:spacing w:val="20"/>
          <w:w w:val="105"/>
          <w:szCs w:val="24"/>
        </w:rPr>
        <w:t xml:space="preserve"> </w:t>
      </w:r>
      <w:r>
        <w:rPr>
          <w:rFonts w:cs="Times New Roman"/>
          <w:color w:val="000000"/>
          <w:w w:val="105"/>
          <w:szCs w:val="24"/>
        </w:rPr>
        <w:t>lub</w:t>
      </w:r>
    </w:p>
    <w:p w14:paraId="3F72933B" w14:textId="77777777" w:rsidR="00D326CC" w:rsidRDefault="00D326CC">
      <w:pPr>
        <w:pStyle w:val="Akapitzlist"/>
        <w:widowControl w:val="0"/>
        <w:numPr>
          <w:ilvl w:val="1"/>
          <w:numId w:val="283"/>
        </w:numPr>
        <w:tabs>
          <w:tab w:val="left" w:pos="1339"/>
          <w:tab w:val="left" w:pos="9072"/>
        </w:tabs>
        <w:autoSpaceDE w:val="0"/>
        <w:autoSpaceDN w:val="0"/>
        <w:ind w:left="1276" w:right="62" w:hanging="283"/>
        <w:jc w:val="both"/>
        <w:rPr>
          <w:rFonts w:cs="Times New Roman"/>
          <w:color w:val="000000"/>
          <w:szCs w:val="24"/>
        </w:rPr>
      </w:pPr>
      <w:r>
        <w:rPr>
          <w:rFonts w:cs="Times New Roman"/>
          <w:color w:val="000000"/>
          <w:w w:val="105"/>
          <w:szCs w:val="24"/>
        </w:rPr>
        <w:t>przyłączanego magazynu energii elektrycznej o łącznej mocy zainstalowanej nie większej niż 2 MW,</w:t>
      </w:r>
      <w:r>
        <w:rPr>
          <w:rFonts w:cs="Times New Roman"/>
          <w:color w:val="000000"/>
          <w:spacing w:val="15"/>
          <w:w w:val="105"/>
          <w:szCs w:val="24"/>
        </w:rPr>
        <w:t xml:space="preserve"> </w:t>
      </w:r>
      <w:r>
        <w:rPr>
          <w:rFonts w:cs="Times New Roman"/>
          <w:color w:val="000000"/>
          <w:w w:val="105"/>
          <w:szCs w:val="24"/>
        </w:rPr>
        <w:t>lub</w:t>
      </w:r>
    </w:p>
    <w:p w14:paraId="29871581" w14:textId="77777777" w:rsidR="00D326CC" w:rsidRDefault="00D326CC">
      <w:pPr>
        <w:pStyle w:val="Akapitzlist"/>
        <w:widowControl w:val="0"/>
        <w:numPr>
          <w:ilvl w:val="1"/>
          <w:numId w:val="283"/>
        </w:numPr>
        <w:tabs>
          <w:tab w:val="left" w:pos="1339"/>
          <w:tab w:val="left" w:pos="9072"/>
        </w:tabs>
        <w:autoSpaceDE w:val="0"/>
        <w:autoSpaceDN w:val="0"/>
        <w:ind w:left="1276" w:right="62" w:hanging="283"/>
        <w:jc w:val="both"/>
        <w:rPr>
          <w:rFonts w:cs="Times New Roman"/>
          <w:color w:val="000000"/>
          <w:szCs w:val="24"/>
        </w:rPr>
      </w:pPr>
      <w:r>
        <w:rPr>
          <w:rFonts w:cs="Times New Roman"/>
          <w:color w:val="000000"/>
          <w:w w:val="110"/>
          <w:szCs w:val="24"/>
        </w:rPr>
        <w:t xml:space="preserve">przyłączanej jednostki wytwórczej, której część będzie stanowił magazyn energii </w:t>
      </w:r>
      <w:r>
        <w:rPr>
          <w:rFonts w:cs="Times New Roman"/>
          <w:color w:val="000000"/>
          <w:spacing w:val="3"/>
          <w:w w:val="110"/>
          <w:szCs w:val="24"/>
        </w:rPr>
        <w:t>elektrycznej,</w:t>
      </w:r>
      <w:r>
        <w:rPr>
          <w:rFonts w:cs="Times New Roman"/>
          <w:color w:val="000000"/>
          <w:spacing w:val="-27"/>
          <w:w w:val="110"/>
          <w:szCs w:val="24"/>
        </w:rPr>
        <w:t xml:space="preserve"> </w:t>
      </w:r>
      <w:r>
        <w:rPr>
          <w:rFonts w:cs="Times New Roman"/>
          <w:color w:val="000000"/>
          <w:w w:val="110"/>
          <w:szCs w:val="24"/>
        </w:rPr>
        <w:t>pod</w:t>
      </w:r>
      <w:r>
        <w:rPr>
          <w:rFonts w:cs="Times New Roman"/>
          <w:color w:val="000000"/>
          <w:spacing w:val="-20"/>
          <w:w w:val="110"/>
          <w:szCs w:val="24"/>
        </w:rPr>
        <w:t xml:space="preserve"> </w:t>
      </w:r>
      <w:r>
        <w:rPr>
          <w:rFonts w:cs="Times New Roman"/>
          <w:color w:val="000000"/>
          <w:w w:val="110"/>
          <w:szCs w:val="24"/>
        </w:rPr>
        <w:t>warunkiem,</w:t>
      </w:r>
      <w:r>
        <w:rPr>
          <w:rFonts w:cs="Times New Roman"/>
          <w:color w:val="000000"/>
          <w:spacing w:val="-19"/>
          <w:w w:val="110"/>
          <w:szCs w:val="24"/>
        </w:rPr>
        <w:t xml:space="preserve"> </w:t>
      </w:r>
      <w:r>
        <w:rPr>
          <w:rFonts w:cs="Times New Roman"/>
          <w:color w:val="000000"/>
          <w:w w:val="110"/>
          <w:szCs w:val="24"/>
        </w:rPr>
        <w:t>że</w:t>
      </w:r>
      <w:r>
        <w:rPr>
          <w:rFonts w:cs="Times New Roman"/>
          <w:color w:val="000000"/>
          <w:spacing w:val="-31"/>
          <w:w w:val="110"/>
          <w:szCs w:val="24"/>
        </w:rPr>
        <w:t xml:space="preserve"> </w:t>
      </w:r>
      <w:r>
        <w:rPr>
          <w:rFonts w:cs="Times New Roman"/>
          <w:color w:val="000000"/>
          <w:w w:val="110"/>
          <w:szCs w:val="24"/>
        </w:rPr>
        <w:t>łączna</w:t>
      </w:r>
      <w:r>
        <w:rPr>
          <w:rFonts w:cs="Times New Roman"/>
          <w:color w:val="000000"/>
          <w:spacing w:val="-25"/>
          <w:w w:val="110"/>
          <w:szCs w:val="24"/>
        </w:rPr>
        <w:t xml:space="preserve"> </w:t>
      </w:r>
      <w:r>
        <w:rPr>
          <w:rFonts w:cs="Times New Roman"/>
          <w:color w:val="000000"/>
          <w:w w:val="110"/>
          <w:szCs w:val="24"/>
        </w:rPr>
        <w:t>moc</w:t>
      </w:r>
      <w:r>
        <w:rPr>
          <w:rFonts w:cs="Times New Roman"/>
          <w:color w:val="000000"/>
          <w:spacing w:val="-27"/>
          <w:w w:val="110"/>
          <w:szCs w:val="24"/>
        </w:rPr>
        <w:t xml:space="preserve"> </w:t>
      </w:r>
      <w:r>
        <w:rPr>
          <w:rFonts w:cs="Times New Roman"/>
          <w:color w:val="000000"/>
          <w:w w:val="110"/>
          <w:szCs w:val="24"/>
        </w:rPr>
        <w:t>zainstalowana</w:t>
      </w:r>
      <w:r>
        <w:rPr>
          <w:rFonts w:cs="Times New Roman"/>
          <w:color w:val="000000"/>
          <w:spacing w:val="-20"/>
          <w:w w:val="110"/>
          <w:szCs w:val="24"/>
        </w:rPr>
        <w:t xml:space="preserve"> </w:t>
      </w:r>
      <w:r>
        <w:rPr>
          <w:rFonts w:cs="Times New Roman"/>
          <w:color w:val="000000"/>
          <w:w w:val="110"/>
          <w:szCs w:val="24"/>
        </w:rPr>
        <w:t>tego</w:t>
      </w:r>
      <w:r>
        <w:rPr>
          <w:rFonts w:cs="Times New Roman"/>
          <w:color w:val="000000"/>
          <w:spacing w:val="-27"/>
          <w:w w:val="110"/>
          <w:szCs w:val="24"/>
        </w:rPr>
        <w:t xml:space="preserve"> </w:t>
      </w:r>
      <w:r>
        <w:rPr>
          <w:rFonts w:cs="Times New Roman"/>
          <w:color w:val="000000"/>
          <w:w w:val="110"/>
          <w:szCs w:val="24"/>
        </w:rPr>
        <w:t>magazynu</w:t>
      </w:r>
      <w:r>
        <w:rPr>
          <w:rFonts w:cs="Times New Roman"/>
          <w:color w:val="000000"/>
          <w:spacing w:val="-14"/>
          <w:w w:val="110"/>
          <w:szCs w:val="24"/>
        </w:rPr>
        <w:t xml:space="preserve"> </w:t>
      </w:r>
      <w:r>
        <w:rPr>
          <w:rFonts w:cs="Times New Roman"/>
          <w:color w:val="000000"/>
          <w:w w:val="110"/>
          <w:szCs w:val="24"/>
        </w:rPr>
        <w:t>i</w:t>
      </w:r>
      <w:r>
        <w:rPr>
          <w:rFonts w:cs="Times New Roman"/>
          <w:color w:val="000000"/>
          <w:spacing w:val="-31"/>
          <w:w w:val="110"/>
          <w:szCs w:val="24"/>
        </w:rPr>
        <w:t xml:space="preserve"> </w:t>
      </w:r>
      <w:r>
        <w:rPr>
          <w:rFonts w:cs="Times New Roman"/>
          <w:color w:val="000000"/>
          <w:w w:val="110"/>
          <w:szCs w:val="24"/>
        </w:rPr>
        <w:t>jednostki wytwórczej jest nie większa niż 2 MW,</w:t>
      </w:r>
      <w:r>
        <w:rPr>
          <w:rFonts w:cs="Times New Roman"/>
          <w:color w:val="000000"/>
          <w:spacing w:val="37"/>
          <w:w w:val="110"/>
          <w:szCs w:val="24"/>
        </w:rPr>
        <w:t xml:space="preserve"> </w:t>
      </w:r>
      <w:r>
        <w:rPr>
          <w:rFonts w:cs="Times New Roman"/>
          <w:color w:val="000000"/>
          <w:w w:val="110"/>
          <w:szCs w:val="24"/>
        </w:rPr>
        <w:t>lub</w:t>
      </w:r>
    </w:p>
    <w:p w14:paraId="3E50ABE3" w14:textId="77777777" w:rsidR="00D326CC" w:rsidRDefault="00D326CC">
      <w:pPr>
        <w:pStyle w:val="Akapitzlist"/>
        <w:widowControl w:val="0"/>
        <w:numPr>
          <w:ilvl w:val="1"/>
          <w:numId w:val="283"/>
        </w:numPr>
        <w:tabs>
          <w:tab w:val="left" w:pos="1339"/>
          <w:tab w:val="left" w:pos="9072"/>
        </w:tabs>
        <w:autoSpaceDE w:val="0"/>
        <w:autoSpaceDN w:val="0"/>
        <w:ind w:left="1276" w:right="62" w:hanging="283"/>
        <w:jc w:val="both"/>
        <w:rPr>
          <w:rFonts w:cs="Times New Roman"/>
          <w:color w:val="000000"/>
          <w:szCs w:val="24"/>
        </w:rPr>
      </w:pPr>
      <w:r>
        <w:rPr>
          <w:rFonts w:cs="Times New Roman"/>
          <w:color w:val="000000"/>
          <w:w w:val="110"/>
          <w:szCs w:val="24"/>
        </w:rPr>
        <w:t>przyłączanej instalacji odbiorcy końcowego, której część będzie stanowił magazyn energii elektrycznej, pod warunkiem, że łączna moc zainstalowana tego magazynu i moc przyłączeniowa instalacji odbiorcy końcowego jest nie większa niż 5</w:t>
      </w:r>
      <w:r>
        <w:rPr>
          <w:rFonts w:cs="Times New Roman"/>
          <w:color w:val="000000"/>
          <w:spacing w:val="-28"/>
          <w:w w:val="110"/>
          <w:szCs w:val="24"/>
        </w:rPr>
        <w:t xml:space="preserve"> </w:t>
      </w:r>
      <w:r>
        <w:rPr>
          <w:rFonts w:cs="Times New Roman"/>
          <w:color w:val="000000"/>
          <w:w w:val="110"/>
          <w:szCs w:val="24"/>
        </w:rPr>
        <w:t>MW,</w:t>
      </w:r>
    </w:p>
    <w:p w14:paraId="37DEFBE2" w14:textId="77777777" w:rsidR="00D326CC" w:rsidRDefault="00D326CC" w:rsidP="00050CB6">
      <w:pPr>
        <w:tabs>
          <w:tab w:val="left" w:pos="9072"/>
        </w:tabs>
        <w:ind w:left="709" w:right="62" w:hanging="3"/>
        <w:jc w:val="both"/>
        <w:rPr>
          <w:rFonts w:cs="Times New Roman"/>
          <w:color w:val="000000"/>
          <w:szCs w:val="24"/>
        </w:rPr>
      </w:pPr>
      <w:r>
        <w:rPr>
          <w:rFonts w:cs="Times New Roman"/>
          <w:color w:val="000000"/>
          <w:w w:val="105"/>
          <w:szCs w:val="24"/>
        </w:rPr>
        <w:t>OSDn zapewnia sporządzenie ekspertyzy, w tym także na żądanie Prezesa URE.</w:t>
      </w:r>
    </w:p>
    <w:p w14:paraId="0071CD78" w14:textId="77777777" w:rsidR="00D326CC" w:rsidRDefault="00D326CC">
      <w:pPr>
        <w:pStyle w:val="Akapitzlist"/>
        <w:widowControl w:val="0"/>
        <w:numPr>
          <w:ilvl w:val="0"/>
          <w:numId w:val="284"/>
        </w:numPr>
        <w:tabs>
          <w:tab w:val="left" w:pos="9072"/>
        </w:tabs>
        <w:autoSpaceDE w:val="0"/>
        <w:autoSpaceDN w:val="0"/>
        <w:ind w:left="993" w:right="62" w:hanging="426"/>
        <w:jc w:val="both"/>
        <w:rPr>
          <w:rFonts w:cs="Times New Roman"/>
          <w:color w:val="000000"/>
          <w:szCs w:val="24"/>
        </w:rPr>
      </w:pPr>
      <w:r>
        <w:rPr>
          <w:rFonts w:cs="Times New Roman"/>
          <w:color w:val="000000"/>
          <w:w w:val="110"/>
          <w:szCs w:val="24"/>
        </w:rPr>
        <w:t>wydanie przez OSDn warunków przyłączenia oraz przekazanie ich podmiotowi wraz z projektem umowy o przyłączenie, w formie pisemnej, dokumentowej lub</w:t>
      </w:r>
      <w:r>
        <w:rPr>
          <w:rFonts w:cs="Times New Roman"/>
          <w:color w:val="000000"/>
          <w:spacing w:val="-29"/>
          <w:w w:val="110"/>
          <w:szCs w:val="24"/>
        </w:rPr>
        <w:t xml:space="preserve"> </w:t>
      </w:r>
      <w:r>
        <w:rPr>
          <w:rFonts w:cs="Times New Roman"/>
          <w:color w:val="000000"/>
          <w:w w:val="110"/>
          <w:szCs w:val="24"/>
        </w:rPr>
        <w:t>elektronicznej,</w:t>
      </w:r>
    </w:p>
    <w:p w14:paraId="28E42932" w14:textId="77777777" w:rsidR="00D326CC" w:rsidRDefault="00D326CC">
      <w:pPr>
        <w:pStyle w:val="Akapitzlist"/>
        <w:widowControl w:val="0"/>
        <w:numPr>
          <w:ilvl w:val="0"/>
          <w:numId w:val="284"/>
        </w:numPr>
        <w:tabs>
          <w:tab w:val="left" w:pos="1209"/>
          <w:tab w:val="left" w:pos="9072"/>
        </w:tabs>
        <w:autoSpaceDE w:val="0"/>
        <w:autoSpaceDN w:val="0"/>
        <w:ind w:left="993" w:right="62" w:hanging="426"/>
        <w:jc w:val="both"/>
        <w:rPr>
          <w:rFonts w:cs="Times New Roman"/>
          <w:color w:val="000000"/>
          <w:szCs w:val="24"/>
        </w:rPr>
      </w:pPr>
      <w:r>
        <w:rPr>
          <w:rFonts w:cs="Times New Roman"/>
          <w:color w:val="000000"/>
          <w:w w:val="105"/>
          <w:szCs w:val="24"/>
        </w:rPr>
        <w:t>zawarcie umowy o</w:t>
      </w:r>
      <w:r>
        <w:rPr>
          <w:rFonts w:cs="Times New Roman"/>
          <w:color w:val="000000"/>
          <w:spacing w:val="-3"/>
          <w:w w:val="105"/>
          <w:szCs w:val="24"/>
        </w:rPr>
        <w:t xml:space="preserve"> </w:t>
      </w:r>
      <w:r>
        <w:rPr>
          <w:rFonts w:cs="Times New Roman"/>
          <w:color w:val="000000"/>
          <w:w w:val="105"/>
          <w:szCs w:val="24"/>
        </w:rPr>
        <w:t>przyłączenie,</w:t>
      </w:r>
    </w:p>
    <w:p w14:paraId="540D2A45" w14:textId="77777777" w:rsidR="00D326CC" w:rsidRDefault="00D326CC">
      <w:pPr>
        <w:pStyle w:val="Akapitzlist"/>
        <w:widowControl w:val="0"/>
        <w:numPr>
          <w:ilvl w:val="0"/>
          <w:numId w:val="284"/>
        </w:numPr>
        <w:tabs>
          <w:tab w:val="left" w:pos="9072"/>
        </w:tabs>
        <w:autoSpaceDE w:val="0"/>
        <w:autoSpaceDN w:val="0"/>
        <w:ind w:left="993" w:right="62" w:hanging="426"/>
        <w:jc w:val="both"/>
        <w:rPr>
          <w:rFonts w:cs="Times New Roman"/>
          <w:color w:val="000000"/>
          <w:szCs w:val="24"/>
        </w:rPr>
      </w:pPr>
      <w:r>
        <w:rPr>
          <w:rFonts w:cs="Times New Roman"/>
          <w:color w:val="000000"/>
          <w:w w:val="110"/>
          <w:szCs w:val="24"/>
        </w:rPr>
        <w:t>realizację przyłączenia, tj. realizację przyłącza(-y) oraz niezbędnych zmian/dostosowania w sieci i prac dla realizacji</w:t>
      </w:r>
      <w:r>
        <w:rPr>
          <w:rFonts w:cs="Times New Roman"/>
          <w:color w:val="000000"/>
          <w:spacing w:val="12"/>
          <w:w w:val="110"/>
          <w:szCs w:val="24"/>
        </w:rPr>
        <w:t xml:space="preserve"> </w:t>
      </w:r>
      <w:r>
        <w:rPr>
          <w:rFonts w:cs="Times New Roman"/>
          <w:color w:val="000000"/>
          <w:w w:val="110"/>
          <w:szCs w:val="24"/>
        </w:rPr>
        <w:t>przyłączenia,</w:t>
      </w:r>
    </w:p>
    <w:p w14:paraId="181B8CDF" w14:textId="77777777" w:rsidR="00D326CC" w:rsidRDefault="00D326CC">
      <w:pPr>
        <w:pStyle w:val="Akapitzlist"/>
        <w:widowControl w:val="0"/>
        <w:numPr>
          <w:ilvl w:val="0"/>
          <w:numId w:val="284"/>
        </w:numPr>
        <w:autoSpaceDE w:val="0"/>
        <w:autoSpaceDN w:val="0"/>
        <w:ind w:left="993" w:right="62" w:hanging="426"/>
        <w:jc w:val="both"/>
        <w:rPr>
          <w:rFonts w:cs="Times New Roman"/>
          <w:color w:val="000000"/>
          <w:szCs w:val="24"/>
        </w:rPr>
      </w:pPr>
      <w:r>
        <w:rPr>
          <w:rFonts w:cs="Times New Roman"/>
          <w:color w:val="000000"/>
          <w:w w:val="110"/>
          <w:szCs w:val="24"/>
        </w:rPr>
        <w:t xml:space="preserve">przeprowadzenie prób i odbiorów częściowych oraz prób końcowych </w:t>
      </w:r>
      <w:r>
        <w:rPr>
          <w:rFonts w:cs="Times New Roman"/>
          <w:color w:val="000000"/>
          <w:w w:val="110"/>
          <w:szCs w:val="24"/>
        </w:rPr>
        <w:br/>
        <w:t xml:space="preserve">i ostatecznego odbioru rozbudowywanej sieci i przyłącza; OSDn zastrzega sobie prawo dokonania sprawdzenia przyłączanych instalacji, urządzeń </w:t>
      </w:r>
      <w:r>
        <w:rPr>
          <w:rFonts w:cs="Times New Roman"/>
          <w:color w:val="000000"/>
          <w:w w:val="110"/>
          <w:szCs w:val="24"/>
        </w:rPr>
        <w:br/>
        <w:t>i</w:t>
      </w:r>
      <w:r>
        <w:rPr>
          <w:rFonts w:cs="Times New Roman"/>
          <w:color w:val="000000"/>
          <w:spacing w:val="-29"/>
          <w:w w:val="110"/>
          <w:szCs w:val="24"/>
        </w:rPr>
        <w:t xml:space="preserve"> </w:t>
      </w:r>
      <w:r>
        <w:rPr>
          <w:rFonts w:cs="Times New Roman"/>
          <w:color w:val="000000"/>
          <w:w w:val="110"/>
          <w:szCs w:val="24"/>
        </w:rPr>
        <w:t>sieci,</w:t>
      </w:r>
    </w:p>
    <w:p w14:paraId="73F8031A" w14:textId="77777777" w:rsidR="00D326CC" w:rsidRDefault="00D326CC">
      <w:pPr>
        <w:pStyle w:val="Akapitzlist"/>
        <w:widowControl w:val="0"/>
        <w:numPr>
          <w:ilvl w:val="0"/>
          <w:numId w:val="284"/>
        </w:numPr>
        <w:autoSpaceDE w:val="0"/>
        <w:autoSpaceDN w:val="0"/>
        <w:ind w:left="993" w:right="62" w:hanging="426"/>
        <w:jc w:val="both"/>
        <w:rPr>
          <w:rFonts w:cs="Times New Roman"/>
          <w:color w:val="000000"/>
          <w:szCs w:val="24"/>
        </w:rPr>
      </w:pPr>
      <w:r>
        <w:rPr>
          <w:rFonts w:cs="Times New Roman"/>
          <w:color w:val="000000"/>
          <w:w w:val="110"/>
          <w:szCs w:val="24"/>
        </w:rPr>
        <w:t xml:space="preserve">pozyskanie ostatecznego pozwolenia na użytkowanie obiektu </w:t>
      </w:r>
      <w:r>
        <w:rPr>
          <w:rFonts w:cs="Times New Roman"/>
          <w:color w:val="000000"/>
          <w:w w:val="110"/>
          <w:szCs w:val="24"/>
        </w:rPr>
        <w:br/>
        <w:t xml:space="preserve">w przypadkach, </w:t>
      </w:r>
      <w:r>
        <w:rPr>
          <w:rFonts w:cs="Times New Roman"/>
          <w:color w:val="000000"/>
          <w:spacing w:val="-13"/>
          <w:w w:val="110"/>
          <w:szCs w:val="24"/>
        </w:rPr>
        <w:t xml:space="preserve">o </w:t>
      </w:r>
      <w:r>
        <w:rPr>
          <w:rFonts w:cs="Times New Roman"/>
          <w:color w:val="000000"/>
          <w:w w:val="110"/>
          <w:szCs w:val="24"/>
        </w:rPr>
        <w:t>których mowa w NC</w:t>
      </w:r>
      <w:r>
        <w:rPr>
          <w:rFonts w:cs="Times New Roman"/>
          <w:color w:val="000000"/>
          <w:spacing w:val="31"/>
          <w:w w:val="110"/>
          <w:szCs w:val="24"/>
        </w:rPr>
        <w:t xml:space="preserve"> </w:t>
      </w:r>
      <w:r>
        <w:rPr>
          <w:rFonts w:cs="Times New Roman"/>
          <w:color w:val="000000"/>
          <w:w w:val="110"/>
          <w:szCs w:val="24"/>
        </w:rPr>
        <w:t>RfG,</w:t>
      </w:r>
    </w:p>
    <w:p w14:paraId="145C8E90" w14:textId="3455DE21" w:rsidR="00B905C4" w:rsidRPr="00FD7ECA" w:rsidRDefault="00D326CC">
      <w:pPr>
        <w:pStyle w:val="Akapitzlist"/>
        <w:numPr>
          <w:ilvl w:val="0"/>
          <w:numId w:val="284"/>
        </w:numPr>
        <w:tabs>
          <w:tab w:val="left" w:pos="9072"/>
        </w:tabs>
        <w:ind w:right="62"/>
        <w:jc w:val="both"/>
        <w:rPr>
          <w:rFonts w:eastAsia="Times New Roman"/>
        </w:rPr>
      </w:pPr>
      <w:r w:rsidRPr="00FD7ECA">
        <w:rPr>
          <w:rFonts w:cs="Times New Roman"/>
          <w:color w:val="000000"/>
          <w:w w:val="105"/>
          <w:szCs w:val="24"/>
        </w:rPr>
        <w:t xml:space="preserve">zawarcie przez podmiot umowy o świadczenie usług dystrybucji albo umowy kompleksowej. </w:t>
      </w:r>
    </w:p>
    <w:p w14:paraId="14CA6335" w14:textId="51E7D9F5" w:rsidR="00572BA3" w:rsidRDefault="00572BA3">
      <w:pPr>
        <w:numPr>
          <w:ilvl w:val="0"/>
          <w:numId w:val="229"/>
        </w:numPr>
        <w:spacing w:line="237" w:lineRule="auto"/>
        <w:ind w:left="709" w:hanging="709"/>
        <w:jc w:val="both"/>
        <w:rPr>
          <w:rFonts w:eastAsia="Times New Roman"/>
        </w:rPr>
      </w:pPr>
      <w:r>
        <w:rPr>
          <w:rFonts w:eastAsia="Times New Roman"/>
        </w:rPr>
        <w:t xml:space="preserve">Podmiot ubiegający się o przyłączenie do sieci dystrybucyjnej </w:t>
      </w:r>
      <w:r w:rsidR="008A5CAF">
        <w:rPr>
          <w:rFonts w:eastAsia="Times New Roman"/>
        </w:rPr>
        <w:t>OSDn</w:t>
      </w:r>
      <w:r>
        <w:rPr>
          <w:rFonts w:eastAsia="Times New Roman"/>
        </w:rPr>
        <w:t xml:space="preserve"> urządzeń wytwórczych, </w:t>
      </w:r>
      <w:r w:rsidR="00BD66EA">
        <w:rPr>
          <w:rFonts w:eastAsia="Times New Roman"/>
        </w:rPr>
        <w:t xml:space="preserve">magazynów energii elektrycznej, </w:t>
      </w:r>
      <w:r>
        <w:rPr>
          <w:rFonts w:eastAsia="Times New Roman"/>
        </w:rPr>
        <w:t>sieci, urządzeń lub/i instalacji odbiorców końcowych, linii bezpośrednich składa wniosek o określenie warunków przyłączenia.</w:t>
      </w:r>
    </w:p>
    <w:p w14:paraId="24906FC7" w14:textId="3276ADA6" w:rsidR="00C9233F" w:rsidRPr="00C9233F" w:rsidRDefault="00572BA3" w:rsidP="000E693F">
      <w:pPr>
        <w:numPr>
          <w:ilvl w:val="0"/>
          <w:numId w:val="229"/>
        </w:numPr>
        <w:spacing w:line="236" w:lineRule="auto"/>
        <w:ind w:right="20" w:hanging="780"/>
        <w:jc w:val="both"/>
        <w:rPr>
          <w:rStyle w:val="Hipercze"/>
          <w:rFonts w:eastAsia="Times New Roman"/>
          <w:color w:val="auto"/>
          <w:u w:val="none"/>
        </w:rPr>
      </w:pPr>
      <w:r w:rsidRPr="00C9233F">
        <w:rPr>
          <w:rFonts w:eastAsia="Times New Roman"/>
        </w:rPr>
        <w:t xml:space="preserve">Wzory wniosków o określenie warunków przyłączenia określa oraz udostępnia </w:t>
      </w:r>
      <w:r w:rsidR="006C77EC" w:rsidRPr="00C9233F">
        <w:rPr>
          <w:rFonts w:eastAsia="Times New Roman"/>
        </w:rPr>
        <w:t>OSDn</w:t>
      </w:r>
      <w:r w:rsidRPr="00C9233F">
        <w:rPr>
          <w:rFonts w:eastAsia="Times New Roman"/>
        </w:rPr>
        <w:t xml:space="preserve">. Wniosek dostępny jest: </w:t>
      </w:r>
      <w:r w:rsidR="002F20DA" w:rsidRPr="00C9233F">
        <w:rPr>
          <w:rFonts w:eastAsia="Times New Roman"/>
        </w:rPr>
        <w:t xml:space="preserve">w siedzibie OSDn oraz </w:t>
      </w:r>
      <w:hyperlink r:id="rId11" w:history="1">
        <w:r w:rsidR="004B66C2" w:rsidRPr="00D37A3B">
          <w:rPr>
            <w:rStyle w:val="Hipercze"/>
          </w:rPr>
          <w:t>https://erg.com.pl</w:t>
        </w:r>
      </w:hyperlink>
      <w:r w:rsidR="004B66C2">
        <w:t xml:space="preserve">  </w:t>
      </w:r>
    </w:p>
    <w:p w14:paraId="1F2CCD85" w14:textId="4CA9AE4C" w:rsidR="00572BA3" w:rsidRPr="00C9233F" w:rsidRDefault="00572BA3" w:rsidP="000E693F">
      <w:pPr>
        <w:numPr>
          <w:ilvl w:val="0"/>
          <w:numId w:val="229"/>
        </w:numPr>
        <w:spacing w:line="236" w:lineRule="auto"/>
        <w:ind w:right="20" w:hanging="780"/>
        <w:jc w:val="both"/>
        <w:rPr>
          <w:rFonts w:eastAsia="Times New Roman"/>
        </w:rPr>
      </w:pPr>
      <w:r w:rsidRPr="00C9233F">
        <w:rPr>
          <w:rFonts w:eastAsia="Times New Roman"/>
        </w:rPr>
        <w:t>Wzory wniosków o określenie warunków przyłączenia mogą być zróżnicowane dla poszczególnych grup przyłączeniowych oraz w zależności od rodzaju przyłączanego obiektu, instalacji lub sieci.</w:t>
      </w:r>
    </w:p>
    <w:p w14:paraId="14D5207D" w14:textId="77777777" w:rsidR="0031730D" w:rsidRDefault="0031730D">
      <w:pPr>
        <w:numPr>
          <w:ilvl w:val="0"/>
          <w:numId w:val="229"/>
        </w:numPr>
        <w:spacing w:line="236" w:lineRule="auto"/>
        <w:ind w:right="20" w:hanging="780"/>
        <w:jc w:val="both"/>
        <w:rPr>
          <w:rFonts w:eastAsia="Times New Roman"/>
        </w:rPr>
      </w:pPr>
      <w:r>
        <w:rPr>
          <w:rFonts w:eastAsia="Times New Roman"/>
        </w:rPr>
        <w:t>Do wniosku, o którym mowa w pkt. II.1.3 należy załączyć:</w:t>
      </w:r>
    </w:p>
    <w:p w14:paraId="2BB9AA9B" w14:textId="3617AD11" w:rsidR="00E64248" w:rsidRDefault="00E64248">
      <w:pPr>
        <w:numPr>
          <w:ilvl w:val="0"/>
          <w:numId w:val="51"/>
        </w:numPr>
        <w:spacing w:line="0" w:lineRule="atLeast"/>
        <w:ind w:left="993" w:hanging="284"/>
        <w:jc w:val="both"/>
        <w:rPr>
          <w:rFonts w:eastAsia="Times New Roman"/>
        </w:rPr>
      </w:pPr>
      <w:r w:rsidRPr="00ED140B">
        <w:rPr>
          <w:rFonts w:cs="Times New Roman"/>
          <w:sz w:val="22"/>
          <w:szCs w:val="22"/>
        </w:rPr>
        <w:t xml:space="preserve">dokument potwierdzający tytuł prawny podmiotu do korzystania z nieruchomości, na której jest planowana inwestycja określona we wniosku z wyłączeniem źródeł zlokalizowanych </w:t>
      </w:r>
      <w:r w:rsidR="00534B6C">
        <w:rPr>
          <w:rFonts w:cs="Times New Roman"/>
          <w:sz w:val="22"/>
          <w:szCs w:val="22"/>
        </w:rPr>
        <w:br/>
      </w:r>
      <w:r w:rsidRPr="00ED140B">
        <w:rPr>
          <w:rFonts w:cs="Times New Roman"/>
          <w:sz w:val="22"/>
          <w:szCs w:val="22"/>
        </w:rPr>
        <w:t>w polskim obszarze morskim</w:t>
      </w:r>
      <w:r>
        <w:rPr>
          <w:rFonts w:eastAsia="Times New Roman"/>
        </w:rPr>
        <w:t xml:space="preserve"> </w:t>
      </w:r>
    </w:p>
    <w:p w14:paraId="374AE4F4" w14:textId="3EDFD34B" w:rsidR="00553710" w:rsidRDefault="00553710">
      <w:pPr>
        <w:numPr>
          <w:ilvl w:val="0"/>
          <w:numId w:val="51"/>
        </w:numPr>
        <w:spacing w:line="0" w:lineRule="atLeast"/>
        <w:ind w:left="993" w:hanging="284"/>
        <w:jc w:val="both"/>
        <w:rPr>
          <w:rFonts w:eastAsia="Times New Roman"/>
        </w:rPr>
      </w:pPr>
      <w:r>
        <w:rPr>
          <w:rFonts w:eastAsia="Times New Roman"/>
        </w:rPr>
        <w:t xml:space="preserve">plan zabudowy lub szkic sytuacyjny określający usytuowanie obiektu, w którym będą używane przyłączane urządzenia, instalacje lub sieci względem istniejącej sieci oraz </w:t>
      </w:r>
      <w:r w:rsidR="00E921F1">
        <w:rPr>
          <w:rFonts w:eastAsia="Times New Roman"/>
        </w:rPr>
        <w:t>s</w:t>
      </w:r>
      <w:r>
        <w:rPr>
          <w:rFonts w:eastAsia="Times New Roman"/>
        </w:rPr>
        <w:t>ąsiednich obiektów,</w:t>
      </w:r>
    </w:p>
    <w:p w14:paraId="4F3E28FA" w14:textId="77777777" w:rsidR="00572BA3" w:rsidRDefault="00572BA3">
      <w:pPr>
        <w:numPr>
          <w:ilvl w:val="0"/>
          <w:numId w:val="51"/>
        </w:numPr>
        <w:spacing w:line="236" w:lineRule="auto"/>
        <w:ind w:left="993" w:hanging="284"/>
        <w:jc w:val="both"/>
        <w:rPr>
          <w:rFonts w:eastAsia="Times New Roman"/>
        </w:rPr>
      </w:pPr>
      <w:r>
        <w:rPr>
          <w:rFonts w:eastAsia="Times New Roman"/>
        </w:rPr>
        <w:t>w przypadku podmiotów ubiegających się o przyłączenie źródła energii elektrycznej do sieci elektroenergetycznej o napięciu znamionowym wyższym niż 1 kV (innych niż mikroinstalacje):</w:t>
      </w:r>
    </w:p>
    <w:p w14:paraId="39607DD0" w14:textId="08E7BC0F" w:rsidR="00F47506" w:rsidRPr="00DA7AC6" w:rsidRDefault="00F47506" w:rsidP="00DA7AC6">
      <w:pPr>
        <w:ind w:left="1276" w:hanging="283"/>
        <w:jc w:val="both"/>
        <w:rPr>
          <w:b/>
          <w:i/>
        </w:rPr>
      </w:pPr>
      <w:r w:rsidRPr="00ED140B">
        <w:lastRenderedPageBreak/>
        <w:t>•</w:t>
      </w:r>
      <w:r w:rsidRPr="00ED140B">
        <w:tab/>
      </w:r>
      <w:r w:rsidRPr="00DA7AC6">
        <w:t xml:space="preserve">wypis i wyrys z miejscowego planu zagospodarowania przestrzennego albo </w:t>
      </w:r>
      <w:r w:rsidRPr="00DA7AC6">
        <w:br/>
        <w:t xml:space="preserve">w przypadku braku takiego planu, decyzję o warunkach zabudowy </w:t>
      </w:r>
      <w:r w:rsidRPr="00DA7AC6">
        <w:br/>
        <w:t>i zagospodarowania terenu dla nieruchomości określonej we wniosku, jeżeli jest ona wymagana na podstawie przepisów o planowaniu i zagospodarowaniu przestrzennym, albo</w:t>
      </w:r>
    </w:p>
    <w:p w14:paraId="45C755D3" w14:textId="77777777" w:rsidR="00F47506" w:rsidRPr="00DA7AC6" w:rsidRDefault="00F47506" w:rsidP="00DA7AC6">
      <w:pPr>
        <w:ind w:left="1276" w:hanging="283"/>
        <w:jc w:val="both"/>
        <w:rPr>
          <w:b/>
          <w:i/>
        </w:rPr>
      </w:pPr>
      <w:r w:rsidRPr="00DA7AC6">
        <w:t>•</w:t>
      </w:r>
      <w:r w:rsidRPr="00DA7AC6">
        <w:tab/>
        <w:t xml:space="preserve">decyzję o ustaleniu lokalizacji inwestycji w zakresie budowy obiektu energetyki jądrowej wydaną zgodnie z przepisami ustawy z dnia 29 czerwca 2011 r. </w:t>
      </w:r>
      <w:r w:rsidRPr="00DA7AC6">
        <w:br/>
        <w:t xml:space="preserve">o przygotowaniu i realizacji inwestycji w zakresie obiektów energetyki jądrowej oraz inwestycji towarzyszących (Dz. U. z 2018 r., poz. 1537, z późn. zmianami.), </w:t>
      </w:r>
      <w:r w:rsidRPr="00DA7AC6">
        <w:br/>
        <w:t>w przypadku budowy obiektu energetyki jądrowej, albo</w:t>
      </w:r>
    </w:p>
    <w:p w14:paraId="0B346183" w14:textId="77777777" w:rsidR="00F47506" w:rsidRPr="00DA7AC6" w:rsidRDefault="00F47506" w:rsidP="00DA7AC6">
      <w:pPr>
        <w:ind w:left="1276" w:hanging="283"/>
        <w:jc w:val="both"/>
        <w:rPr>
          <w:b/>
          <w:i/>
        </w:rPr>
      </w:pPr>
      <w:r w:rsidRPr="00DA7AC6">
        <w:t>•</w:t>
      </w:r>
      <w:r w:rsidRPr="00DA7AC6">
        <w:tab/>
        <w:t xml:space="preserve">pozwolenie na wznoszenie i wykorzystywanie sztucznych wysp, konstrukcji </w:t>
      </w:r>
      <w:r w:rsidRPr="00DA7AC6">
        <w:br/>
        <w:t xml:space="preserve">i urządzeń w polskich obszarach morskich wydane zgodnie z przepisami ustawy </w:t>
      </w:r>
      <w:r w:rsidRPr="00DA7AC6">
        <w:br/>
        <w:t xml:space="preserve">z dnia 21 marca 1991 r. o obszarach morskich Rzeczypospolitej Polskiej </w:t>
      </w:r>
      <w:r w:rsidRPr="00DA7AC6">
        <w:br/>
        <w:t xml:space="preserve">i administracji morskiej (Dz. U. z 2020 r. poz. 2135, z późn. zmianami.), </w:t>
      </w:r>
      <w:r w:rsidRPr="00DA7AC6">
        <w:br/>
        <w:t>w przypadku budowy źródła w polskim obszarze morskim,</w:t>
      </w:r>
    </w:p>
    <w:p w14:paraId="1407A1D0" w14:textId="77777777" w:rsidR="00572BA3" w:rsidRDefault="00572BA3" w:rsidP="00E921F1">
      <w:pPr>
        <w:spacing w:line="122" w:lineRule="exact"/>
        <w:ind w:left="993" w:hanging="284"/>
        <w:rPr>
          <w:rFonts w:eastAsia="Times New Roman"/>
        </w:rPr>
      </w:pPr>
    </w:p>
    <w:p w14:paraId="03D75B38" w14:textId="77777777" w:rsidR="00572BA3" w:rsidRPr="00C51A6A" w:rsidRDefault="00572BA3" w:rsidP="00E921F1">
      <w:pPr>
        <w:spacing w:line="0" w:lineRule="atLeast"/>
        <w:ind w:left="1134"/>
        <w:jc w:val="both"/>
        <w:rPr>
          <w:rFonts w:eastAsia="Times New Roman"/>
          <w:szCs w:val="24"/>
        </w:rPr>
      </w:pPr>
      <w:r w:rsidRPr="00C51A6A">
        <w:rPr>
          <w:rFonts w:eastAsia="Times New Roman"/>
          <w:szCs w:val="24"/>
        </w:rPr>
        <w:t>Wypis i wyrys z miejscowego planu zagospodarowania przestrzennego, decyzję</w:t>
      </w:r>
      <w:r w:rsidR="00B0727A">
        <w:rPr>
          <w:rFonts w:eastAsia="Times New Roman"/>
          <w:szCs w:val="24"/>
        </w:rPr>
        <w:t xml:space="preserve"> </w:t>
      </w:r>
      <w:r w:rsidR="00B0727A">
        <w:rPr>
          <w:rFonts w:eastAsia="Times New Roman"/>
          <w:szCs w:val="24"/>
        </w:rPr>
        <w:br/>
        <w:t xml:space="preserve">o </w:t>
      </w:r>
      <w:r w:rsidRPr="00C51A6A">
        <w:rPr>
          <w:rFonts w:eastAsia="Times New Roman"/>
          <w:szCs w:val="24"/>
        </w:rPr>
        <w:t>warunkach zabudowy i zagospodarowania terenu, decyzję o ustaleniu lokalizacji inwestycji w zakresie budowy obiektu energetyki jądrowej lub pozwolenie na wznoszenie i wykorzystanie sztucznych wysp, konstrukcji</w:t>
      </w:r>
      <w:r w:rsidR="007B20C9">
        <w:rPr>
          <w:rFonts w:eastAsia="Times New Roman"/>
          <w:szCs w:val="24"/>
        </w:rPr>
        <w:t xml:space="preserve"> </w:t>
      </w:r>
      <w:r w:rsidRPr="00C51A6A">
        <w:rPr>
          <w:rFonts w:eastAsia="Times New Roman"/>
          <w:szCs w:val="24"/>
        </w:rPr>
        <w:t xml:space="preserve">i urządzeń w polskich obszarach morskich powinny potwierdzać dopuszczalność lokalizacji danego źródła energii na terenie objętym planowaną inwestycją, która jest objęta wnioskiem </w:t>
      </w:r>
      <w:r w:rsidR="0048465E">
        <w:rPr>
          <w:rFonts w:eastAsia="Times New Roman"/>
          <w:szCs w:val="24"/>
        </w:rPr>
        <w:br/>
      </w:r>
      <w:r w:rsidRPr="00C51A6A">
        <w:rPr>
          <w:rFonts w:eastAsia="Times New Roman"/>
          <w:szCs w:val="24"/>
        </w:rPr>
        <w:t>o określenie warunków przyłączenia,</w:t>
      </w:r>
    </w:p>
    <w:p w14:paraId="77D31EB9" w14:textId="77777777" w:rsidR="00572BA3" w:rsidRDefault="00572BA3">
      <w:pPr>
        <w:numPr>
          <w:ilvl w:val="0"/>
          <w:numId w:val="51"/>
        </w:numPr>
        <w:spacing w:line="236" w:lineRule="auto"/>
        <w:ind w:left="993" w:right="20" w:hanging="284"/>
        <w:jc w:val="both"/>
        <w:rPr>
          <w:rFonts w:eastAsia="Times New Roman"/>
        </w:rPr>
      </w:pPr>
      <w:r>
        <w:rPr>
          <w:rFonts w:eastAsia="Times New Roman"/>
        </w:rPr>
        <w:t>w przypadku podmiotów przyłączonych, schemat układu zasilania lub instalacji wnioskodawcy oraz krótki opis zainstalowanych</w:t>
      </w:r>
      <w:r w:rsidR="005917AF">
        <w:rPr>
          <w:rFonts w:eastAsia="Times New Roman"/>
        </w:rPr>
        <w:t xml:space="preserve"> </w:t>
      </w:r>
      <w:r>
        <w:rPr>
          <w:rFonts w:eastAsia="Times New Roman"/>
        </w:rPr>
        <w:t>w obiekcie/przewidzianych do zainstalowania urządzeń,</w:t>
      </w:r>
    </w:p>
    <w:p w14:paraId="794EA5ED" w14:textId="77777777" w:rsidR="00572BA3" w:rsidRDefault="00572BA3">
      <w:pPr>
        <w:numPr>
          <w:ilvl w:val="0"/>
          <w:numId w:val="51"/>
        </w:numPr>
        <w:spacing w:line="235" w:lineRule="auto"/>
        <w:ind w:left="993" w:hanging="284"/>
        <w:jc w:val="both"/>
        <w:rPr>
          <w:rFonts w:eastAsia="Times New Roman"/>
        </w:rPr>
      </w:pPr>
      <w:r>
        <w:rPr>
          <w:rFonts w:eastAsia="Times New Roman"/>
        </w:rPr>
        <w:t xml:space="preserve">w przypadku podmiotów ubiegających się o przyłączenie źródła energii elektrycznej, parametry techniczne jednostki wytwórczej. Parametry należy przedstawić zgodnie </w:t>
      </w:r>
      <w:r w:rsidR="007F4D46">
        <w:rPr>
          <w:rFonts w:eastAsia="Times New Roman"/>
        </w:rPr>
        <w:br/>
      </w:r>
      <w:r>
        <w:rPr>
          <w:rFonts w:eastAsia="Times New Roman"/>
        </w:rPr>
        <w:t>z załączonym do wniosku szablonem,</w:t>
      </w:r>
    </w:p>
    <w:p w14:paraId="594065B7" w14:textId="77777777" w:rsidR="00572BA3" w:rsidRPr="00FA49B5" w:rsidRDefault="00572BA3">
      <w:pPr>
        <w:numPr>
          <w:ilvl w:val="0"/>
          <w:numId w:val="51"/>
        </w:numPr>
        <w:spacing w:line="236" w:lineRule="auto"/>
        <w:ind w:left="993" w:right="20" w:hanging="284"/>
        <w:jc w:val="both"/>
        <w:rPr>
          <w:rFonts w:eastAsia="Times New Roman"/>
          <w:color w:val="000000"/>
        </w:rPr>
      </w:pPr>
      <w:r w:rsidRPr="00FA49B5">
        <w:rPr>
          <w:rFonts w:eastAsia="Times New Roman"/>
          <w:color w:val="000000"/>
        </w:rPr>
        <w:t>w przypadku składania wniosku przez podmioty prawne: wypis z Krajowego Rejestru Sądowego, innego rejestru lub zaświadczenie o wpisie do ewidencji działalności gospodarczej.</w:t>
      </w:r>
    </w:p>
    <w:p w14:paraId="168AF79F" w14:textId="77777777" w:rsidR="00572BA3" w:rsidRPr="006163F0" w:rsidRDefault="00572BA3">
      <w:pPr>
        <w:numPr>
          <w:ilvl w:val="0"/>
          <w:numId w:val="229"/>
        </w:numPr>
        <w:spacing w:line="0" w:lineRule="atLeast"/>
        <w:ind w:right="-19" w:hanging="780"/>
        <w:jc w:val="both"/>
        <w:rPr>
          <w:rFonts w:eastAsia="Times New Roman"/>
        </w:rPr>
      </w:pPr>
      <w:r w:rsidRPr="006163F0">
        <w:rPr>
          <w:rFonts w:eastAsia="Times New Roman"/>
        </w:rPr>
        <w:t xml:space="preserve">Zakres i warunki wykonania ekspertyzy wpływu przyłączanych urządzeń, instalacji </w:t>
      </w:r>
      <w:r w:rsidR="00C40954">
        <w:rPr>
          <w:rFonts w:eastAsia="Times New Roman"/>
        </w:rPr>
        <w:br/>
      </w:r>
      <w:r w:rsidRPr="006163F0">
        <w:rPr>
          <w:rFonts w:eastAsia="Times New Roman"/>
        </w:rPr>
        <w:t xml:space="preserve">i sieci określa </w:t>
      </w:r>
      <w:r w:rsidR="006163F0">
        <w:rPr>
          <w:rFonts w:eastAsia="Times New Roman"/>
        </w:rPr>
        <w:t>OSDn</w:t>
      </w:r>
      <w:r w:rsidRPr="006163F0">
        <w:rPr>
          <w:rFonts w:eastAsia="Times New Roman"/>
        </w:rPr>
        <w:t>. Koszty wykonania ekspertyzy uwzględnia się w opłacie za przyłączenie.</w:t>
      </w:r>
    </w:p>
    <w:p w14:paraId="6C4A55F1" w14:textId="77777777" w:rsidR="00572BA3" w:rsidRDefault="00572BA3">
      <w:pPr>
        <w:numPr>
          <w:ilvl w:val="0"/>
          <w:numId w:val="229"/>
        </w:numPr>
        <w:spacing w:line="234" w:lineRule="auto"/>
        <w:ind w:right="20" w:hanging="780"/>
        <w:jc w:val="both"/>
        <w:rPr>
          <w:rFonts w:eastAsia="Times New Roman"/>
        </w:rPr>
      </w:pPr>
      <w:r>
        <w:rPr>
          <w:rFonts w:eastAsia="Times New Roman"/>
        </w:rPr>
        <w:t>Warunki przyłączenia, w zależności od danych zawartych we wniosku</w:t>
      </w:r>
      <w:r w:rsidR="00427BBA">
        <w:rPr>
          <w:rFonts w:eastAsia="Times New Roman"/>
        </w:rPr>
        <w:t>,</w:t>
      </w:r>
      <w:r>
        <w:rPr>
          <w:rFonts w:eastAsia="Times New Roman"/>
        </w:rPr>
        <w:t xml:space="preserve"> o którym mowa w pkt. II.1.3., zawierają w szczególności:</w:t>
      </w:r>
    </w:p>
    <w:p w14:paraId="4C18B95D" w14:textId="0342FCC5" w:rsidR="00A77651" w:rsidRPr="00A77651" w:rsidRDefault="00A77651" w:rsidP="00FA49B5">
      <w:pPr>
        <w:numPr>
          <w:ilvl w:val="0"/>
          <w:numId w:val="9"/>
        </w:numPr>
        <w:spacing w:line="234" w:lineRule="auto"/>
        <w:ind w:left="1134" w:right="20" w:hanging="425"/>
        <w:jc w:val="both"/>
        <w:rPr>
          <w:rFonts w:eastAsia="Times New Roman"/>
        </w:rPr>
      </w:pPr>
      <w:r w:rsidRPr="00ED140B">
        <w:rPr>
          <w:sz w:val="22"/>
          <w:szCs w:val="22"/>
        </w:rPr>
        <w:t>oznaczenie nieruchomości, obiektu lub lokalu, do których energia elektryczna ma być dostarczana lub z których ma być odbierana,</w:t>
      </w:r>
    </w:p>
    <w:p w14:paraId="3BE7C7BD" w14:textId="79E36C69" w:rsidR="00A77651" w:rsidRDefault="00A77651" w:rsidP="00FA49B5">
      <w:pPr>
        <w:numPr>
          <w:ilvl w:val="0"/>
          <w:numId w:val="9"/>
        </w:numPr>
        <w:spacing w:line="234" w:lineRule="auto"/>
        <w:ind w:left="1134" w:right="20" w:hanging="425"/>
        <w:jc w:val="both"/>
        <w:rPr>
          <w:rFonts w:eastAsia="Times New Roman"/>
        </w:rPr>
      </w:pPr>
      <w:r w:rsidRPr="00ED140B">
        <w:rPr>
          <w:sz w:val="22"/>
          <w:szCs w:val="22"/>
        </w:rPr>
        <w:t>miejsce rozgraniczenia własności sieci OSDn i urządzeń, instalacji lub sieci podmiotu przyłączanego,</w:t>
      </w:r>
    </w:p>
    <w:p w14:paraId="7ACFEDD1" w14:textId="5945213B" w:rsidR="00572BA3" w:rsidRDefault="00572BA3" w:rsidP="00FA49B5">
      <w:pPr>
        <w:numPr>
          <w:ilvl w:val="0"/>
          <w:numId w:val="9"/>
        </w:numPr>
        <w:spacing w:line="234" w:lineRule="auto"/>
        <w:ind w:left="1134" w:right="20" w:hanging="425"/>
        <w:jc w:val="both"/>
        <w:rPr>
          <w:rFonts w:eastAsia="Times New Roman"/>
        </w:rPr>
      </w:pPr>
      <w:r>
        <w:rPr>
          <w:rFonts w:eastAsia="Times New Roman"/>
        </w:rPr>
        <w:t xml:space="preserve">miejsce przyłączenia, rozumiane jako punkt w sieci, w którym przyłącze łączy się </w:t>
      </w:r>
      <w:r w:rsidR="000F681C">
        <w:rPr>
          <w:rFonts w:eastAsia="Times New Roman"/>
        </w:rPr>
        <w:br/>
      </w:r>
      <w:r>
        <w:rPr>
          <w:rFonts w:eastAsia="Times New Roman"/>
        </w:rPr>
        <w:t>z siecią,</w:t>
      </w:r>
    </w:p>
    <w:p w14:paraId="15E36117" w14:textId="77777777" w:rsidR="00572BA3" w:rsidRDefault="00572BA3" w:rsidP="00FA49B5">
      <w:pPr>
        <w:numPr>
          <w:ilvl w:val="0"/>
          <w:numId w:val="9"/>
        </w:numPr>
        <w:spacing w:line="0" w:lineRule="atLeast"/>
        <w:ind w:left="1134" w:hanging="425"/>
        <w:jc w:val="both"/>
        <w:rPr>
          <w:rFonts w:eastAsia="Times New Roman"/>
        </w:rPr>
      </w:pPr>
      <w:r>
        <w:rPr>
          <w:rFonts w:eastAsia="Times New Roman"/>
        </w:rPr>
        <w:t>miejsce dostarczania energii elektrycznej,</w:t>
      </w:r>
    </w:p>
    <w:p w14:paraId="4F107410" w14:textId="77777777" w:rsidR="00572BA3" w:rsidRDefault="00572BA3" w:rsidP="00FA49B5">
      <w:pPr>
        <w:numPr>
          <w:ilvl w:val="0"/>
          <w:numId w:val="9"/>
        </w:numPr>
        <w:spacing w:line="0" w:lineRule="atLeast"/>
        <w:ind w:left="1134" w:hanging="425"/>
        <w:jc w:val="both"/>
        <w:rPr>
          <w:rFonts w:eastAsia="Times New Roman"/>
        </w:rPr>
      </w:pPr>
      <w:r>
        <w:rPr>
          <w:rFonts w:eastAsia="Times New Roman"/>
        </w:rPr>
        <w:t>moc przyłączeniową,</w:t>
      </w:r>
    </w:p>
    <w:p w14:paraId="4541794E" w14:textId="77777777" w:rsidR="00572BA3" w:rsidRDefault="00572BA3" w:rsidP="00FA49B5">
      <w:pPr>
        <w:numPr>
          <w:ilvl w:val="0"/>
          <w:numId w:val="9"/>
        </w:numPr>
        <w:spacing w:line="0" w:lineRule="atLeast"/>
        <w:ind w:left="1134" w:hanging="425"/>
        <w:jc w:val="both"/>
        <w:rPr>
          <w:rFonts w:eastAsia="Times New Roman"/>
        </w:rPr>
      </w:pPr>
      <w:r>
        <w:rPr>
          <w:rFonts w:eastAsia="Times New Roman"/>
        </w:rPr>
        <w:t>rodzaj przyłącza,</w:t>
      </w:r>
    </w:p>
    <w:p w14:paraId="7BD789F6" w14:textId="77777777" w:rsidR="00572BA3" w:rsidRDefault="00572BA3" w:rsidP="00FA49B5">
      <w:pPr>
        <w:numPr>
          <w:ilvl w:val="0"/>
          <w:numId w:val="9"/>
        </w:numPr>
        <w:spacing w:line="0" w:lineRule="atLeast"/>
        <w:ind w:left="1134" w:hanging="425"/>
        <w:jc w:val="both"/>
        <w:rPr>
          <w:rFonts w:eastAsia="Times New Roman"/>
        </w:rPr>
      </w:pPr>
      <w:r>
        <w:rPr>
          <w:rFonts w:eastAsia="Times New Roman"/>
        </w:rPr>
        <w:t>zakres niezbędnych zmian w sieci związanych z przyłączeniem,</w:t>
      </w:r>
    </w:p>
    <w:p w14:paraId="16D4A066" w14:textId="77777777" w:rsidR="00572BA3" w:rsidRDefault="00572BA3" w:rsidP="00FA49B5">
      <w:pPr>
        <w:numPr>
          <w:ilvl w:val="0"/>
          <w:numId w:val="9"/>
        </w:numPr>
        <w:spacing w:line="234" w:lineRule="auto"/>
        <w:ind w:left="1134" w:right="20" w:hanging="425"/>
        <w:jc w:val="both"/>
        <w:rPr>
          <w:rFonts w:eastAsia="Times New Roman"/>
        </w:rPr>
      </w:pPr>
      <w:r>
        <w:rPr>
          <w:rFonts w:eastAsia="Times New Roman"/>
        </w:rPr>
        <w:t>dane znamionowe urządzeń, instalacji i sieci oraz dopuszczalne, graniczne parametry ich pracy,</w:t>
      </w:r>
    </w:p>
    <w:p w14:paraId="761A309C" w14:textId="77777777" w:rsidR="00572BA3" w:rsidRDefault="00572BA3" w:rsidP="00FA49B5">
      <w:pPr>
        <w:numPr>
          <w:ilvl w:val="0"/>
          <w:numId w:val="9"/>
        </w:numPr>
        <w:spacing w:line="234" w:lineRule="auto"/>
        <w:ind w:left="1134" w:right="20" w:hanging="425"/>
        <w:jc w:val="both"/>
        <w:rPr>
          <w:rFonts w:eastAsia="Times New Roman"/>
        </w:rPr>
      </w:pPr>
      <w:r>
        <w:rPr>
          <w:rFonts w:eastAsia="Times New Roman"/>
        </w:rPr>
        <w:t>dopuszczalny poziom zmienności parametrów technicznych i jakościowych energii elektrycznej,</w:t>
      </w:r>
    </w:p>
    <w:p w14:paraId="65C7BC6B" w14:textId="77777777" w:rsidR="00572BA3" w:rsidRDefault="00572BA3" w:rsidP="00FA49B5">
      <w:pPr>
        <w:numPr>
          <w:ilvl w:val="0"/>
          <w:numId w:val="9"/>
        </w:numPr>
        <w:spacing w:line="0" w:lineRule="atLeast"/>
        <w:ind w:left="1134" w:hanging="425"/>
        <w:jc w:val="both"/>
        <w:rPr>
          <w:rFonts w:eastAsia="Times New Roman"/>
        </w:rPr>
      </w:pPr>
      <w:r>
        <w:rPr>
          <w:rFonts w:eastAsia="Times New Roman"/>
        </w:rPr>
        <w:lastRenderedPageBreak/>
        <w:t>miejsce zainstalowania układu pomiarowo-rozliczeniowego,</w:t>
      </w:r>
    </w:p>
    <w:p w14:paraId="3A943681" w14:textId="77777777" w:rsidR="00572BA3" w:rsidRDefault="00572BA3" w:rsidP="00FA49B5">
      <w:pPr>
        <w:numPr>
          <w:ilvl w:val="0"/>
          <w:numId w:val="9"/>
        </w:numPr>
        <w:spacing w:line="234" w:lineRule="auto"/>
        <w:ind w:left="1134" w:hanging="425"/>
        <w:jc w:val="both"/>
        <w:rPr>
          <w:rFonts w:eastAsia="Times New Roman"/>
        </w:rPr>
      </w:pPr>
      <w:r>
        <w:rPr>
          <w:rFonts w:eastAsia="Times New Roman"/>
        </w:rPr>
        <w:t xml:space="preserve">wymagania dotyczące układu pomiarowo-rozliczeniowego i jego współpracy </w:t>
      </w:r>
      <w:r w:rsidR="00C01D24">
        <w:rPr>
          <w:rFonts w:eastAsia="Times New Roman"/>
        </w:rPr>
        <w:br/>
      </w:r>
      <w:r>
        <w:rPr>
          <w:rFonts w:eastAsia="Times New Roman"/>
        </w:rPr>
        <w:t>z systemem pomiarowo-rozliczeniowym,</w:t>
      </w:r>
    </w:p>
    <w:p w14:paraId="62FBC056" w14:textId="77777777" w:rsidR="00572BA3" w:rsidRDefault="00572BA3" w:rsidP="00FA49B5">
      <w:pPr>
        <w:numPr>
          <w:ilvl w:val="0"/>
          <w:numId w:val="9"/>
        </w:numPr>
        <w:spacing w:line="236" w:lineRule="auto"/>
        <w:ind w:left="1134" w:hanging="425"/>
        <w:jc w:val="both"/>
        <w:rPr>
          <w:rFonts w:eastAsia="Times New Roman"/>
        </w:rPr>
      </w:pPr>
      <w:r>
        <w:rPr>
          <w:rFonts w:eastAsia="Times New Roman"/>
        </w:rPr>
        <w:t>rodzaj i usytuowanie zabezpieczeń, dane znamionowe, warunki współpracy oraz inne niezbędne wymagania w zakresie elektroenergetycznej automatyki zabezpieczeniowej i systemowej,</w:t>
      </w:r>
    </w:p>
    <w:p w14:paraId="6F0E9C66" w14:textId="77777777" w:rsidR="00572BA3" w:rsidRDefault="00572BA3" w:rsidP="00FA49B5">
      <w:pPr>
        <w:numPr>
          <w:ilvl w:val="0"/>
          <w:numId w:val="9"/>
        </w:numPr>
        <w:spacing w:line="0" w:lineRule="atLeast"/>
        <w:ind w:left="1134" w:hanging="425"/>
        <w:jc w:val="both"/>
        <w:rPr>
          <w:rFonts w:eastAsia="Times New Roman"/>
        </w:rPr>
      </w:pPr>
      <w:r>
        <w:rPr>
          <w:rFonts w:eastAsia="Times New Roman"/>
        </w:rPr>
        <w:t>dane umożliwiające określenie w miejscu przyłączenia:</w:t>
      </w:r>
    </w:p>
    <w:p w14:paraId="1E92EA3F" w14:textId="77777777" w:rsidR="00572BA3" w:rsidRDefault="00572BA3" w:rsidP="0061745E">
      <w:pPr>
        <w:numPr>
          <w:ilvl w:val="1"/>
          <w:numId w:val="9"/>
        </w:numPr>
        <w:spacing w:line="0" w:lineRule="atLeast"/>
        <w:ind w:left="1418" w:hanging="284"/>
        <w:jc w:val="both"/>
        <w:rPr>
          <w:rFonts w:eastAsia="Times New Roman"/>
        </w:rPr>
      </w:pPr>
      <w:r>
        <w:rPr>
          <w:rFonts w:eastAsia="Times New Roman"/>
        </w:rPr>
        <w:t>wartości prądów zwarć wielofazowych i czasów ich wyłączenia,</w:t>
      </w:r>
    </w:p>
    <w:p w14:paraId="053129AA" w14:textId="77777777" w:rsidR="00572BA3" w:rsidRDefault="00572BA3" w:rsidP="0061745E">
      <w:pPr>
        <w:numPr>
          <w:ilvl w:val="1"/>
          <w:numId w:val="9"/>
        </w:numPr>
        <w:spacing w:line="0" w:lineRule="atLeast"/>
        <w:ind w:left="1418" w:hanging="284"/>
        <w:jc w:val="both"/>
        <w:rPr>
          <w:rFonts w:eastAsia="Times New Roman"/>
        </w:rPr>
      </w:pPr>
      <w:r>
        <w:rPr>
          <w:rFonts w:eastAsia="Times New Roman"/>
        </w:rPr>
        <w:t>prądów zwarcia doziemnego i czasów ich wyłączeń lub ich trwania;</w:t>
      </w:r>
    </w:p>
    <w:p w14:paraId="4A1809C4" w14:textId="77777777" w:rsidR="00572BA3" w:rsidRDefault="00572BA3" w:rsidP="00FA49B5">
      <w:pPr>
        <w:numPr>
          <w:ilvl w:val="0"/>
          <w:numId w:val="9"/>
        </w:numPr>
        <w:spacing w:line="0" w:lineRule="atLeast"/>
        <w:ind w:left="1134" w:hanging="425"/>
        <w:jc w:val="both"/>
        <w:rPr>
          <w:rFonts w:eastAsia="Times New Roman"/>
        </w:rPr>
      </w:pPr>
      <w:r>
        <w:rPr>
          <w:rFonts w:eastAsia="Times New Roman"/>
        </w:rPr>
        <w:t>wymagany stopień skompensowania mocy biernej,</w:t>
      </w:r>
    </w:p>
    <w:p w14:paraId="173B8816" w14:textId="77777777" w:rsidR="00572BA3" w:rsidRDefault="00572BA3" w:rsidP="00FA49B5">
      <w:pPr>
        <w:numPr>
          <w:ilvl w:val="0"/>
          <w:numId w:val="9"/>
        </w:numPr>
        <w:spacing w:line="0" w:lineRule="atLeast"/>
        <w:ind w:left="1134" w:hanging="425"/>
        <w:jc w:val="both"/>
        <w:rPr>
          <w:rFonts w:eastAsia="Times New Roman"/>
        </w:rPr>
      </w:pPr>
      <w:r>
        <w:rPr>
          <w:rFonts w:eastAsia="Times New Roman"/>
        </w:rPr>
        <w:t>wymagania w zakresie:</w:t>
      </w:r>
    </w:p>
    <w:p w14:paraId="61E06C56" w14:textId="77777777" w:rsidR="00572BA3" w:rsidRDefault="00572BA3" w:rsidP="00FA49B5">
      <w:pPr>
        <w:numPr>
          <w:ilvl w:val="1"/>
          <w:numId w:val="9"/>
        </w:numPr>
        <w:spacing w:line="234" w:lineRule="auto"/>
        <w:ind w:left="1418" w:right="20" w:hanging="284"/>
        <w:jc w:val="both"/>
        <w:rPr>
          <w:rFonts w:eastAsia="Times New Roman"/>
        </w:rPr>
      </w:pPr>
      <w:r>
        <w:rPr>
          <w:rFonts w:eastAsia="Times New Roman"/>
        </w:rPr>
        <w:t>dostosowania przyłączanych urządzeń, instalacji lub sieci do systemów sterowania dyspozytorskiego,</w:t>
      </w:r>
    </w:p>
    <w:p w14:paraId="79A90FDB" w14:textId="77777777" w:rsidR="00572BA3" w:rsidRDefault="00572BA3" w:rsidP="00FA49B5">
      <w:pPr>
        <w:numPr>
          <w:ilvl w:val="1"/>
          <w:numId w:val="9"/>
        </w:numPr>
        <w:spacing w:line="234" w:lineRule="auto"/>
        <w:ind w:left="1418" w:hanging="284"/>
        <w:jc w:val="both"/>
        <w:rPr>
          <w:rFonts w:eastAsia="Times New Roman"/>
        </w:rPr>
      </w:pPr>
      <w:r>
        <w:rPr>
          <w:rFonts w:eastAsia="Times New Roman"/>
        </w:rPr>
        <w:t>przystosowania układu pomiarowo-rozliczeniowego do systemów zdalnego odczytu danych pomiarowych,</w:t>
      </w:r>
    </w:p>
    <w:p w14:paraId="65D244FC" w14:textId="77777777" w:rsidR="00572BA3" w:rsidRDefault="00572BA3" w:rsidP="00FA49B5">
      <w:pPr>
        <w:numPr>
          <w:ilvl w:val="1"/>
          <w:numId w:val="9"/>
        </w:numPr>
        <w:spacing w:line="234" w:lineRule="auto"/>
        <w:ind w:left="1418" w:right="20" w:hanging="284"/>
        <w:jc w:val="both"/>
        <w:rPr>
          <w:rFonts w:eastAsia="Times New Roman"/>
        </w:rPr>
      </w:pPr>
      <w:r>
        <w:rPr>
          <w:rFonts w:eastAsia="Times New Roman"/>
        </w:rPr>
        <w:t>zabezpieczenia sieci przed zakłóceniami elektrycznymi, powodowanymi przez instalacje lub sieci wnioskodawcy,</w:t>
      </w:r>
    </w:p>
    <w:p w14:paraId="4EAD5E46" w14:textId="77777777" w:rsidR="00572BA3" w:rsidRDefault="00572BA3" w:rsidP="00FA49B5">
      <w:pPr>
        <w:numPr>
          <w:ilvl w:val="1"/>
          <w:numId w:val="9"/>
        </w:numPr>
        <w:spacing w:line="234" w:lineRule="auto"/>
        <w:ind w:left="1418" w:right="20" w:hanging="284"/>
        <w:jc w:val="both"/>
        <w:rPr>
          <w:rFonts w:eastAsia="Times New Roman"/>
        </w:rPr>
      </w:pPr>
      <w:r>
        <w:rPr>
          <w:rFonts w:eastAsia="Times New Roman"/>
        </w:rPr>
        <w:t>wyposażenia, instalacji lub sieci, niezbędnego do współpracy z siecią, do której instalacje lub sieci są przyłączane,</w:t>
      </w:r>
    </w:p>
    <w:p w14:paraId="6C067E64" w14:textId="77777777" w:rsidR="00572BA3" w:rsidRDefault="00572BA3" w:rsidP="00FA49B5">
      <w:pPr>
        <w:numPr>
          <w:ilvl w:val="1"/>
          <w:numId w:val="9"/>
        </w:numPr>
        <w:spacing w:line="234" w:lineRule="auto"/>
        <w:ind w:left="1418" w:right="20" w:hanging="284"/>
        <w:jc w:val="both"/>
        <w:rPr>
          <w:rFonts w:eastAsia="Times New Roman"/>
        </w:rPr>
      </w:pPr>
      <w:r>
        <w:rPr>
          <w:rFonts w:eastAsia="Times New Roman"/>
        </w:rPr>
        <w:t>ochrony przeciwporażeniowej i przepięciowej przyłączanych sieci lub instalacji.</w:t>
      </w:r>
    </w:p>
    <w:p w14:paraId="502BAFCC" w14:textId="77777777" w:rsidR="00572BA3" w:rsidRDefault="00572BA3" w:rsidP="00FA49B5">
      <w:pPr>
        <w:numPr>
          <w:ilvl w:val="0"/>
          <w:numId w:val="9"/>
        </w:numPr>
        <w:spacing w:line="234" w:lineRule="auto"/>
        <w:ind w:left="1134" w:right="20" w:hanging="425"/>
        <w:jc w:val="both"/>
        <w:rPr>
          <w:rFonts w:eastAsia="Times New Roman"/>
        </w:rPr>
      </w:pPr>
      <w:r>
        <w:rPr>
          <w:rFonts w:eastAsia="Times New Roman"/>
        </w:rPr>
        <w:t>możliwości dostarczania energii elektrycznej w warunkach odmiennych od standardowych,</w:t>
      </w:r>
    </w:p>
    <w:p w14:paraId="37040D7C" w14:textId="77777777" w:rsidR="00572BA3" w:rsidRDefault="00572BA3" w:rsidP="00FA49B5">
      <w:pPr>
        <w:numPr>
          <w:ilvl w:val="0"/>
          <w:numId w:val="9"/>
        </w:numPr>
        <w:spacing w:line="234" w:lineRule="auto"/>
        <w:ind w:left="1134" w:right="20" w:hanging="425"/>
        <w:rPr>
          <w:rFonts w:eastAsia="Times New Roman"/>
        </w:rPr>
      </w:pPr>
      <w:bookmarkStart w:id="14" w:name="page21"/>
      <w:bookmarkEnd w:id="14"/>
      <w:r>
        <w:rPr>
          <w:rFonts w:eastAsia="Times New Roman"/>
        </w:rPr>
        <w:t>dane i informacje dotyczące sieci, niezbędne w celu doboru systemu ochrony od porażeń w instalacji lub sieci przyłączanego podmiotu,</w:t>
      </w:r>
    </w:p>
    <w:p w14:paraId="318628DC" w14:textId="77777777" w:rsidR="00572BA3" w:rsidRDefault="00572BA3" w:rsidP="00FA49B5">
      <w:pPr>
        <w:numPr>
          <w:ilvl w:val="0"/>
          <w:numId w:val="9"/>
        </w:numPr>
        <w:spacing w:line="237" w:lineRule="auto"/>
        <w:ind w:left="1134" w:hanging="425"/>
        <w:jc w:val="both"/>
        <w:rPr>
          <w:rFonts w:eastAsia="Times New Roman"/>
        </w:rPr>
      </w:pPr>
      <w:r>
        <w:rPr>
          <w:rFonts w:eastAsia="Times New Roman"/>
        </w:rPr>
        <w:t>ustalone, dla poszczególnych grup przyłączeniowych, dopuszczalne poziomy zaburzeń parametrów technicznych i jakościowych energii elektrycznej niepowodujących pogorszenia parametrów określonych w aktach wykonawczych do ustawy Prawo energetyczne albo ustalonych w umowie</w:t>
      </w:r>
      <w:r w:rsidR="000F681C">
        <w:rPr>
          <w:rFonts w:eastAsia="Times New Roman"/>
        </w:rPr>
        <w:t xml:space="preserve"> </w:t>
      </w:r>
      <w:r>
        <w:rPr>
          <w:rFonts w:eastAsia="Times New Roman"/>
        </w:rPr>
        <w:t>o świadczenie usługi przesyłowej albo dystrybucyjnej lub umowie kompleksowej,</w:t>
      </w:r>
    </w:p>
    <w:p w14:paraId="02DA5F76" w14:textId="77777777" w:rsidR="00572BA3" w:rsidRDefault="00572BA3" w:rsidP="00FA49B5">
      <w:pPr>
        <w:numPr>
          <w:ilvl w:val="0"/>
          <w:numId w:val="9"/>
        </w:numPr>
        <w:spacing w:line="236" w:lineRule="auto"/>
        <w:ind w:left="1134" w:right="20" w:hanging="425"/>
        <w:jc w:val="both"/>
        <w:rPr>
          <w:rFonts w:eastAsia="Times New Roman"/>
        </w:rPr>
      </w:pPr>
      <w:r>
        <w:rPr>
          <w:rFonts w:eastAsia="Times New Roman"/>
        </w:rPr>
        <w:t>przewidywany harmonogram przyłączenia odnawialnego źródła energii uwzględniający poszczególne etapy rozbudowy sieci, a także zestawienie planowanych prac.</w:t>
      </w:r>
    </w:p>
    <w:p w14:paraId="4BEE6DAC" w14:textId="77777777" w:rsidR="00572BA3" w:rsidRDefault="00CB42D3">
      <w:pPr>
        <w:numPr>
          <w:ilvl w:val="0"/>
          <w:numId w:val="52"/>
        </w:numPr>
        <w:spacing w:line="0" w:lineRule="atLeast"/>
        <w:ind w:left="709" w:hanging="709"/>
        <w:rPr>
          <w:rFonts w:eastAsia="Times New Roman"/>
        </w:rPr>
      </w:pPr>
      <w:r>
        <w:rPr>
          <w:rFonts w:eastAsia="Times New Roman"/>
        </w:rPr>
        <w:t>OSDn</w:t>
      </w:r>
      <w:r w:rsidR="00572BA3">
        <w:rPr>
          <w:rFonts w:eastAsia="Times New Roman"/>
        </w:rPr>
        <w:t xml:space="preserve"> wydaje warunki przyłączenia w następujących terminach:</w:t>
      </w:r>
    </w:p>
    <w:p w14:paraId="27954B86" w14:textId="7A183FFD" w:rsidR="00F00845" w:rsidRDefault="00F00845" w:rsidP="00FA49B5">
      <w:pPr>
        <w:numPr>
          <w:ilvl w:val="0"/>
          <w:numId w:val="10"/>
        </w:numPr>
        <w:spacing w:line="236" w:lineRule="auto"/>
        <w:ind w:left="1134" w:right="20" w:hanging="425"/>
        <w:jc w:val="both"/>
        <w:rPr>
          <w:rFonts w:eastAsia="Times New Roman"/>
        </w:rPr>
      </w:pPr>
      <w:r>
        <w:rPr>
          <w:rFonts w:eastAsia="Times New Roman"/>
        </w:rPr>
        <w:t>21 dni od dnia złożenia wniosku przez wnioskodawcę zaliczonego do V lub VI grupy przyłączeniowej przyłączanego do sieci o napięciu nie wyższym niż 1 kV,</w:t>
      </w:r>
    </w:p>
    <w:p w14:paraId="24589D0F" w14:textId="77522EE2" w:rsidR="009F5700" w:rsidRDefault="00E34D5E" w:rsidP="009F5700">
      <w:pPr>
        <w:numPr>
          <w:ilvl w:val="0"/>
          <w:numId w:val="10"/>
        </w:numPr>
        <w:spacing w:line="236" w:lineRule="auto"/>
        <w:ind w:left="1134" w:right="20" w:hanging="425"/>
        <w:jc w:val="both"/>
        <w:rPr>
          <w:rFonts w:eastAsia="Times New Roman"/>
        </w:rPr>
      </w:pPr>
      <w:r>
        <w:rPr>
          <w:rFonts w:eastAsia="Times New Roman"/>
        </w:rPr>
        <w:t>30</w:t>
      </w:r>
      <w:r w:rsidR="009F5700">
        <w:rPr>
          <w:rFonts w:eastAsia="Times New Roman"/>
        </w:rPr>
        <w:t xml:space="preserve"> dni od dnia złożenia wniosku przez wnioskodawcę zaliczonego do </w:t>
      </w:r>
      <w:r>
        <w:rPr>
          <w:rFonts w:eastAsia="Times New Roman"/>
        </w:rPr>
        <w:t>I</w:t>
      </w:r>
      <w:r w:rsidR="009F5700">
        <w:rPr>
          <w:rFonts w:eastAsia="Times New Roman"/>
        </w:rPr>
        <w:t>V przyłączeniowej przyłączanego do sieci o napięciu nie wyższym niż 1 kV,</w:t>
      </w:r>
    </w:p>
    <w:p w14:paraId="26DD7B34" w14:textId="73B3F6FA" w:rsidR="00E34D5E" w:rsidRDefault="00E34D5E" w:rsidP="00E34D5E">
      <w:pPr>
        <w:numPr>
          <w:ilvl w:val="0"/>
          <w:numId w:val="10"/>
        </w:numPr>
        <w:spacing w:line="236" w:lineRule="auto"/>
        <w:ind w:left="1134" w:right="20" w:hanging="425"/>
        <w:jc w:val="both"/>
        <w:rPr>
          <w:rFonts w:eastAsia="Times New Roman"/>
        </w:rPr>
      </w:pPr>
      <w:r>
        <w:rPr>
          <w:rFonts w:eastAsia="Times New Roman"/>
        </w:rPr>
        <w:t>60 dni od dnia złożenia wniosku przez wnioskodawcę zaliczonego do III lub VI grupy przyłączeniowej przyłączanego do sieci o napięciu</w:t>
      </w:r>
      <w:r w:rsidR="00071B35">
        <w:rPr>
          <w:rFonts w:eastAsia="Times New Roman"/>
        </w:rPr>
        <w:t xml:space="preserve"> powyżej 1</w:t>
      </w:r>
      <w:r>
        <w:rPr>
          <w:rFonts w:eastAsia="Times New Roman"/>
        </w:rPr>
        <w:t xml:space="preserve"> kV,</w:t>
      </w:r>
      <w:r w:rsidR="00071B35">
        <w:rPr>
          <w:rFonts w:eastAsia="Times New Roman"/>
        </w:rPr>
        <w:t xml:space="preserve"> niewyposażonego w źródło,</w:t>
      </w:r>
    </w:p>
    <w:p w14:paraId="68B4FA9E" w14:textId="3B4C40F6" w:rsidR="0085576C" w:rsidRDefault="0085576C" w:rsidP="0085576C">
      <w:pPr>
        <w:numPr>
          <w:ilvl w:val="0"/>
          <w:numId w:val="10"/>
        </w:numPr>
        <w:spacing w:line="236" w:lineRule="auto"/>
        <w:ind w:left="1134" w:right="20" w:hanging="425"/>
        <w:jc w:val="both"/>
        <w:rPr>
          <w:rFonts w:eastAsia="Times New Roman"/>
        </w:rPr>
      </w:pPr>
      <w:r>
        <w:rPr>
          <w:rFonts w:eastAsia="Times New Roman"/>
        </w:rPr>
        <w:t>120 dni od dnia złożenia wniosku przez wnioskodawcę zaliczonego do III lub VI grupy przyłączeniowej – dla obiektu przyłączanego do sieci o napięciu wyższym niż 1 kV wyposażonego w źródło</w:t>
      </w:r>
      <w:r w:rsidR="007A4B3A">
        <w:rPr>
          <w:rFonts w:eastAsia="Times New Roman"/>
        </w:rPr>
        <w:t>.</w:t>
      </w:r>
    </w:p>
    <w:p w14:paraId="2028EC92" w14:textId="08615A8B" w:rsidR="00CE7716" w:rsidRPr="00CE7716" w:rsidRDefault="00CE7716" w:rsidP="00CE7716">
      <w:pPr>
        <w:pStyle w:val="Akapitzlist"/>
        <w:tabs>
          <w:tab w:val="left" w:pos="1985"/>
        </w:tabs>
        <w:spacing w:before="120"/>
        <w:ind w:right="-142"/>
        <w:jc w:val="both"/>
        <w:rPr>
          <w:rFonts w:cs="Times New Roman"/>
          <w:szCs w:val="24"/>
        </w:rPr>
      </w:pPr>
      <w:r w:rsidRPr="00CE7716">
        <w:rPr>
          <w:rFonts w:cs="Times New Roman"/>
          <w:szCs w:val="24"/>
        </w:rPr>
        <w:t>W przypadku wniosku o wydanie warunków przyłączenia źródła do sieci elektroenergetycznej o napięciu wyższym niż 1 kV termin określon</w:t>
      </w:r>
      <w:r w:rsidR="00B073F6">
        <w:rPr>
          <w:rFonts w:cs="Times New Roman"/>
          <w:szCs w:val="24"/>
        </w:rPr>
        <w:t>y</w:t>
      </w:r>
      <w:r w:rsidRPr="00CE7716">
        <w:rPr>
          <w:rFonts w:cs="Times New Roman"/>
          <w:szCs w:val="24"/>
        </w:rPr>
        <w:t xml:space="preserve"> w pkt. 4) liczo</w:t>
      </w:r>
      <w:r w:rsidR="00B073F6">
        <w:rPr>
          <w:rFonts w:cs="Times New Roman"/>
          <w:szCs w:val="24"/>
        </w:rPr>
        <w:t>ny jest</w:t>
      </w:r>
      <w:r w:rsidRPr="00CE7716">
        <w:rPr>
          <w:rFonts w:cs="Times New Roman"/>
          <w:szCs w:val="24"/>
        </w:rPr>
        <w:t xml:space="preserve"> od dnia wniesienia zaliczki.</w:t>
      </w:r>
    </w:p>
    <w:p w14:paraId="5D0853F6" w14:textId="77777777" w:rsidR="00CE7716" w:rsidRPr="00CE7716" w:rsidRDefault="00CE7716" w:rsidP="00CE7716">
      <w:pPr>
        <w:pStyle w:val="Akapitzlist"/>
        <w:tabs>
          <w:tab w:val="left" w:pos="1985"/>
        </w:tabs>
        <w:spacing w:before="120"/>
        <w:ind w:right="-142"/>
        <w:jc w:val="both"/>
        <w:rPr>
          <w:rFonts w:cs="Times New Roman"/>
          <w:szCs w:val="24"/>
        </w:rPr>
      </w:pPr>
      <w:r w:rsidRPr="00CE7716">
        <w:rPr>
          <w:rFonts w:cs="Times New Roman"/>
          <w:szCs w:val="24"/>
        </w:rPr>
        <w:t xml:space="preserve">Do terminów na wydanie warunków przyłączenia do sieci nie wlicza się terminów przewidzianych w przepisach prawa do dokonania określonych czynności, terminów na uzupełnienie wniosku o wydanie warunków przyłączenia do sieci, okresów opóźnień </w:t>
      </w:r>
      <w:r w:rsidRPr="00CE7716">
        <w:rPr>
          <w:rFonts w:cs="Times New Roman"/>
          <w:szCs w:val="24"/>
        </w:rPr>
        <w:lastRenderedPageBreak/>
        <w:t>spowodowanych z winy podmiotu wnioskującego o przyłączenie albo z przyczyn niezależnych od przedsiębiorstwa energetycznego.</w:t>
      </w:r>
    </w:p>
    <w:p w14:paraId="2389E3AE" w14:textId="77777777" w:rsidR="00CE7716" w:rsidRPr="00E2416D" w:rsidRDefault="00CE7716" w:rsidP="00CE7716">
      <w:pPr>
        <w:pStyle w:val="Akapitzlist"/>
        <w:tabs>
          <w:tab w:val="left" w:pos="1985"/>
        </w:tabs>
        <w:spacing w:before="120"/>
        <w:ind w:right="-142"/>
        <w:jc w:val="both"/>
        <w:rPr>
          <w:rFonts w:cs="Times New Roman"/>
          <w:szCs w:val="24"/>
        </w:rPr>
      </w:pPr>
      <w:r w:rsidRPr="00CE7716">
        <w:rPr>
          <w:rFonts w:cs="Times New Roman"/>
          <w:szCs w:val="24"/>
        </w:rPr>
        <w:t xml:space="preserve">W szczególnie uzasadnionych przypadkach przedsiębiorstwo energetyczne zajmujące się przesyłaniem lub dystrybucją energii elektrycznej może przedłużyć terminy określone powyżej o maksymalnie połowę terminu, w jakim obowiązane jest wydać warunki przyłączenia do sieci elektroenergetycznej dla poszczególnych grup przyłączeniowych za uprzednim zawiadomieniem podmiotu wnioskującego o przyłączenie do sieci z podaniem </w:t>
      </w:r>
      <w:r w:rsidRPr="00E2416D">
        <w:rPr>
          <w:rFonts w:cs="Times New Roman"/>
          <w:szCs w:val="24"/>
        </w:rPr>
        <w:t>uzasadnienia przyczyn tego przedłużenia.</w:t>
      </w:r>
    </w:p>
    <w:p w14:paraId="588277C0" w14:textId="77777777" w:rsidR="00E2416D" w:rsidRPr="00E2416D" w:rsidRDefault="00E2416D">
      <w:pPr>
        <w:pStyle w:val="Akapitzlist"/>
        <w:numPr>
          <w:ilvl w:val="0"/>
          <w:numId w:val="240"/>
        </w:numPr>
        <w:tabs>
          <w:tab w:val="left" w:pos="1985"/>
        </w:tabs>
        <w:spacing w:before="120"/>
        <w:ind w:left="709" w:right="60" w:hanging="709"/>
        <w:jc w:val="both"/>
        <w:rPr>
          <w:rFonts w:cs="Times New Roman"/>
          <w:szCs w:val="24"/>
        </w:rPr>
      </w:pPr>
      <w:r w:rsidRPr="00E2416D">
        <w:rPr>
          <w:rFonts w:cs="Times New Roman"/>
          <w:szCs w:val="24"/>
        </w:rPr>
        <w:t xml:space="preserve">Warunki przyłączenia są ważne dwa lata od dnia ich doręczenia. W okresie ważności warunki przyłączenia stanowią warunkowe zobowiązanie OSDn do zawarcia umowy </w:t>
      </w:r>
      <w:r w:rsidRPr="00E2416D">
        <w:rPr>
          <w:rFonts w:cs="Times New Roman"/>
          <w:szCs w:val="24"/>
        </w:rPr>
        <w:br/>
        <w:t>o przyłączenie do sieci elektroenergetycznej.</w:t>
      </w:r>
    </w:p>
    <w:p w14:paraId="2038F0C5" w14:textId="77777777" w:rsidR="00E2416D" w:rsidRPr="00E2416D" w:rsidRDefault="00E2416D" w:rsidP="003A745F">
      <w:pPr>
        <w:tabs>
          <w:tab w:val="left" w:pos="1985"/>
        </w:tabs>
        <w:spacing w:before="120"/>
        <w:ind w:left="709" w:right="60"/>
        <w:jc w:val="both"/>
        <w:rPr>
          <w:rFonts w:cs="Times New Roman"/>
          <w:szCs w:val="24"/>
        </w:rPr>
      </w:pPr>
      <w:r w:rsidRPr="00E2416D">
        <w:rPr>
          <w:rFonts w:cs="Times New Roman"/>
          <w:szCs w:val="24"/>
        </w:rPr>
        <w:t>Wnioskodawca może zwolnić OSDn od obowiązku zawarcia umowy przyłączeniowej, wynikającego z wydanych temu wnioskodawcy warunków przyłączenia przed upływem terminu ich ważności składając oświadczenie tej treści do OSDn w formie pisemnej lub elektronicznej. OSDn niezwłocznie informuje wnioskodawcę o przyjęciu oświadczenia w formie pisemnej lub elektronicznej.</w:t>
      </w:r>
    </w:p>
    <w:p w14:paraId="61107646" w14:textId="77777777" w:rsidR="00CD53B9" w:rsidRDefault="00CD53B9">
      <w:pPr>
        <w:numPr>
          <w:ilvl w:val="0"/>
          <w:numId w:val="240"/>
        </w:numPr>
        <w:spacing w:line="234" w:lineRule="auto"/>
        <w:ind w:left="709" w:right="20" w:hanging="709"/>
        <w:jc w:val="both"/>
        <w:rPr>
          <w:rFonts w:eastAsia="Times New Roman"/>
        </w:rPr>
      </w:pPr>
      <w:r>
        <w:rPr>
          <w:rFonts w:eastAsia="Times New Roman"/>
        </w:rPr>
        <w:t xml:space="preserve">Wraz z określonymi przez OSDn warunkami przyłączenia wnioskodawca otrzymuje projekt umowy o przyłączenie do sieci. </w:t>
      </w:r>
    </w:p>
    <w:p w14:paraId="4F9653D7" w14:textId="77777777" w:rsidR="00D8214A" w:rsidRPr="00C529B7" w:rsidRDefault="00E4621C">
      <w:pPr>
        <w:numPr>
          <w:ilvl w:val="0"/>
          <w:numId w:val="240"/>
        </w:numPr>
        <w:spacing w:line="234" w:lineRule="auto"/>
        <w:ind w:left="709" w:right="20" w:hanging="709"/>
        <w:jc w:val="both"/>
        <w:rPr>
          <w:rFonts w:eastAsia="Times New Roman"/>
        </w:rPr>
      </w:pPr>
      <w:r>
        <w:rPr>
          <w:rFonts w:eastAsia="Times New Roman"/>
        </w:rPr>
        <w:t>W przypadkach, gdy przyłączenie do sieci OSDn, na podstawie opracowanej ekspertyzy wpłynie na warunki pracy sieci sąsiedniego operatora systemu dystrybucyjnego, OSDn występuje do tego OSD/OSDp z wnioskiem o ustalenie czy zakres przebudowy sieci elektroenergetycznych sąsiedniego OSD/OSDp, wynikający z ekspertyzy został ujęty</w:t>
      </w:r>
      <w:r w:rsidR="00F9414A">
        <w:rPr>
          <w:rFonts w:eastAsia="Times New Roman"/>
        </w:rPr>
        <w:t xml:space="preserve"> </w:t>
      </w:r>
      <w:r w:rsidR="00655F9D">
        <w:rPr>
          <w:rFonts w:eastAsia="Times New Roman"/>
        </w:rPr>
        <w:br/>
      </w:r>
      <w:r>
        <w:rPr>
          <w:rFonts w:eastAsia="Times New Roman"/>
        </w:rPr>
        <w:t xml:space="preserve">w planie rozwoju tego OSD/OSDp lub czy OSD/OSDp planuje realizację tych inwestycji. OSDn oczekuje na </w:t>
      </w:r>
      <w:r>
        <w:rPr>
          <w:rFonts w:eastAsia="Times New Roman"/>
          <w:w w:val="98"/>
        </w:rPr>
        <w:t>odpowiedź sąsiedniego OSD/OSDp min. 14 dni kalendarzowych od daty wysłania wniosku.</w:t>
      </w:r>
    </w:p>
    <w:p w14:paraId="551B34F9" w14:textId="77777777" w:rsidR="00C529B7" w:rsidRPr="00DE371F" w:rsidRDefault="00C529B7">
      <w:pPr>
        <w:numPr>
          <w:ilvl w:val="0"/>
          <w:numId w:val="240"/>
        </w:numPr>
        <w:spacing w:line="234" w:lineRule="auto"/>
        <w:ind w:left="709" w:right="20" w:hanging="709"/>
        <w:jc w:val="both"/>
        <w:rPr>
          <w:rFonts w:eastAsia="Times New Roman" w:cs="Times New Roman"/>
          <w:color w:val="000000" w:themeColor="text1"/>
          <w:szCs w:val="24"/>
        </w:rPr>
      </w:pPr>
      <w:r w:rsidRPr="00DE371F">
        <w:rPr>
          <w:rFonts w:eastAsia="Times New Roman" w:cs="Times New Roman"/>
          <w:color w:val="000000" w:themeColor="text1"/>
          <w:szCs w:val="24"/>
        </w:rPr>
        <w:t>OSDn wydając warunki przyłączenia jest odpowiedzialny za dokonanie uzgodnień pomiędzy operatorami, o których mowa w pkt. II.1.13.</w:t>
      </w:r>
    </w:p>
    <w:p w14:paraId="1E4F57C3" w14:textId="606AF3B9" w:rsidR="00DE371F" w:rsidRPr="000E55C6" w:rsidRDefault="00DE371F">
      <w:pPr>
        <w:pStyle w:val="Tekstpodstawowy"/>
        <w:widowControl w:val="0"/>
        <w:numPr>
          <w:ilvl w:val="0"/>
          <w:numId w:val="240"/>
        </w:numPr>
        <w:tabs>
          <w:tab w:val="clear" w:pos="4536"/>
        </w:tabs>
        <w:autoSpaceDE w:val="0"/>
        <w:autoSpaceDN w:val="0"/>
        <w:spacing w:before="0" w:line="240" w:lineRule="auto"/>
        <w:ind w:left="709" w:right="60" w:hanging="709"/>
        <w:rPr>
          <w:color w:val="000000" w:themeColor="text1"/>
          <w:szCs w:val="24"/>
        </w:rPr>
      </w:pPr>
      <w:r w:rsidRPr="000E55C6">
        <w:rPr>
          <w:color w:val="000000" w:themeColor="text1"/>
          <w:w w:val="105"/>
          <w:szCs w:val="24"/>
        </w:rPr>
        <w:t>Przedsiębiorstwo energetyczne posiadające koncesję na przesyłanie lub dystrybucję energii elektrycznej nie będące operatorem oraz operatorzy systemów dystrybucyjnych których sieci nie posiadają połączenia z sieciami przesyłowymi, przed określeniem warunków przyłączenia</w:t>
      </w:r>
      <w:r w:rsidRPr="000E55C6">
        <w:rPr>
          <w:color w:val="000000" w:themeColor="text1"/>
          <w:spacing w:val="4"/>
          <w:w w:val="105"/>
          <w:szCs w:val="24"/>
        </w:rPr>
        <w:t xml:space="preserve"> </w:t>
      </w:r>
      <w:r w:rsidRPr="000E55C6">
        <w:rPr>
          <w:color w:val="000000" w:themeColor="text1"/>
          <w:w w:val="105"/>
          <w:szCs w:val="24"/>
        </w:rPr>
        <w:t>dla</w:t>
      </w:r>
      <w:r w:rsidR="000E55C6" w:rsidRPr="000E55C6">
        <w:rPr>
          <w:color w:val="000000" w:themeColor="text1"/>
          <w:w w:val="105"/>
          <w:szCs w:val="24"/>
          <w:lang w:val="pl-PL"/>
        </w:rPr>
        <w:t xml:space="preserve"> </w:t>
      </w:r>
      <w:r w:rsidRPr="000E55C6">
        <w:rPr>
          <w:color w:val="000000" w:themeColor="text1"/>
          <w:w w:val="105"/>
          <w:szCs w:val="24"/>
        </w:rPr>
        <w:t>wytwórców, z wyłączeniem zaliczanych do VI grupy przyłączeniowej, uzgadniają</w:t>
      </w:r>
      <w:r w:rsidRPr="000E55C6">
        <w:rPr>
          <w:color w:val="000000" w:themeColor="text1"/>
          <w:spacing w:val="2"/>
          <w:w w:val="105"/>
          <w:szCs w:val="24"/>
        </w:rPr>
        <w:t xml:space="preserve"> </w:t>
      </w:r>
      <w:r w:rsidRPr="000E55C6">
        <w:rPr>
          <w:color w:val="000000" w:themeColor="text1"/>
          <w:w w:val="105"/>
          <w:szCs w:val="24"/>
        </w:rPr>
        <w:t>je</w:t>
      </w:r>
      <w:r w:rsidRPr="000E55C6">
        <w:rPr>
          <w:color w:val="000000" w:themeColor="text1"/>
          <w:spacing w:val="-13"/>
          <w:w w:val="105"/>
          <w:szCs w:val="24"/>
        </w:rPr>
        <w:t xml:space="preserve"> </w:t>
      </w:r>
      <w:r w:rsidRPr="000E55C6">
        <w:rPr>
          <w:color w:val="000000" w:themeColor="text1"/>
          <w:w w:val="105"/>
          <w:szCs w:val="24"/>
        </w:rPr>
        <w:t>z</w:t>
      </w:r>
      <w:r w:rsidRPr="000E55C6">
        <w:rPr>
          <w:color w:val="000000" w:themeColor="text1"/>
          <w:spacing w:val="-15"/>
          <w:w w:val="105"/>
          <w:szCs w:val="24"/>
        </w:rPr>
        <w:t xml:space="preserve"> </w:t>
      </w:r>
      <w:r w:rsidRPr="000E55C6">
        <w:rPr>
          <w:color w:val="000000" w:themeColor="text1"/>
          <w:w w:val="105"/>
          <w:szCs w:val="24"/>
        </w:rPr>
        <w:t>operatorem</w:t>
      </w:r>
      <w:r w:rsidRPr="000E55C6">
        <w:rPr>
          <w:color w:val="000000" w:themeColor="text1"/>
          <w:spacing w:val="7"/>
          <w:w w:val="105"/>
          <w:szCs w:val="24"/>
        </w:rPr>
        <w:t xml:space="preserve"> </w:t>
      </w:r>
      <w:r w:rsidRPr="000E55C6">
        <w:rPr>
          <w:color w:val="000000" w:themeColor="text1"/>
          <w:w w:val="105"/>
          <w:szCs w:val="24"/>
        </w:rPr>
        <w:t>systemu</w:t>
      </w:r>
      <w:r w:rsidRPr="000E55C6">
        <w:rPr>
          <w:color w:val="000000" w:themeColor="text1"/>
          <w:spacing w:val="-4"/>
          <w:w w:val="105"/>
          <w:szCs w:val="24"/>
        </w:rPr>
        <w:t xml:space="preserve"> </w:t>
      </w:r>
      <w:r w:rsidRPr="000E55C6">
        <w:rPr>
          <w:color w:val="000000" w:themeColor="text1"/>
          <w:w w:val="105"/>
          <w:szCs w:val="24"/>
        </w:rPr>
        <w:t>dystrybucyjnego,</w:t>
      </w:r>
      <w:r w:rsidRPr="000E55C6">
        <w:rPr>
          <w:color w:val="000000" w:themeColor="text1"/>
          <w:spacing w:val="-12"/>
          <w:w w:val="105"/>
          <w:szCs w:val="24"/>
        </w:rPr>
        <w:t xml:space="preserve"> </w:t>
      </w:r>
      <w:r w:rsidRPr="000E55C6">
        <w:rPr>
          <w:color w:val="000000" w:themeColor="text1"/>
          <w:w w:val="105"/>
          <w:szCs w:val="24"/>
        </w:rPr>
        <w:t>do</w:t>
      </w:r>
      <w:r w:rsidRPr="000E55C6">
        <w:rPr>
          <w:color w:val="000000" w:themeColor="text1"/>
          <w:spacing w:val="-8"/>
          <w:w w:val="105"/>
          <w:szCs w:val="24"/>
        </w:rPr>
        <w:t xml:space="preserve"> </w:t>
      </w:r>
      <w:r w:rsidRPr="000E55C6">
        <w:rPr>
          <w:color w:val="000000" w:themeColor="text1"/>
          <w:w w:val="105"/>
          <w:szCs w:val="24"/>
        </w:rPr>
        <w:t>którego</w:t>
      </w:r>
      <w:r w:rsidRPr="000E55C6">
        <w:rPr>
          <w:color w:val="000000" w:themeColor="text1"/>
          <w:spacing w:val="-2"/>
          <w:w w:val="105"/>
          <w:szCs w:val="24"/>
        </w:rPr>
        <w:t xml:space="preserve"> </w:t>
      </w:r>
      <w:r w:rsidRPr="000E55C6">
        <w:rPr>
          <w:color w:val="000000" w:themeColor="text1"/>
          <w:w w:val="105"/>
          <w:szCs w:val="24"/>
        </w:rPr>
        <w:t>sieci</w:t>
      </w:r>
      <w:r w:rsidRPr="000E55C6">
        <w:rPr>
          <w:color w:val="000000" w:themeColor="text1"/>
          <w:spacing w:val="-5"/>
          <w:w w:val="105"/>
          <w:szCs w:val="24"/>
        </w:rPr>
        <w:t xml:space="preserve"> </w:t>
      </w:r>
      <w:r w:rsidRPr="000E55C6">
        <w:rPr>
          <w:color w:val="000000" w:themeColor="text1"/>
          <w:w w:val="105"/>
          <w:szCs w:val="24"/>
        </w:rPr>
        <w:t>są</w:t>
      </w:r>
      <w:r w:rsidRPr="000E55C6">
        <w:rPr>
          <w:color w:val="000000" w:themeColor="text1"/>
          <w:spacing w:val="-8"/>
          <w:w w:val="105"/>
          <w:szCs w:val="24"/>
        </w:rPr>
        <w:t xml:space="preserve"> </w:t>
      </w:r>
      <w:r w:rsidRPr="000E55C6">
        <w:rPr>
          <w:color w:val="000000" w:themeColor="text1"/>
          <w:w w:val="105"/>
          <w:szCs w:val="24"/>
        </w:rPr>
        <w:t>przyłączeni.</w:t>
      </w:r>
    </w:p>
    <w:p w14:paraId="64E6A223" w14:textId="0214F88C" w:rsidR="00DE371F" w:rsidRDefault="00DE371F" w:rsidP="00E12112">
      <w:pPr>
        <w:pStyle w:val="Tekstpodstawowy"/>
        <w:spacing w:before="0" w:line="240" w:lineRule="auto"/>
        <w:ind w:left="709" w:right="60" w:hanging="2"/>
        <w:rPr>
          <w:color w:val="000000" w:themeColor="text1"/>
          <w:w w:val="105"/>
          <w:szCs w:val="24"/>
          <w:lang w:val="pl-PL"/>
        </w:rPr>
      </w:pPr>
      <w:r w:rsidRPr="00DE371F">
        <w:rPr>
          <w:color w:val="000000" w:themeColor="text1"/>
          <w:w w:val="105"/>
          <w:szCs w:val="24"/>
        </w:rPr>
        <w:t>Jeżeli warunki przyłączenia, określane przez przedsiębiorstwo energetyczne, posiadające koncesję na przesyłanie lub dystrybucję energii elektrycznej nie będące operatorem, wymagają zgodnie z ww. postanowieniami uzgodnienia z OSP, uzgodnień dokonuje OSD.</w:t>
      </w:r>
      <w:r w:rsidR="007524EE">
        <w:rPr>
          <w:color w:val="000000" w:themeColor="text1"/>
          <w:w w:val="105"/>
          <w:szCs w:val="24"/>
          <w:lang w:val="pl-PL"/>
        </w:rPr>
        <w:t xml:space="preserve"> </w:t>
      </w:r>
    </w:p>
    <w:p w14:paraId="1A14F5CD" w14:textId="0AD9D40F" w:rsidR="007524EE" w:rsidRPr="007524EE" w:rsidRDefault="007524EE" w:rsidP="00E12112">
      <w:pPr>
        <w:pStyle w:val="Tekstpodstawowy"/>
        <w:spacing w:before="0" w:line="240" w:lineRule="auto"/>
        <w:ind w:left="709" w:right="60" w:hanging="2"/>
        <w:rPr>
          <w:color w:val="000000" w:themeColor="text1"/>
          <w:szCs w:val="24"/>
          <w:lang w:val="pl-PL"/>
        </w:rPr>
      </w:pPr>
      <w:r>
        <w:rPr>
          <w:color w:val="000000" w:themeColor="text1"/>
          <w:w w:val="105"/>
          <w:szCs w:val="24"/>
          <w:lang w:val="pl-PL"/>
        </w:rPr>
        <w:t>Ww. postanowienie IRiESD wchodz</w:t>
      </w:r>
      <w:r w:rsidR="00375B18">
        <w:rPr>
          <w:color w:val="000000" w:themeColor="text1"/>
          <w:w w:val="105"/>
          <w:szCs w:val="24"/>
          <w:lang w:val="pl-PL"/>
        </w:rPr>
        <w:t>i</w:t>
      </w:r>
      <w:r>
        <w:rPr>
          <w:color w:val="000000" w:themeColor="text1"/>
          <w:w w:val="105"/>
          <w:szCs w:val="24"/>
          <w:lang w:val="pl-PL"/>
        </w:rPr>
        <w:t xml:space="preserve"> w życie po zatwierdzeniu</w:t>
      </w:r>
      <w:r w:rsidR="00375B18">
        <w:rPr>
          <w:color w:val="000000" w:themeColor="text1"/>
          <w:w w:val="105"/>
          <w:szCs w:val="24"/>
          <w:lang w:val="pl-PL"/>
        </w:rPr>
        <w:t xml:space="preserve"> zmian w tym zakresie IRiESD OSDp</w:t>
      </w:r>
      <w:r>
        <w:rPr>
          <w:color w:val="000000" w:themeColor="text1"/>
          <w:w w:val="105"/>
          <w:szCs w:val="24"/>
          <w:lang w:val="pl-PL"/>
        </w:rPr>
        <w:t xml:space="preserve"> </w:t>
      </w:r>
      <w:r w:rsidR="00375B18">
        <w:rPr>
          <w:color w:val="000000" w:themeColor="text1"/>
          <w:w w:val="105"/>
          <w:szCs w:val="24"/>
          <w:lang w:val="pl-PL"/>
        </w:rPr>
        <w:t xml:space="preserve">przez Prezesa Urzędu Regulacji Energetyki. </w:t>
      </w:r>
    </w:p>
    <w:p w14:paraId="0FCC1472" w14:textId="6FFD87C8" w:rsidR="00C529B7" w:rsidRDefault="00C529B7">
      <w:pPr>
        <w:numPr>
          <w:ilvl w:val="0"/>
          <w:numId w:val="240"/>
        </w:numPr>
        <w:spacing w:line="234" w:lineRule="auto"/>
        <w:ind w:left="709" w:right="20" w:hanging="709"/>
        <w:jc w:val="both"/>
        <w:rPr>
          <w:rFonts w:eastAsia="Times New Roman"/>
        </w:rPr>
      </w:pPr>
      <w:r>
        <w:rPr>
          <w:rFonts w:eastAsia="Times New Roman"/>
        </w:rPr>
        <w:t xml:space="preserve">W przypadku gdy OSDn odmówi przyłączenia do sieci odnawialnego źródła energii </w:t>
      </w:r>
      <w:r>
        <w:rPr>
          <w:rFonts w:eastAsia="Times New Roman"/>
        </w:rPr>
        <w:br/>
        <w:t xml:space="preserve">z powodu braku technicznych warunków przyłączenia wynikających z braku niezbędnych zdolności przesyłowych sieci w terminie proponowanym przez podmiot ubiegający się </w:t>
      </w:r>
      <w:r w:rsidR="0056654C">
        <w:rPr>
          <w:rFonts w:eastAsia="Times New Roman"/>
        </w:rPr>
        <w:br/>
      </w:r>
      <w:r>
        <w:rPr>
          <w:rFonts w:eastAsia="Times New Roman"/>
        </w:rPr>
        <w:t>o przyłączenie odnawialnego źródła energii, OSDn określa planowany termin oraz warunki wykonania niezbędnej rozbudowy lub modernizacji sieci, a także określa termin przyłączenia.</w:t>
      </w:r>
    </w:p>
    <w:p w14:paraId="233900AE" w14:textId="77777777" w:rsidR="00C529B7" w:rsidRDefault="005D5781">
      <w:pPr>
        <w:numPr>
          <w:ilvl w:val="0"/>
          <w:numId w:val="240"/>
        </w:numPr>
        <w:spacing w:line="234" w:lineRule="auto"/>
        <w:ind w:left="709" w:right="20" w:hanging="709"/>
        <w:jc w:val="both"/>
        <w:rPr>
          <w:rFonts w:eastAsia="Times New Roman"/>
        </w:rPr>
      </w:pPr>
      <w:r>
        <w:rPr>
          <w:rFonts w:eastAsia="Times New Roman"/>
        </w:rPr>
        <w:t xml:space="preserve"> W przypadku braku technicznych lub ekonomicznych warunków przyłączenia </w:t>
      </w:r>
      <w:r>
        <w:rPr>
          <w:rFonts w:eastAsia="Times New Roman"/>
        </w:rPr>
        <w:br/>
        <w:t xml:space="preserve">w zakresie mocy przyłączeniowej określonej we wniosku o określenie warunków przyłączenia odnawialnego źródła energii, OSDn powiadamia podmiot ubiegający się </w:t>
      </w:r>
      <w:r>
        <w:rPr>
          <w:rFonts w:eastAsia="Times New Roman"/>
        </w:rPr>
        <w:br/>
        <w:t xml:space="preserve">o przyłączenie o wielkości dostępnej mocy przyłączeniowej, dla jakiej mogą być </w:t>
      </w:r>
      <w:r>
        <w:rPr>
          <w:rFonts w:eastAsia="Times New Roman"/>
        </w:rPr>
        <w:lastRenderedPageBreak/>
        <w:t>spełnione te warunki. Jeżeli podmiot ten, w terminie 30 dni kalendarzowych od dnia otrzymania powiadomienia:</w:t>
      </w:r>
    </w:p>
    <w:p w14:paraId="5CDBCD94" w14:textId="77777777" w:rsidR="005D5781" w:rsidRDefault="005D5781" w:rsidP="00374507">
      <w:pPr>
        <w:spacing w:line="234" w:lineRule="auto"/>
        <w:ind w:left="993" w:right="20" w:hanging="284"/>
        <w:jc w:val="both"/>
        <w:rPr>
          <w:rFonts w:eastAsia="Times New Roman"/>
        </w:rPr>
      </w:pPr>
      <w:r>
        <w:rPr>
          <w:rFonts w:eastAsia="Times New Roman"/>
        </w:rPr>
        <w:t>1) w zgodę na taką wielkość mocy przyłączeniowej, OSDn wydaje warunki przyłączenia;</w:t>
      </w:r>
    </w:p>
    <w:p w14:paraId="776A93B5" w14:textId="77777777" w:rsidR="005D5781" w:rsidRDefault="005D5781">
      <w:pPr>
        <w:numPr>
          <w:ilvl w:val="0"/>
          <w:numId w:val="241"/>
        </w:numPr>
        <w:spacing w:line="237" w:lineRule="auto"/>
        <w:ind w:left="993" w:hanging="284"/>
        <w:jc w:val="both"/>
        <w:rPr>
          <w:rFonts w:eastAsia="Times New Roman"/>
        </w:rPr>
      </w:pPr>
      <w:r w:rsidRPr="00E268A0">
        <w:rPr>
          <w:rFonts w:eastAsia="Times New Roman"/>
        </w:rPr>
        <w:t xml:space="preserve">nie wyraził zgody na taką wielkość mocy przyłączeniowej, </w:t>
      </w:r>
      <w:r>
        <w:rPr>
          <w:rFonts w:eastAsia="Times New Roman"/>
        </w:rPr>
        <w:t>OSDn o</w:t>
      </w:r>
      <w:r w:rsidRPr="00E268A0">
        <w:rPr>
          <w:rFonts w:eastAsia="Times New Roman"/>
        </w:rPr>
        <w:t>dmawia wydania warunków przyłączenia.</w:t>
      </w:r>
    </w:p>
    <w:p w14:paraId="4EB18B00" w14:textId="77777777" w:rsidR="005D5781" w:rsidRDefault="005D5781" w:rsidP="00374507">
      <w:pPr>
        <w:spacing w:line="234" w:lineRule="auto"/>
        <w:ind w:left="709" w:right="20"/>
        <w:jc w:val="both"/>
        <w:rPr>
          <w:rFonts w:eastAsia="Times New Roman"/>
        </w:rPr>
      </w:pPr>
      <w:r>
        <w:rPr>
          <w:rFonts w:eastAsia="Times New Roman"/>
        </w:rPr>
        <w:t>Bieg terminu, o którym mowa w pkt. II.1.10., ulega zawieszeniu do czasu otrzymania zgody od podmiotu ubiegającego się o przyłączenie.</w:t>
      </w:r>
    </w:p>
    <w:p w14:paraId="0C2E6FC5" w14:textId="37AF797F" w:rsidR="005D5781" w:rsidRDefault="005D5781">
      <w:pPr>
        <w:numPr>
          <w:ilvl w:val="0"/>
          <w:numId w:val="240"/>
        </w:numPr>
        <w:spacing w:line="234" w:lineRule="auto"/>
        <w:ind w:left="709" w:right="20" w:hanging="709"/>
        <w:jc w:val="both"/>
        <w:rPr>
          <w:rFonts w:eastAsia="Times New Roman"/>
        </w:rPr>
      </w:pPr>
      <w:r>
        <w:rPr>
          <w:rFonts w:eastAsia="Times New Roman"/>
        </w:rPr>
        <w:t>W przypadku gdy podmiot ubiegający się o przyłączenie mikroinstalacji do sieci dystrybucyjnej jest przyłączony do sieci jako odbiorca końcowy, a moc zainstalowana mikroinstalacji, o przyłączenie której ubiega się ten podmiot, nie jest większa niż określona w wydanych warunkach przyłączenia, przyłączenie do sieci odbywa się na podstawie zgłoszenia przyłączenia mikroinstalacji, złożonego</w:t>
      </w:r>
      <w:r w:rsidR="00322A27">
        <w:rPr>
          <w:rFonts w:eastAsia="Times New Roman"/>
        </w:rPr>
        <w:t xml:space="preserve"> </w:t>
      </w:r>
      <w:r>
        <w:rPr>
          <w:rFonts w:eastAsia="Times New Roman"/>
        </w:rPr>
        <w:t>w OSDn, po zainstalowaniu odpowiednich układów zabezpieczających i układu pomiarowo-rozliczeniowego. W innym przypadku przyłączenie mikroinstalacji do sieci dystrybucyjnej odbywa się na podstawie umowy o przyłączenie do sieci. Koszt instalacji układu zabezpieczającego i układu pomiarowo-rozliczeniowego ponosi OSDn.</w:t>
      </w:r>
      <w:r w:rsidR="002803A9">
        <w:rPr>
          <w:rFonts w:eastAsia="Times New Roman"/>
        </w:rPr>
        <w:t xml:space="preserve"> </w:t>
      </w:r>
      <w:r w:rsidR="002803A9">
        <w:rPr>
          <w:rFonts w:cs="Times New Roman"/>
          <w:color w:val="000000"/>
          <w:w w:val="110"/>
          <w:szCs w:val="24"/>
        </w:rPr>
        <w:t>Do</w:t>
      </w:r>
      <w:r w:rsidR="002803A9">
        <w:rPr>
          <w:rFonts w:cs="Times New Roman"/>
          <w:color w:val="000000"/>
          <w:spacing w:val="-29"/>
          <w:w w:val="110"/>
          <w:szCs w:val="24"/>
        </w:rPr>
        <w:t xml:space="preserve"> </w:t>
      </w:r>
      <w:r w:rsidR="002803A9">
        <w:rPr>
          <w:rFonts w:cs="Times New Roman"/>
          <w:color w:val="000000"/>
          <w:w w:val="110"/>
          <w:szCs w:val="24"/>
        </w:rPr>
        <w:t>zgłoszenia przyłączenia mikroinstalacji stosuje się zapisy pkt II.1.2. ppkt</w:t>
      </w:r>
      <w:r w:rsidR="002803A9">
        <w:rPr>
          <w:rFonts w:cs="Times New Roman"/>
          <w:color w:val="000000"/>
          <w:spacing w:val="-4"/>
          <w:w w:val="110"/>
          <w:szCs w:val="24"/>
        </w:rPr>
        <w:t xml:space="preserve"> </w:t>
      </w:r>
      <w:r w:rsidR="002803A9">
        <w:rPr>
          <w:rFonts w:cs="Times New Roman"/>
          <w:color w:val="000000"/>
          <w:w w:val="110"/>
          <w:szCs w:val="24"/>
        </w:rPr>
        <w:t>3.</w:t>
      </w:r>
    </w:p>
    <w:p w14:paraId="6C829A34" w14:textId="77777777" w:rsidR="00B51E74" w:rsidRDefault="00B51E74">
      <w:pPr>
        <w:numPr>
          <w:ilvl w:val="0"/>
          <w:numId w:val="240"/>
        </w:numPr>
        <w:ind w:left="709" w:right="20" w:hanging="709"/>
        <w:jc w:val="both"/>
        <w:rPr>
          <w:rFonts w:eastAsia="Times New Roman"/>
        </w:rPr>
      </w:pPr>
      <w:r>
        <w:rPr>
          <w:rFonts w:eastAsia="Times New Roman"/>
        </w:rPr>
        <w:t>Przyłączane mikroinstalacje muszą spełniać wymagania techniczne i eksploatacyjne określone w art. 7a ust. 1. Ustawy</w:t>
      </w:r>
    </w:p>
    <w:p w14:paraId="69629B39" w14:textId="77777777" w:rsidR="00B51E74" w:rsidRDefault="00374507" w:rsidP="00902449">
      <w:pPr>
        <w:ind w:left="709" w:right="20"/>
        <w:jc w:val="both"/>
        <w:rPr>
          <w:rFonts w:eastAsia="Times New Roman" w:cs="Times New Roman"/>
          <w:color w:val="000000"/>
          <w:szCs w:val="24"/>
        </w:rPr>
      </w:pPr>
      <w:r w:rsidRPr="003B5EA2">
        <w:rPr>
          <w:rFonts w:eastAsia="Times New Roman" w:cs="Times New Roman"/>
          <w:color w:val="000000"/>
          <w:szCs w:val="24"/>
        </w:rPr>
        <w:t>OSDn publikuje na swojej stronie internetowej oraz udostępnia w swojej siedzibie oraz punktach obsługi klienta wzór zgłoszenia przyłączenia mikroinstalacji do sieci dystrybucyjnej OSDn. Zgłoszenie to zawiera w szczególności</w:t>
      </w:r>
    </w:p>
    <w:p w14:paraId="57EB387C" w14:textId="77777777" w:rsidR="002803A9" w:rsidRPr="002803A9" w:rsidRDefault="002803A9">
      <w:pPr>
        <w:pStyle w:val="Akapitzlist"/>
        <w:numPr>
          <w:ilvl w:val="0"/>
          <w:numId w:val="286"/>
        </w:numPr>
        <w:spacing w:before="134"/>
        <w:ind w:right="60" w:hanging="210"/>
        <w:rPr>
          <w:rFonts w:cs="Times New Roman"/>
          <w:color w:val="000000"/>
          <w:szCs w:val="24"/>
        </w:rPr>
      </w:pPr>
      <w:r w:rsidRPr="002803A9">
        <w:rPr>
          <w:rFonts w:cs="Times New Roman"/>
          <w:color w:val="000000"/>
          <w:w w:val="105"/>
          <w:szCs w:val="24"/>
        </w:rPr>
        <w:t>oznaczenie podmiotu ubiegającego się o przyłączenie mikroinstalacji do sieci dystrybucyjnej, dane osoby do kontaktu oraz adres korespondencyjny,</w:t>
      </w:r>
    </w:p>
    <w:p w14:paraId="75E2C1F0" w14:textId="77777777" w:rsidR="002803A9" w:rsidRDefault="002803A9">
      <w:pPr>
        <w:pStyle w:val="Akapitzlist"/>
        <w:widowControl w:val="0"/>
        <w:numPr>
          <w:ilvl w:val="1"/>
          <w:numId w:val="285"/>
        </w:numPr>
        <w:tabs>
          <w:tab w:val="left" w:pos="1081"/>
        </w:tabs>
        <w:autoSpaceDE w:val="0"/>
        <w:autoSpaceDN w:val="0"/>
        <w:spacing w:before="3"/>
        <w:ind w:right="60" w:hanging="277"/>
        <w:jc w:val="both"/>
        <w:rPr>
          <w:rFonts w:cs="Times New Roman"/>
          <w:color w:val="000000"/>
          <w:szCs w:val="24"/>
        </w:rPr>
      </w:pPr>
      <w:r>
        <w:rPr>
          <w:rFonts w:cs="Times New Roman"/>
          <w:color w:val="000000"/>
          <w:w w:val="110"/>
          <w:szCs w:val="24"/>
        </w:rPr>
        <w:t>dane dotyczące lokalizacji obiektu, w którym zainstalowano mikroinstalację, w tym numer licznika lub kod punktu poboru energii</w:t>
      </w:r>
      <w:r>
        <w:rPr>
          <w:rFonts w:cs="Times New Roman"/>
          <w:color w:val="000000"/>
          <w:spacing w:val="22"/>
          <w:w w:val="110"/>
          <w:szCs w:val="24"/>
        </w:rPr>
        <w:t xml:space="preserve"> </w:t>
      </w:r>
      <w:r>
        <w:rPr>
          <w:rFonts w:cs="Times New Roman"/>
          <w:color w:val="000000"/>
          <w:w w:val="110"/>
          <w:szCs w:val="24"/>
        </w:rPr>
        <w:t>(PPE),</w:t>
      </w:r>
    </w:p>
    <w:p w14:paraId="17370CAD" w14:textId="77777777" w:rsidR="002803A9" w:rsidRDefault="002803A9">
      <w:pPr>
        <w:pStyle w:val="Akapitzlist"/>
        <w:widowControl w:val="0"/>
        <w:numPr>
          <w:ilvl w:val="1"/>
          <w:numId w:val="285"/>
        </w:numPr>
        <w:tabs>
          <w:tab w:val="left" w:pos="1087"/>
        </w:tabs>
        <w:autoSpaceDE w:val="0"/>
        <w:autoSpaceDN w:val="0"/>
        <w:spacing w:before="7"/>
        <w:ind w:right="60" w:hanging="277"/>
        <w:rPr>
          <w:rFonts w:cs="Times New Roman"/>
          <w:color w:val="000000"/>
          <w:szCs w:val="24"/>
        </w:rPr>
      </w:pPr>
      <w:r>
        <w:rPr>
          <w:rFonts w:cs="Times New Roman"/>
          <w:color w:val="000000"/>
          <w:w w:val="105"/>
          <w:szCs w:val="24"/>
        </w:rPr>
        <w:t>rodzaj</w:t>
      </w:r>
      <w:r>
        <w:rPr>
          <w:rFonts w:cs="Times New Roman"/>
          <w:color w:val="000000"/>
          <w:spacing w:val="11"/>
          <w:w w:val="105"/>
          <w:szCs w:val="24"/>
        </w:rPr>
        <w:t xml:space="preserve"> </w:t>
      </w:r>
      <w:r>
        <w:rPr>
          <w:rFonts w:cs="Times New Roman"/>
          <w:color w:val="000000"/>
          <w:spacing w:val="3"/>
          <w:w w:val="105"/>
          <w:szCs w:val="24"/>
        </w:rPr>
        <w:t>mikroinstalacji,</w:t>
      </w:r>
    </w:p>
    <w:p w14:paraId="35EDFF52" w14:textId="77777777" w:rsidR="002803A9" w:rsidRDefault="002803A9">
      <w:pPr>
        <w:pStyle w:val="Akapitzlist"/>
        <w:widowControl w:val="0"/>
        <w:numPr>
          <w:ilvl w:val="1"/>
          <w:numId w:val="285"/>
        </w:numPr>
        <w:tabs>
          <w:tab w:val="left" w:pos="1086"/>
        </w:tabs>
        <w:autoSpaceDE w:val="0"/>
        <w:autoSpaceDN w:val="0"/>
        <w:spacing w:before="22"/>
        <w:ind w:left="1085" w:right="60" w:hanging="276"/>
        <w:rPr>
          <w:rFonts w:cs="Times New Roman"/>
          <w:color w:val="000000"/>
          <w:szCs w:val="24"/>
        </w:rPr>
      </w:pPr>
      <w:r>
        <w:rPr>
          <w:rFonts w:cs="Times New Roman"/>
          <w:color w:val="000000"/>
          <w:w w:val="105"/>
          <w:szCs w:val="24"/>
        </w:rPr>
        <w:t>moc zainstalowaną elektryczną,</w:t>
      </w:r>
    </w:p>
    <w:p w14:paraId="0668C8A8" w14:textId="77777777" w:rsidR="002803A9" w:rsidRDefault="002803A9">
      <w:pPr>
        <w:pStyle w:val="Akapitzlist"/>
        <w:widowControl w:val="0"/>
        <w:numPr>
          <w:ilvl w:val="1"/>
          <w:numId w:val="285"/>
        </w:numPr>
        <w:tabs>
          <w:tab w:val="left" w:pos="1086"/>
        </w:tabs>
        <w:autoSpaceDE w:val="0"/>
        <w:autoSpaceDN w:val="0"/>
        <w:spacing w:before="18"/>
        <w:ind w:left="1079" w:right="60" w:hanging="267"/>
        <w:jc w:val="both"/>
        <w:rPr>
          <w:rFonts w:cs="Times New Roman"/>
          <w:color w:val="000000"/>
          <w:szCs w:val="24"/>
        </w:rPr>
      </w:pPr>
      <w:r>
        <w:rPr>
          <w:rFonts w:cs="Times New Roman"/>
          <w:color w:val="000000"/>
          <w:w w:val="105"/>
          <w:szCs w:val="24"/>
        </w:rPr>
        <w:t xml:space="preserve">moc znamionową falownika po stronie AC - w przypadku przyłączenia poprzez </w:t>
      </w:r>
      <w:r>
        <w:rPr>
          <w:rFonts w:cs="Times New Roman"/>
          <w:color w:val="000000"/>
          <w:spacing w:val="2"/>
          <w:w w:val="105"/>
          <w:szCs w:val="24"/>
        </w:rPr>
        <w:t>falo</w:t>
      </w:r>
      <w:r>
        <w:rPr>
          <w:rFonts w:cs="Times New Roman"/>
          <w:color w:val="000000"/>
          <w:spacing w:val="5"/>
          <w:w w:val="105"/>
          <w:szCs w:val="24"/>
        </w:rPr>
        <w:t>wnik,</w:t>
      </w:r>
    </w:p>
    <w:p w14:paraId="7CE67CAA" w14:textId="77777777" w:rsidR="002803A9" w:rsidRDefault="002803A9">
      <w:pPr>
        <w:pStyle w:val="Akapitzlist"/>
        <w:widowControl w:val="0"/>
        <w:numPr>
          <w:ilvl w:val="1"/>
          <w:numId w:val="285"/>
        </w:numPr>
        <w:tabs>
          <w:tab w:val="left" w:pos="1081"/>
        </w:tabs>
        <w:autoSpaceDE w:val="0"/>
        <w:autoSpaceDN w:val="0"/>
        <w:ind w:left="1080" w:right="60" w:hanging="267"/>
        <w:rPr>
          <w:rFonts w:cs="Times New Roman"/>
          <w:color w:val="000000"/>
          <w:szCs w:val="24"/>
        </w:rPr>
      </w:pPr>
      <w:r>
        <w:rPr>
          <w:rFonts w:cs="Times New Roman"/>
          <w:color w:val="000000"/>
          <w:w w:val="105"/>
          <w:szCs w:val="24"/>
        </w:rPr>
        <w:t>typ instalacji, w której ma być zainstalowana</w:t>
      </w:r>
      <w:r>
        <w:rPr>
          <w:rFonts w:cs="Times New Roman"/>
          <w:color w:val="000000"/>
          <w:spacing w:val="45"/>
          <w:w w:val="105"/>
          <w:szCs w:val="24"/>
        </w:rPr>
        <w:t xml:space="preserve"> </w:t>
      </w:r>
      <w:r>
        <w:rPr>
          <w:rFonts w:cs="Times New Roman"/>
          <w:color w:val="000000"/>
          <w:w w:val="105"/>
          <w:szCs w:val="24"/>
        </w:rPr>
        <w:t>mikroinstalacja,</w:t>
      </w:r>
    </w:p>
    <w:p w14:paraId="31498955" w14:textId="77777777" w:rsidR="002803A9" w:rsidRDefault="002803A9">
      <w:pPr>
        <w:pStyle w:val="Akapitzlist"/>
        <w:widowControl w:val="0"/>
        <w:numPr>
          <w:ilvl w:val="1"/>
          <w:numId w:val="285"/>
        </w:numPr>
        <w:tabs>
          <w:tab w:val="left" w:pos="1081"/>
        </w:tabs>
        <w:autoSpaceDE w:val="0"/>
        <w:autoSpaceDN w:val="0"/>
        <w:spacing w:before="23"/>
        <w:ind w:left="1080" w:right="60" w:hanging="266"/>
        <w:rPr>
          <w:rFonts w:cs="Times New Roman"/>
          <w:color w:val="000000"/>
          <w:szCs w:val="24"/>
        </w:rPr>
      </w:pPr>
      <w:r>
        <w:rPr>
          <w:rFonts w:cs="Times New Roman"/>
          <w:color w:val="000000"/>
          <w:w w:val="105"/>
          <w:szCs w:val="24"/>
        </w:rPr>
        <w:t xml:space="preserve">dane techniczne zainstalowanej </w:t>
      </w:r>
      <w:r>
        <w:rPr>
          <w:rFonts w:cs="Times New Roman"/>
          <w:color w:val="000000"/>
          <w:spacing w:val="3"/>
          <w:w w:val="105"/>
          <w:szCs w:val="24"/>
        </w:rPr>
        <w:t>mikroinst</w:t>
      </w:r>
      <w:r>
        <w:rPr>
          <w:rFonts w:cs="Times New Roman"/>
          <w:color w:val="000000"/>
          <w:spacing w:val="4"/>
          <w:w w:val="105"/>
          <w:szCs w:val="24"/>
        </w:rPr>
        <w:t>alacj</w:t>
      </w:r>
      <w:r>
        <w:rPr>
          <w:rFonts w:cs="Times New Roman"/>
          <w:color w:val="000000"/>
          <w:spacing w:val="-3"/>
          <w:w w:val="105"/>
          <w:szCs w:val="24"/>
        </w:rPr>
        <w:t>i</w:t>
      </w:r>
      <w:r>
        <w:rPr>
          <w:rFonts w:cs="Times New Roman"/>
          <w:color w:val="000000"/>
          <w:spacing w:val="3"/>
          <w:w w:val="105"/>
          <w:szCs w:val="24"/>
        </w:rPr>
        <w:t>,</w:t>
      </w:r>
    </w:p>
    <w:p w14:paraId="6D265A38" w14:textId="0F52B7E0" w:rsidR="002803A9" w:rsidRDefault="002803A9">
      <w:pPr>
        <w:pStyle w:val="Akapitzlist"/>
        <w:widowControl w:val="0"/>
        <w:numPr>
          <w:ilvl w:val="1"/>
          <w:numId w:val="285"/>
        </w:numPr>
        <w:tabs>
          <w:tab w:val="left" w:pos="1086"/>
        </w:tabs>
        <w:autoSpaceDE w:val="0"/>
        <w:autoSpaceDN w:val="0"/>
        <w:spacing w:before="23"/>
        <w:ind w:right="60" w:hanging="271"/>
        <w:jc w:val="both"/>
        <w:rPr>
          <w:rFonts w:cs="Times New Roman"/>
          <w:color w:val="000000"/>
          <w:szCs w:val="24"/>
        </w:rPr>
      </w:pPr>
      <w:r>
        <w:rPr>
          <w:rFonts w:cs="Times New Roman"/>
          <w:color w:val="000000"/>
          <w:w w:val="110"/>
          <w:szCs w:val="24"/>
        </w:rPr>
        <w:t xml:space="preserve">oświadczenie, że mikroinstalacja jest wybudowana zgodnie </w:t>
      </w:r>
      <w:r>
        <w:rPr>
          <w:rFonts w:cs="Times New Roman"/>
          <w:color w:val="000000"/>
          <w:w w:val="110"/>
          <w:szCs w:val="24"/>
        </w:rPr>
        <w:br/>
        <w:t>z obowiązującymi przepisami   i   zasadami   wiedzy   technicznej   oraz   spełnia   wymogi   techniczne   i eksploatacyjne zawarte w art. 7a</w:t>
      </w:r>
      <w:r>
        <w:rPr>
          <w:rFonts w:cs="Times New Roman"/>
          <w:color w:val="000000"/>
          <w:spacing w:val="5"/>
          <w:w w:val="110"/>
          <w:szCs w:val="24"/>
        </w:rPr>
        <w:t xml:space="preserve"> </w:t>
      </w:r>
      <w:r>
        <w:rPr>
          <w:rFonts w:cs="Times New Roman"/>
          <w:color w:val="000000"/>
          <w:w w:val="110"/>
          <w:szCs w:val="24"/>
        </w:rPr>
        <w:t>Ustawy.</w:t>
      </w:r>
    </w:p>
    <w:p w14:paraId="55EAC84E" w14:textId="77777777" w:rsidR="00374507" w:rsidRDefault="00374507" w:rsidP="00902449">
      <w:pPr>
        <w:ind w:left="851" w:right="20"/>
        <w:jc w:val="both"/>
        <w:rPr>
          <w:rFonts w:eastAsia="Times New Roman"/>
        </w:rPr>
      </w:pPr>
      <w:r w:rsidRPr="003B5EA2">
        <w:rPr>
          <w:rFonts w:eastAsia="Times New Roman" w:cs="Times New Roman"/>
          <w:color w:val="000000"/>
          <w:szCs w:val="24"/>
        </w:rPr>
        <w:t>OSDn potwierdza złożenie zgłoszenia, odnotowując datę jego złożenia oraz dokonuje przyłączenia do sieci mikroinstalacji w terminie 30 dni od dokonania tego zgłoszenia</w:t>
      </w:r>
      <w:r w:rsidR="00D74DE6">
        <w:rPr>
          <w:rFonts w:eastAsia="Times New Roman" w:cs="Times New Roman"/>
          <w:color w:val="000000"/>
          <w:szCs w:val="24"/>
        </w:rPr>
        <w:t>.</w:t>
      </w:r>
    </w:p>
    <w:p w14:paraId="2B134775" w14:textId="77777777" w:rsidR="00B51E74" w:rsidRDefault="00444F18">
      <w:pPr>
        <w:numPr>
          <w:ilvl w:val="0"/>
          <w:numId w:val="240"/>
        </w:numPr>
        <w:spacing w:line="234" w:lineRule="auto"/>
        <w:ind w:left="709" w:right="20" w:hanging="709"/>
        <w:jc w:val="both"/>
        <w:rPr>
          <w:rFonts w:eastAsia="Times New Roman"/>
        </w:rPr>
      </w:pPr>
      <w:r>
        <w:rPr>
          <w:rFonts w:eastAsia="Times New Roman"/>
        </w:rPr>
        <w:t>Umowa o przyłączenie stanowi podstawę do rozpoczęcia przez OSDn realizacji prac projektowych i budowlano-montażowych na zasadach określonych w tej umowie.</w:t>
      </w:r>
    </w:p>
    <w:p w14:paraId="1DA9154B" w14:textId="77777777" w:rsidR="00444F18" w:rsidRDefault="00444F18">
      <w:pPr>
        <w:numPr>
          <w:ilvl w:val="0"/>
          <w:numId w:val="240"/>
        </w:numPr>
        <w:spacing w:line="234" w:lineRule="auto"/>
        <w:jc w:val="both"/>
        <w:rPr>
          <w:rFonts w:eastAsia="Times New Roman"/>
        </w:rPr>
      </w:pPr>
      <w:r>
        <w:rPr>
          <w:rFonts w:eastAsia="Times New Roman"/>
        </w:rPr>
        <w:t>Umowa o przyłączenie do sieci dystrybucyjnej OSDn powinna zawierać co najmniej:</w:t>
      </w:r>
    </w:p>
    <w:p w14:paraId="7AA2A427" w14:textId="77777777" w:rsidR="00D74DE6" w:rsidRDefault="00D74DE6">
      <w:pPr>
        <w:numPr>
          <w:ilvl w:val="0"/>
          <w:numId w:val="57"/>
        </w:numPr>
        <w:spacing w:line="0" w:lineRule="atLeast"/>
        <w:ind w:left="1134" w:hanging="141"/>
        <w:jc w:val="both"/>
        <w:rPr>
          <w:rFonts w:eastAsia="Times New Roman"/>
        </w:rPr>
      </w:pPr>
      <w:r>
        <w:rPr>
          <w:rFonts w:eastAsia="Times New Roman"/>
        </w:rPr>
        <w:t>strony zawierające umowę,</w:t>
      </w:r>
    </w:p>
    <w:p w14:paraId="4C805810" w14:textId="77777777" w:rsidR="00E31826" w:rsidRDefault="00E31826">
      <w:pPr>
        <w:numPr>
          <w:ilvl w:val="0"/>
          <w:numId w:val="57"/>
        </w:numPr>
        <w:spacing w:line="0" w:lineRule="atLeast"/>
        <w:ind w:left="1134" w:hanging="141"/>
        <w:jc w:val="both"/>
        <w:rPr>
          <w:rFonts w:eastAsia="Times New Roman"/>
        </w:rPr>
      </w:pPr>
      <w:r>
        <w:rPr>
          <w:rFonts w:eastAsia="Times New Roman"/>
        </w:rPr>
        <w:t>przedmiot umowy wynikający z warunków przyłączenia,</w:t>
      </w:r>
    </w:p>
    <w:p w14:paraId="72BF4D3A" w14:textId="77777777" w:rsidR="00E31826" w:rsidRDefault="00E31826">
      <w:pPr>
        <w:numPr>
          <w:ilvl w:val="0"/>
          <w:numId w:val="57"/>
        </w:numPr>
        <w:spacing w:line="0" w:lineRule="atLeast"/>
        <w:ind w:left="1134" w:hanging="141"/>
        <w:jc w:val="both"/>
        <w:rPr>
          <w:rFonts w:eastAsia="Times New Roman"/>
        </w:rPr>
      </w:pPr>
      <w:r>
        <w:rPr>
          <w:rFonts w:eastAsia="Times New Roman"/>
        </w:rPr>
        <w:t>termin realizacji przyłączenia,</w:t>
      </w:r>
    </w:p>
    <w:p w14:paraId="3002AE18" w14:textId="77777777" w:rsidR="00E31826" w:rsidRDefault="00E31826">
      <w:pPr>
        <w:numPr>
          <w:ilvl w:val="0"/>
          <w:numId w:val="57"/>
        </w:numPr>
        <w:spacing w:line="0" w:lineRule="atLeast"/>
        <w:ind w:left="1134" w:hanging="141"/>
        <w:jc w:val="both"/>
        <w:rPr>
          <w:rFonts w:eastAsia="Times New Roman"/>
        </w:rPr>
      </w:pPr>
      <w:r>
        <w:rPr>
          <w:rFonts w:eastAsia="Times New Roman"/>
        </w:rPr>
        <w:t>wysokość opłaty za przyłączenie oraz sposób jej regulowania,</w:t>
      </w:r>
    </w:p>
    <w:p w14:paraId="71DDAAA7" w14:textId="77777777" w:rsidR="00E31826" w:rsidRDefault="00E31826">
      <w:pPr>
        <w:numPr>
          <w:ilvl w:val="0"/>
          <w:numId w:val="57"/>
        </w:numPr>
        <w:spacing w:line="0" w:lineRule="atLeast"/>
        <w:ind w:left="1134" w:hanging="141"/>
        <w:jc w:val="both"/>
        <w:rPr>
          <w:rFonts w:eastAsia="Times New Roman"/>
        </w:rPr>
      </w:pPr>
      <w:r>
        <w:rPr>
          <w:rFonts w:eastAsia="Times New Roman"/>
        </w:rPr>
        <w:t>miejsce rozgraniczenia własności sieci OSDn i instalacji podmiotu przyłączanego,</w:t>
      </w:r>
    </w:p>
    <w:p w14:paraId="5FE8C400" w14:textId="77777777" w:rsidR="00E31826" w:rsidRDefault="00E31826">
      <w:pPr>
        <w:numPr>
          <w:ilvl w:val="0"/>
          <w:numId w:val="57"/>
        </w:numPr>
        <w:spacing w:line="0" w:lineRule="atLeast"/>
        <w:ind w:left="1134" w:hanging="141"/>
        <w:jc w:val="both"/>
        <w:rPr>
          <w:rFonts w:eastAsia="Times New Roman"/>
        </w:rPr>
      </w:pPr>
      <w:r>
        <w:rPr>
          <w:rFonts w:eastAsia="Times New Roman"/>
        </w:rPr>
        <w:t>zakres robót niezbędnych przy realizacji przyłączenia,</w:t>
      </w:r>
    </w:p>
    <w:p w14:paraId="7FB40D3C" w14:textId="77777777" w:rsidR="00E31826" w:rsidRPr="00343D31" w:rsidRDefault="00E31826">
      <w:pPr>
        <w:numPr>
          <w:ilvl w:val="0"/>
          <w:numId w:val="57"/>
        </w:numPr>
        <w:spacing w:line="0" w:lineRule="atLeast"/>
        <w:ind w:left="1134" w:hanging="141"/>
        <w:jc w:val="both"/>
        <w:rPr>
          <w:rFonts w:eastAsia="Times New Roman"/>
          <w:szCs w:val="24"/>
        </w:rPr>
      </w:pPr>
      <w:r w:rsidRPr="00343D31">
        <w:rPr>
          <w:rFonts w:eastAsia="Times New Roman"/>
          <w:szCs w:val="24"/>
        </w:rPr>
        <w:t>wymagania dotyczące lokalizacji układu pomiarowo-rozliczeniowego i jego parametrów,</w:t>
      </w:r>
    </w:p>
    <w:p w14:paraId="396CC3D0" w14:textId="771AB115" w:rsidR="00E31826" w:rsidRPr="00343D31" w:rsidRDefault="00E31826">
      <w:pPr>
        <w:numPr>
          <w:ilvl w:val="0"/>
          <w:numId w:val="57"/>
        </w:numPr>
        <w:spacing w:line="0" w:lineRule="atLeast"/>
        <w:ind w:left="1134" w:hanging="141"/>
        <w:jc w:val="both"/>
        <w:rPr>
          <w:rFonts w:eastAsia="Times New Roman"/>
          <w:szCs w:val="24"/>
        </w:rPr>
      </w:pPr>
      <w:r w:rsidRPr="00343D31">
        <w:rPr>
          <w:rFonts w:eastAsia="Times New Roman"/>
          <w:szCs w:val="24"/>
        </w:rPr>
        <w:t>harmonogram przyłączenia,</w:t>
      </w:r>
    </w:p>
    <w:p w14:paraId="1D8BE2BB" w14:textId="6A4F3BC4" w:rsidR="00343D31" w:rsidRPr="00343D31" w:rsidRDefault="00343D31">
      <w:pPr>
        <w:pStyle w:val="Akapitzlist"/>
        <w:numPr>
          <w:ilvl w:val="0"/>
          <w:numId w:val="57"/>
        </w:numPr>
        <w:spacing w:before="120"/>
        <w:ind w:left="1134" w:right="-142" w:hanging="141"/>
        <w:jc w:val="both"/>
        <w:rPr>
          <w:rFonts w:cs="Times New Roman"/>
          <w:szCs w:val="24"/>
        </w:rPr>
      </w:pPr>
      <w:r w:rsidRPr="00343D31">
        <w:rPr>
          <w:rFonts w:cs="Times New Roman"/>
          <w:szCs w:val="24"/>
        </w:rPr>
        <w:lastRenderedPageBreak/>
        <w:t>oświadczenie podmiotu ubiegającego się o przyłączenie mikroinstalacji do sieci dystrybucyjnej o treści: „Świadomy odpowiedzialności karnej za złożenie fałszywego oświadczenia wynikającej z art. 233 § 6 ustawy z dnia 6 czerwca 1997 r. – Kodeks karny oświadczam, że posiadam tytuł prawny do nieruchomości, na której jest planowana inwestycja oraz do mikroinstalacji określonej w zgłoszeniu.”. Klauzula ta zastępuje pouczenie o odpowiedzialności karnej za składanie fałszywych zeznań,</w:t>
      </w:r>
    </w:p>
    <w:p w14:paraId="1A85E745" w14:textId="2D95B5D9" w:rsidR="00343D31" w:rsidRPr="00343D31" w:rsidRDefault="00343D31">
      <w:pPr>
        <w:pStyle w:val="Akapitzlist"/>
        <w:numPr>
          <w:ilvl w:val="0"/>
          <w:numId w:val="57"/>
        </w:numPr>
        <w:spacing w:before="120"/>
        <w:ind w:left="1134" w:right="-142" w:hanging="141"/>
        <w:jc w:val="both"/>
        <w:rPr>
          <w:rFonts w:cs="Times New Roman"/>
          <w:szCs w:val="24"/>
        </w:rPr>
      </w:pPr>
      <w:r w:rsidRPr="00343D31">
        <w:rPr>
          <w:rFonts w:cs="Times New Roman"/>
          <w:szCs w:val="24"/>
        </w:rPr>
        <w:t>planowany termin przyłączenia,</w:t>
      </w:r>
    </w:p>
    <w:p w14:paraId="1E05F28C" w14:textId="569E7D0B" w:rsidR="00343D31" w:rsidRPr="00343D31" w:rsidRDefault="00343D31">
      <w:pPr>
        <w:pStyle w:val="Akapitzlist"/>
        <w:numPr>
          <w:ilvl w:val="0"/>
          <w:numId w:val="57"/>
        </w:numPr>
        <w:spacing w:before="120"/>
        <w:ind w:left="1134" w:right="-142" w:hanging="141"/>
        <w:jc w:val="both"/>
        <w:rPr>
          <w:rFonts w:cs="Times New Roman"/>
          <w:szCs w:val="24"/>
        </w:rPr>
      </w:pPr>
      <w:r w:rsidRPr="00343D31">
        <w:rPr>
          <w:rFonts w:cs="Times New Roman"/>
          <w:szCs w:val="24"/>
        </w:rPr>
        <w:t>potwierdzenie spełnienia wymagań dotyczących wymaganych certyfikatów.</w:t>
      </w:r>
    </w:p>
    <w:p w14:paraId="1CA0D6B6" w14:textId="1E38FF9B" w:rsidR="00E31826" w:rsidRDefault="00E31826">
      <w:pPr>
        <w:numPr>
          <w:ilvl w:val="0"/>
          <w:numId w:val="57"/>
        </w:numPr>
        <w:spacing w:line="0" w:lineRule="atLeast"/>
        <w:ind w:left="1134" w:hanging="141"/>
        <w:jc w:val="both"/>
        <w:rPr>
          <w:rFonts w:eastAsia="Times New Roman"/>
        </w:rPr>
      </w:pPr>
      <w:r w:rsidRPr="00343D31">
        <w:rPr>
          <w:rFonts w:eastAsia="Times New Roman"/>
          <w:szCs w:val="24"/>
        </w:rPr>
        <w:t xml:space="preserve">warunki udostępnienia OSDn nieruchomości należącej do podmiotu przyłączanego </w:t>
      </w:r>
      <w:r w:rsidR="0020772F">
        <w:rPr>
          <w:rFonts w:eastAsia="Times New Roman"/>
          <w:szCs w:val="24"/>
        </w:rPr>
        <w:br/>
      </w:r>
      <w:r w:rsidRPr="00343D31">
        <w:rPr>
          <w:rFonts w:eastAsia="Times New Roman"/>
          <w:szCs w:val="24"/>
        </w:rPr>
        <w:t>w celu budowy lub rozbudowy sieci niezbędnej</w:t>
      </w:r>
      <w:r>
        <w:rPr>
          <w:rFonts w:eastAsia="Times New Roman"/>
        </w:rPr>
        <w:t xml:space="preserve"> do realizacji przyłączenia,</w:t>
      </w:r>
    </w:p>
    <w:p w14:paraId="6159B6EB" w14:textId="77777777" w:rsidR="00E31826" w:rsidRPr="00E31826" w:rsidRDefault="00E31826">
      <w:pPr>
        <w:numPr>
          <w:ilvl w:val="0"/>
          <w:numId w:val="57"/>
        </w:numPr>
        <w:spacing w:line="0" w:lineRule="atLeast"/>
        <w:ind w:left="1134" w:hanging="141"/>
        <w:jc w:val="both"/>
        <w:rPr>
          <w:rFonts w:eastAsia="Times New Roman"/>
        </w:rPr>
      </w:pPr>
      <w:r>
        <w:rPr>
          <w:rFonts w:eastAsia="Times New Roman"/>
          <w:w w:val="99"/>
        </w:rPr>
        <w:t>przewidywany termin zawarcia umowy, na podstawie której nastąpi dostarczanie lub pobieranie energii,</w:t>
      </w:r>
    </w:p>
    <w:p w14:paraId="49CB350E" w14:textId="77777777" w:rsidR="00E31826" w:rsidRDefault="00E31826">
      <w:pPr>
        <w:numPr>
          <w:ilvl w:val="0"/>
          <w:numId w:val="57"/>
        </w:numPr>
        <w:spacing w:line="0" w:lineRule="atLeast"/>
        <w:ind w:left="1134" w:hanging="141"/>
        <w:jc w:val="both"/>
        <w:rPr>
          <w:rFonts w:eastAsia="Times New Roman"/>
        </w:rPr>
      </w:pPr>
      <w:r>
        <w:rPr>
          <w:rFonts w:eastAsia="Times New Roman"/>
        </w:rPr>
        <w:t>planowane ilości energii elektrycznej wprowadzanej do i/lub pobieranej z sieci,</w:t>
      </w:r>
    </w:p>
    <w:p w14:paraId="13BF3234" w14:textId="77777777" w:rsidR="00E31826" w:rsidRDefault="00E31826">
      <w:pPr>
        <w:numPr>
          <w:ilvl w:val="0"/>
          <w:numId w:val="57"/>
        </w:numPr>
        <w:spacing w:line="0" w:lineRule="atLeast"/>
        <w:ind w:left="1134" w:hanging="141"/>
        <w:jc w:val="both"/>
        <w:rPr>
          <w:rFonts w:eastAsia="Times New Roman"/>
        </w:rPr>
      </w:pPr>
      <w:r>
        <w:rPr>
          <w:rFonts w:eastAsia="Times New Roman"/>
        </w:rPr>
        <w:t>moc przyłączeniową,</w:t>
      </w:r>
    </w:p>
    <w:p w14:paraId="28F5BFBF" w14:textId="77777777" w:rsidR="00E31826" w:rsidRDefault="00E31826">
      <w:pPr>
        <w:numPr>
          <w:ilvl w:val="0"/>
          <w:numId w:val="57"/>
        </w:numPr>
        <w:spacing w:line="0" w:lineRule="atLeast"/>
        <w:ind w:left="1134" w:hanging="141"/>
        <w:jc w:val="both"/>
        <w:rPr>
          <w:rFonts w:eastAsia="Times New Roman"/>
        </w:rPr>
      </w:pPr>
      <w:r>
        <w:rPr>
          <w:rFonts w:eastAsia="Times New Roman"/>
        </w:rPr>
        <w:t>w uzasadnionych przypadkach ustalenia dotyczące opracowania dokumentu regulującego zasady współpracy ruchowej z OSDn,</w:t>
      </w:r>
    </w:p>
    <w:p w14:paraId="76C9C778" w14:textId="77777777" w:rsidR="00E31826" w:rsidRDefault="00E31826">
      <w:pPr>
        <w:numPr>
          <w:ilvl w:val="0"/>
          <w:numId w:val="57"/>
        </w:numPr>
        <w:spacing w:line="0" w:lineRule="atLeast"/>
        <w:ind w:left="1134" w:hanging="141"/>
        <w:jc w:val="both"/>
        <w:rPr>
          <w:rFonts w:eastAsia="Times New Roman"/>
        </w:rPr>
      </w:pPr>
      <w:r>
        <w:rPr>
          <w:rFonts w:eastAsia="Times New Roman"/>
          <w:w w:val="98"/>
        </w:rPr>
        <w:t xml:space="preserve">odpowiedzialność stron za niedotrzymanie warunków umowy, a w szczególności </w:t>
      </w:r>
      <w:r>
        <w:rPr>
          <w:rFonts w:eastAsia="Times New Roman"/>
        </w:rPr>
        <w:t>za opóźnienie terminu realizacji prac w stosunku do ustalonego w umowie,</w:t>
      </w:r>
    </w:p>
    <w:p w14:paraId="35F63291" w14:textId="77777777" w:rsidR="00E31826" w:rsidRDefault="00E31826">
      <w:pPr>
        <w:numPr>
          <w:ilvl w:val="0"/>
          <w:numId w:val="57"/>
        </w:numPr>
        <w:spacing w:line="0" w:lineRule="atLeast"/>
        <w:ind w:left="1134" w:hanging="141"/>
        <w:jc w:val="both"/>
        <w:rPr>
          <w:rFonts w:eastAsia="Times New Roman"/>
        </w:rPr>
      </w:pPr>
      <w:r>
        <w:rPr>
          <w:rFonts w:eastAsia="Times New Roman"/>
        </w:rPr>
        <w:t>okres obowiązywania umowy i warunki jej rozwiązania.</w:t>
      </w:r>
    </w:p>
    <w:p w14:paraId="40FEB4C6" w14:textId="77777777" w:rsidR="00444F18" w:rsidRDefault="00CE2221">
      <w:pPr>
        <w:numPr>
          <w:ilvl w:val="0"/>
          <w:numId w:val="240"/>
        </w:numPr>
        <w:spacing w:line="234" w:lineRule="auto"/>
        <w:ind w:left="709" w:right="20" w:hanging="709"/>
        <w:jc w:val="both"/>
        <w:rPr>
          <w:rFonts w:eastAsia="Times New Roman"/>
        </w:rPr>
      </w:pPr>
      <w:r>
        <w:rPr>
          <w:rFonts w:eastAsia="Times New Roman"/>
        </w:rPr>
        <w:t xml:space="preserve">OSDn w zakresie przyłączanych oraz przyłączonych do sieci </w:t>
      </w:r>
      <w:r>
        <w:rPr>
          <w:rFonts w:eastAsia="Times New Roman"/>
          <w:w w:val="99"/>
        </w:rPr>
        <w:t xml:space="preserve">dystrybucyjnej urządzeń, instalacji, sieci ma prawo do kontroli legalności pobierania </w:t>
      </w:r>
      <w:r>
        <w:rPr>
          <w:rFonts w:eastAsia="Times New Roman"/>
        </w:rPr>
        <w:t>energii elektrycznej, kontroli układów pomiarowo – rozliczeniowych, dotrzymania zawartych umów oraz prawidłowości rozliczeń.</w:t>
      </w:r>
    </w:p>
    <w:p w14:paraId="0669F071" w14:textId="77777777" w:rsidR="00CE2221" w:rsidRDefault="00CE2221">
      <w:pPr>
        <w:numPr>
          <w:ilvl w:val="0"/>
          <w:numId w:val="240"/>
        </w:numPr>
        <w:spacing w:line="234" w:lineRule="auto"/>
        <w:ind w:left="709" w:right="20" w:hanging="709"/>
        <w:jc w:val="both"/>
        <w:rPr>
          <w:rFonts w:eastAsia="Times New Roman"/>
        </w:rPr>
      </w:pPr>
      <w:r>
        <w:rPr>
          <w:rFonts w:eastAsia="Times New Roman"/>
        </w:rPr>
        <w:t>Szczegółowe zasady przeprowadzania kontroli, o których mowa w pkt. II.1.20, reguluje Ustawa oraz akty wykonawcze do Ustawy.</w:t>
      </w:r>
    </w:p>
    <w:p w14:paraId="2939D0BB" w14:textId="77777777" w:rsidR="00CE2221" w:rsidRPr="00F1414C" w:rsidRDefault="00CE2221">
      <w:pPr>
        <w:numPr>
          <w:ilvl w:val="0"/>
          <w:numId w:val="240"/>
        </w:numPr>
        <w:spacing w:line="234" w:lineRule="auto"/>
        <w:ind w:left="709" w:right="20" w:hanging="709"/>
        <w:jc w:val="both"/>
        <w:rPr>
          <w:rFonts w:eastAsia="Times New Roman"/>
        </w:rPr>
      </w:pPr>
      <w:r>
        <w:rPr>
          <w:sz w:val="23"/>
          <w:szCs w:val="23"/>
        </w:rPr>
        <w:t>Zagadnienia związane z połączeniem zagranicznej sieci dystrybucyjnej z siecią dystrybucyjną OSDn są regulowane postanowieniami umów.</w:t>
      </w:r>
    </w:p>
    <w:p w14:paraId="2A0959D2" w14:textId="55E9035E" w:rsidR="00F1414C" w:rsidRPr="00F1414C" w:rsidRDefault="00F1414C">
      <w:pPr>
        <w:numPr>
          <w:ilvl w:val="0"/>
          <w:numId w:val="240"/>
        </w:numPr>
        <w:spacing w:line="234" w:lineRule="auto"/>
        <w:ind w:left="709" w:right="20" w:hanging="709"/>
        <w:jc w:val="both"/>
        <w:rPr>
          <w:rFonts w:eastAsia="Times New Roman"/>
        </w:rPr>
      </w:pPr>
      <w:r>
        <w:rPr>
          <w:sz w:val="23"/>
          <w:szCs w:val="23"/>
        </w:rPr>
        <w:t>Szczegółowe warunki techniczne jakie powinny spełniać przyłączane do sieci dystrybucyjnej OSDn urządzenia, instalacje i sieci, w tym jednostki wytwórcze, określaj</w:t>
      </w:r>
      <w:r w:rsidR="00236209">
        <w:rPr>
          <w:sz w:val="23"/>
          <w:szCs w:val="23"/>
        </w:rPr>
        <w:t xml:space="preserve">ą wymagania </w:t>
      </w:r>
      <w:r w:rsidR="00236209">
        <w:rPr>
          <w:sz w:val="23"/>
          <w:szCs w:val="23"/>
        </w:rPr>
        <w:br/>
        <w:t>w</w:t>
      </w:r>
      <w:r>
        <w:rPr>
          <w:sz w:val="23"/>
          <w:szCs w:val="23"/>
        </w:rPr>
        <w:t xml:space="preserve"> pkt</w:t>
      </w:r>
      <w:r w:rsidRPr="009B461D">
        <w:rPr>
          <w:sz w:val="23"/>
          <w:szCs w:val="23"/>
        </w:rPr>
        <w:t>. II.3.</w:t>
      </w:r>
      <w:r>
        <w:rPr>
          <w:sz w:val="23"/>
          <w:szCs w:val="23"/>
        </w:rPr>
        <w:t xml:space="preserve"> oraz załączniki do niniejszej IRiESD</w:t>
      </w:r>
      <w:r w:rsidR="006E524B">
        <w:rPr>
          <w:sz w:val="23"/>
          <w:szCs w:val="23"/>
        </w:rPr>
        <w:t>, oraz w szczególności Załącznik nr 1.</w:t>
      </w:r>
    </w:p>
    <w:p w14:paraId="43C7967E" w14:textId="77777777" w:rsidR="00F1414C" w:rsidRPr="00F1414C" w:rsidRDefault="00F1414C">
      <w:pPr>
        <w:numPr>
          <w:ilvl w:val="0"/>
          <w:numId w:val="240"/>
        </w:numPr>
        <w:spacing w:line="234" w:lineRule="auto"/>
        <w:ind w:left="709" w:right="20" w:hanging="709"/>
        <w:jc w:val="both"/>
        <w:rPr>
          <w:rFonts w:eastAsia="Times New Roman"/>
        </w:rPr>
      </w:pPr>
      <w:r>
        <w:rPr>
          <w:sz w:val="23"/>
          <w:szCs w:val="23"/>
        </w:rPr>
        <w:t xml:space="preserve">Podmioty zaliczone do III i VI grupy przyłączeniowej, przyłączane do sieci o napięciu znamionowym wyższym niż 1 kV oraz wytwórcy niezależnie od poziomu napięcia </w:t>
      </w:r>
      <w:r w:rsidRPr="00401808">
        <w:rPr>
          <w:sz w:val="23"/>
          <w:szCs w:val="23"/>
        </w:rPr>
        <w:t xml:space="preserve">sieci, </w:t>
      </w:r>
      <w:r w:rsidR="000F681C">
        <w:rPr>
          <w:sz w:val="23"/>
          <w:szCs w:val="23"/>
        </w:rPr>
        <w:br/>
      </w:r>
      <w:r w:rsidRPr="00401808">
        <w:rPr>
          <w:sz w:val="23"/>
          <w:szCs w:val="23"/>
        </w:rPr>
        <w:t>z wyłączeniem mikroinstalacji, opracowują instrukcję</w:t>
      </w:r>
      <w:r>
        <w:rPr>
          <w:sz w:val="23"/>
          <w:szCs w:val="23"/>
        </w:rPr>
        <w:t>,</w:t>
      </w:r>
      <w:r w:rsidRPr="00401808">
        <w:rPr>
          <w:sz w:val="23"/>
          <w:szCs w:val="23"/>
        </w:rPr>
        <w:t xml:space="preserve"> o której mowa w pkt.VI.2.10. podlegającą uzgodnieniu z OSDn przed przyłączeniem podmiotu do sieci</w:t>
      </w:r>
      <w:r>
        <w:rPr>
          <w:sz w:val="23"/>
          <w:szCs w:val="23"/>
        </w:rPr>
        <w:t>.</w:t>
      </w:r>
    </w:p>
    <w:p w14:paraId="5AE54B5F" w14:textId="77777777" w:rsidR="00F1414C" w:rsidRPr="00F1414C" w:rsidRDefault="00F1414C">
      <w:pPr>
        <w:numPr>
          <w:ilvl w:val="0"/>
          <w:numId w:val="240"/>
        </w:numPr>
        <w:spacing w:line="234" w:lineRule="auto"/>
        <w:ind w:left="709" w:right="20" w:hanging="709"/>
        <w:jc w:val="both"/>
        <w:rPr>
          <w:rFonts w:eastAsia="Times New Roman"/>
        </w:rPr>
      </w:pPr>
      <w:r w:rsidRPr="00751359">
        <w:rPr>
          <w:sz w:val="23"/>
          <w:szCs w:val="23"/>
        </w:rPr>
        <w:t xml:space="preserve">Podmioty ubiegające się o przyłączenie do sieci dystrybucyjnej OSDn urządzeń, instalacji </w:t>
      </w:r>
      <w:r w:rsidR="000F681C">
        <w:rPr>
          <w:sz w:val="23"/>
          <w:szCs w:val="23"/>
        </w:rPr>
        <w:br/>
      </w:r>
      <w:r w:rsidRPr="00751359">
        <w:rPr>
          <w:sz w:val="23"/>
          <w:szCs w:val="23"/>
        </w:rPr>
        <w:t xml:space="preserve">i sieci są zobowiązane do projektowania obiektów, urządzeń, instalacji i sieci zgodnie </w:t>
      </w:r>
      <w:r w:rsidR="000F681C">
        <w:rPr>
          <w:sz w:val="23"/>
          <w:szCs w:val="23"/>
        </w:rPr>
        <w:br/>
      </w:r>
      <w:r w:rsidRPr="00751359">
        <w:rPr>
          <w:sz w:val="23"/>
          <w:szCs w:val="23"/>
        </w:rPr>
        <w:t>z powszechnie obowiązującymi przepisami oraz w oparciu o otrzymane warunki przyłączenia.</w:t>
      </w:r>
    </w:p>
    <w:p w14:paraId="29894F0F" w14:textId="77777777" w:rsidR="00F1414C" w:rsidRPr="00F1414C" w:rsidRDefault="00F1414C">
      <w:pPr>
        <w:numPr>
          <w:ilvl w:val="0"/>
          <w:numId w:val="240"/>
        </w:numPr>
        <w:spacing w:line="234" w:lineRule="auto"/>
        <w:ind w:left="709" w:right="20" w:hanging="709"/>
        <w:jc w:val="both"/>
        <w:rPr>
          <w:rFonts w:eastAsia="Times New Roman"/>
        </w:rPr>
      </w:pPr>
      <w:r w:rsidRPr="00751359">
        <w:rPr>
          <w:sz w:val="23"/>
          <w:szCs w:val="23"/>
        </w:rPr>
        <w:t>W celu umożliwienia wykonania analiz stanu i rozwoju sieci dystrybucyjnej OSDn, wskazane przez OSDn podmioty ubiegające się o przyłączenie oraz przyłączone do sieci dystrybucyjnej przekazują OSDn dane określone w rozdziale II.4.</w:t>
      </w:r>
    </w:p>
    <w:p w14:paraId="13AABA3C" w14:textId="77777777" w:rsidR="00F1414C" w:rsidRPr="00F1414C" w:rsidRDefault="00F1414C">
      <w:pPr>
        <w:numPr>
          <w:ilvl w:val="0"/>
          <w:numId w:val="240"/>
        </w:numPr>
        <w:spacing w:line="234" w:lineRule="auto"/>
        <w:ind w:left="709" w:right="20" w:hanging="709"/>
        <w:jc w:val="both"/>
        <w:rPr>
          <w:rFonts w:eastAsia="Times New Roman"/>
        </w:rPr>
      </w:pPr>
      <w:r>
        <w:rPr>
          <w:sz w:val="23"/>
          <w:szCs w:val="23"/>
        </w:rPr>
        <w:t xml:space="preserve">Wytwórcy oraz farmy wiatrowe o mocy osiągalnej poniżej 50MW, przyłączani do sieci dystrybucyjnej OSDn, dokonują zgłoszenia nowych jednostek wytwórczych oraz zmian </w:t>
      </w:r>
      <w:r w:rsidR="000F681C">
        <w:rPr>
          <w:sz w:val="23"/>
          <w:szCs w:val="23"/>
        </w:rPr>
        <w:br/>
      </w:r>
      <w:r>
        <w:rPr>
          <w:sz w:val="23"/>
          <w:szCs w:val="23"/>
        </w:rPr>
        <w:t>w zakresie zarejestrowanych danych do OSP za pośrednictwem OSDn.</w:t>
      </w:r>
    </w:p>
    <w:p w14:paraId="17B743BA" w14:textId="77777777" w:rsidR="00F1414C" w:rsidRPr="003B5EA2" w:rsidRDefault="00F1414C">
      <w:pPr>
        <w:numPr>
          <w:ilvl w:val="0"/>
          <w:numId w:val="240"/>
        </w:numPr>
        <w:spacing w:line="253" w:lineRule="auto"/>
        <w:ind w:left="709" w:right="40" w:hanging="709"/>
        <w:jc w:val="both"/>
        <w:rPr>
          <w:rFonts w:eastAsia="Times New Roman" w:cs="Times New Roman"/>
          <w:color w:val="000000"/>
          <w:szCs w:val="24"/>
        </w:rPr>
      </w:pPr>
      <w:r w:rsidRPr="003B5EA2">
        <w:rPr>
          <w:rFonts w:eastAsia="Times New Roman" w:cs="Times New Roman"/>
          <w:color w:val="000000"/>
          <w:szCs w:val="24"/>
        </w:rPr>
        <w:t xml:space="preserve">Wytwórca energii elektrycznej z odnawialnych źródeł energii w mikroinstalacji, </w:t>
      </w:r>
      <w:r>
        <w:rPr>
          <w:rFonts w:eastAsia="Times New Roman" w:cs="Times New Roman"/>
          <w:color w:val="000000"/>
          <w:szCs w:val="24"/>
        </w:rPr>
        <w:t>bę</w:t>
      </w:r>
      <w:r w:rsidRPr="003B5EA2">
        <w:rPr>
          <w:rFonts w:eastAsia="Times New Roman" w:cs="Times New Roman"/>
          <w:color w:val="000000"/>
          <w:szCs w:val="24"/>
        </w:rPr>
        <w:t>dący:</w:t>
      </w:r>
    </w:p>
    <w:p w14:paraId="6CADE553" w14:textId="30153F81" w:rsidR="00F1414C" w:rsidRPr="003B5EA2" w:rsidRDefault="00B0240C">
      <w:pPr>
        <w:numPr>
          <w:ilvl w:val="0"/>
          <w:numId w:val="242"/>
        </w:numPr>
        <w:spacing w:line="253" w:lineRule="auto"/>
        <w:ind w:left="993" w:right="285" w:hanging="284"/>
        <w:jc w:val="both"/>
        <w:rPr>
          <w:rFonts w:eastAsia="Times New Roman" w:cs="Times New Roman"/>
          <w:color w:val="000000"/>
          <w:szCs w:val="24"/>
        </w:rPr>
      </w:pPr>
      <w:r>
        <w:rPr>
          <w:rFonts w:eastAsia="Times New Roman" w:cs="Times New Roman"/>
          <w:color w:val="000000"/>
          <w:szCs w:val="24"/>
        </w:rPr>
        <w:t>P</w:t>
      </w:r>
      <w:r w:rsidR="00F1414C" w:rsidRPr="003B5EA2">
        <w:rPr>
          <w:rFonts w:eastAsia="Times New Roman" w:cs="Times New Roman"/>
          <w:color w:val="000000"/>
          <w:szCs w:val="24"/>
        </w:rPr>
        <w:t>rosumentem,</w:t>
      </w:r>
    </w:p>
    <w:p w14:paraId="6643882D" w14:textId="366C3F1C" w:rsidR="00B940A5" w:rsidRPr="00D80DE5" w:rsidRDefault="00B940A5">
      <w:pPr>
        <w:numPr>
          <w:ilvl w:val="0"/>
          <w:numId w:val="242"/>
        </w:numPr>
        <w:spacing w:line="253" w:lineRule="auto"/>
        <w:ind w:left="993" w:right="285" w:hanging="284"/>
        <w:jc w:val="both"/>
        <w:rPr>
          <w:rFonts w:eastAsia="Times New Roman" w:cs="Times New Roman"/>
          <w:color w:val="000000"/>
          <w:szCs w:val="24"/>
        </w:rPr>
      </w:pPr>
      <w:r w:rsidRPr="00D80DE5">
        <w:rPr>
          <w:rFonts w:eastAsia="Times New Roman" w:cs="Times New Roman"/>
          <w:color w:val="000000"/>
          <w:szCs w:val="24"/>
        </w:rPr>
        <w:t xml:space="preserve">Przedsiębiorcą w rozumieniu ustawy z dnia 6 marca 2018 r. Prawo przedsiębiorców – zwanej dalej „ustawą Prawo przedsiębiorców” (Dz. U. z 2019 r., poz. 1292 z późn. zmianami) niebędącego </w:t>
      </w:r>
      <w:r w:rsidR="00D2720B">
        <w:rPr>
          <w:rFonts w:eastAsia="Times New Roman" w:cs="Times New Roman"/>
          <w:color w:val="000000"/>
          <w:szCs w:val="24"/>
        </w:rPr>
        <w:t>P</w:t>
      </w:r>
      <w:r w:rsidRPr="00D80DE5">
        <w:rPr>
          <w:rFonts w:eastAsia="Times New Roman" w:cs="Times New Roman"/>
          <w:color w:val="000000"/>
          <w:szCs w:val="24"/>
        </w:rPr>
        <w:t>rosumentem</w:t>
      </w:r>
      <w:r>
        <w:rPr>
          <w:rFonts w:eastAsia="Times New Roman" w:cs="Times New Roman"/>
          <w:color w:val="000000"/>
          <w:szCs w:val="24"/>
        </w:rPr>
        <w:t>.</w:t>
      </w:r>
    </w:p>
    <w:p w14:paraId="785980E2" w14:textId="37EB9F13" w:rsidR="00443518" w:rsidRPr="00443518" w:rsidRDefault="00443518" w:rsidP="00720414">
      <w:pPr>
        <w:tabs>
          <w:tab w:val="left" w:pos="1276"/>
        </w:tabs>
        <w:spacing w:before="120"/>
        <w:ind w:left="709" w:right="60"/>
        <w:jc w:val="both"/>
        <w:rPr>
          <w:rFonts w:cs="Times New Roman"/>
          <w:szCs w:val="24"/>
        </w:rPr>
      </w:pPr>
      <w:r w:rsidRPr="00443518">
        <w:rPr>
          <w:rFonts w:cs="Times New Roman"/>
          <w:szCs w:val="24"/>
        </w:rPr>
        <w:lastRenderedPageBreak/>
        <w:t>informuje OSDn o terminie przyłączenia mikroinstalacji, w zgłoszeniu przyłączenia mikroinstalacji o którym mowa w pkt II.1.</w:t>
      </w:r>
      <w:r>
        <w:rPr>
          <w:rFonts w:cs="Times New Roman"/>
          <w:szCs w:val="24"/>
        </w:rPr>
        <w:t>18</w:t>
      </w:r>
      <w:r w:rsidRPr="00443518">
        <w:rPr>
          <w:rFonts w:cs="Times New Roman"/>
          <w:szCs w:val="24"/>
        </w:rPr>
        <w:t>., nie później niż w terminie 30 dni przed dniem planowanego przyłączenia mikroinstalacji do sieci OSDn.</w:t>
      </w:r>
    </w:p>
    <w:p w14:paraId="7C8B50ED" w14:textId="388B0DA8" w:rsidR="00224571" w:rsidRPr="003B5EA2" w:rsidRDefault="00224571">
      <w:pPr>
        <w:numPr>
          <w:ilvl w:val="0"/>
          <w:numId w:val="240"/>
        </w:numPr>
        <w:spacing w:line="253" w:lineRule="auto"/>
        <w:ind w:right="60"/>
        <w:jc w:val="both"/>
        <w:rPr>
          <w:rFonts w:eastAsia="Times New Roman" w:cs="Times New Roman"/>
          <w:color w:val="000000"/>
          <w:szCs w:val="24"/>
        </w:rPr>
      </w:pPr>
      <w:r w:rsidRPr="003B5EA2">
        <w:rPr>
          <w:rFonts w:eastAsia="Times New Roman" w:cs="Times New Roman"/>
          <w:color w:val="000000"/>
          <w:szCs w:val="24"/>
        </w:rPr>
        <w:t>Wytwórca, o którym mowa w pkt. II.1.</w:t>
      </w:r>
      <w:r>
        <w:rPr>
          <w:rFonts w:eastAsia="Times New Roman" w:cs="Times New Roman"/>
          <w:color w:val="000000"/>
          <w:szCs w:val="24"/>
        </w:rPr>
        <w:t>28</w:t>
      </w:r>
      <w:r w:rsidRPr="003B5EA2">
        <w:rPr>
          <w:rFonts w:eastAsia="Times New Roman" w:cs="Times New Roman"/>
          <w:color w:val="000000"/>
          <w:szCs w:val="24"/>
        </w:rPr>
        <w:t xml:space="preserve">. </w:t>
      </w:r>
      <w:r w:rsidR="003F2804">
        <w:rPr>
          <w:rFonts w:eastAsia="Times New Roman" w:cs="Times New Roman"/>
          <w:color w:val="000000"/>
          <w:szCs w:val="24"/>
        </w:rPr>
        <w:t>lub Reprezentant prosumentów, o których mowa w pkt II.1.</w:t>
      </w:r>
      <w:r w:rsidR="009939AB">
        <w:rPr>
          <w:rFonts w:eastAsia="Times New Roman" w:cs="Times New Roman"/>
          <w:color w:val="000000"/>
          <w:szCs w:val="24"/>
        </w:rPr>
        <w:t>40</w:t>
      </w:r>
      <w:r w:rsidR="003F2804">
        <w:rPr>
          <w:rFonts w:eastAsia="Times New Roman" w:cs="Times New Roman"/>
          <w:color w:val="000000"/>
          <w:szCs w:val="24"/>
        </w:rPr>
        <w:t>. i II.1.</w:t>
      </w:r>
      <w:r w:rsidR="009939AB">
        <w:rPr>
          <w:rFonts w:eastAsia="Times New Roman" w:cs="Times New Roman"/>
          <w:color w:val="000000"/>
          <w:szCs w:val="24"/>
        </w:rPr>
        <w:t>41</w:t>
      </w:r>
      <w:r w:rsidR="003F2804">
        <w:rPr>
          <w:rFonts w:eastAsia="Times New Roman" w:cs="Times New Roman"/>
          <w:color w:val="000000"/>
          <w:szCs w:val="24"/>
        </w:rPr>
        <w:t>., i</w:t>
      </w:r>
      <w:r w:rsidRPr="003B5EA2">
        <w:rPr>
          <w:rFonts w:eastAsia="Times New Roman" w:cs="Times New Roman"/>
          <w:color w:val="000000"/>
          <w:szCs w:val="24"/>
        </w:rPr>
        <w:t>nformuje OSDn o:</w:t>
      </w:r>
    </w:p>
    <w:p w14:paraId="07ACA024" w14:textId="34DCF890" w:rsidR="00224571" w:rsidRPr="003B5EA2" w:rsidRDefault="0023790E">
      <w:pPr>
        <w:numPr>
          <w:ilvl w:val="0"/>
          <w:numId w:val="243"/>
        </w:numPr>
        <w:spacing w:line="253" w:lineRule="auto"/>
        <w:ind w:left="993" w:hanging="284"/>
        <w:jc w:val="both"/>
        <w:rPr>
          <w:rFonts w:eastAsia="Times New Roman" w:cs="Times New Roman"/>
          <w:color w:val="000000"/>
          <w:szCs w:val="24"/>
        </w:rPr>
      </w:pPr>
      <w:r>
        <w:rPr>
          <w:rFonts w:eastAsia="Times New Roman" w:cs="Times New Roman"/>
          <w:color w:val="000000"/>
          <w:szCs w:val="24"/>
        </w:rPr>
        <w:t>z</w:t>
      </w:r>
      <w:r w:rsidR="00224571" w:rsidRPr="003B5EA2">
        <w:rPr>
          <w:rFonts w:eastAsia="Times New Roman" w:cs="Times New Roman"/>
          <w:color w:val="000000"/>
          <w:szCs w:val="24"/>
        </w:rPr>
        <w:t>mianie rodzaju odnawialnego źródła energii użytego w mikroinstalacji</w:t>
      </w:r>
      <w:r>
        <w:rPr>
          <w:rFonts w:eastAsia="Times New Roman" w:cs="Times New Roman"/>
          <w:color w:val="000000"/>
          <w:szCs w:val="24"/>
        </w:rPr>
        <w:t xml:space="preserve">, małej instalacji lub magazynu energii elektrycznej </w:t>
      </w:r>
      <w:r w:rsidR="00224571" w:rsidRPr="003B5EA2">
        <w:rPr>
          <w:rFonts w:eastAsia="Times New Roman" w:cs="Times New Roman"/>
          <w:color w:val="000000"/>
          <w:szCs w:val="24"/>
        </w:rPr>
        <w:t xml:space="preserve">lub </w:t>
      </w:r>
      <w:r>
        <w:rPr>
          <w:rFonts w:eastAsia="Times New Roman" w:cs="Times New Roman"/>
          <w:color w:val="000000"/>
          <w:szCs w:val="24"/>
        </w:rPr>
        <w:t>ich łącznej</w:t>
      </w:r>
      <w:r w:rsidR="00224571" w:rsidRPr="003B5EA2">
        <w:rPr>
          <w:rFonts w:eastAsia="Times New Roman" w:cs="Times New Roman"/>
          <w:color w:val="000000"/>
          <w:szCs w:val="24"/>
        </w:rPr>
        <w:t xml:space="preserve"> mocy zainstalowanej elektrycznej – w terminie 14 dni od dnia zmiany;</w:t>
      </w:r>
    </w:p>
    <w:p w14:paraId="04884B4A" w14:textId="3C2F5BCC" w:rsidR="00F1414C" w:rsidRDefault="00224571">
      <w:pPr>
        <w:numPr>
          <w:ilvl w:val="0"/>
          <w:numId w:val="243"/>
        </w:numPr>
        <w:spacing w:line="234" w:lineRule="auto"/>
        <w:ind w:left="993" w:right="20" w:hanging="284"/>
        <w:jc w:val="both"/>
        <w:rPr>
          <w:rFonts w:eastAsia="Times New Roman"/>
        </w:rPr>
      </w:pPr>
      <w:r w:rsidRPr="003B5EA2">
        <w:rPr>
          <w:rFonts w:eastAsia="Times New Roman" w:cs="Times New Roman"/>
          <w:color w:val="000000"/>
          <w:szCs w:val="24"/>
        </w:rPr>
        <w:t xml:space="preserve">trwającym </w:t>
      </w:r>
      <w:r w:rsidR="009936D8">
        <w:rPr>
          <w:rFonts w:eastAsia="Times New Roman" w:cs="Times New Roman"/>
          <w:color w:val="000000"/>
          <w:szCs w:val="24"/>
        </w:rPr>
        <w:t xml:space="preserve">dłużej niż </w:t>
      </w:r>
      <w:r w:rsidRPr="003B5EA2">
        <w:rPr>
          <w:rFonts w:eastAsia="Times New Roman" w:cs="Times New Roman"/>
          <w:color w:val="000000"/>
          <w:szCs w:val="24"/>
        </w:rPr>
        <w:t xml:space="preserve">30 dni </w:t>
      </w:r>
      <w:r w:rsidR="00F35A4E">
        <w:rPr>
          <w:rFonts w:eastAsia="Times New Roman" w:cs="Times New Roman"/>
          <w:color w:val="000000"/>
          <w:szCs w:val="24"/>
        </w:rPr>
        <w:t xml:space="preserve">zawieszeniu </w:t>
      </w:r>
      <w:r w:rsidRPr="003B5EA2">
        <w:rPr>
          <w:rFonts w:eastAsia="Times New Roman" w:cs="Times New Roman"/>
          <w:color w:val="000000"/>
          <w:szCs w:val="24"/>
        </w:rPr>
        <w:t>lub zakończeniu wytwarzania energii elektrycznej z odnawialnych źródeł energii w mikroinstalacji</w:t>
      </w:r>
      <w:r w:rsidR="00B65FE6">
        <w:rPr>
          <w:rFonts w:eastAsia="Times New Roman" w:cs="Times New Roman"/>
          <w:color w:val="000000"/>
          <w:szCs w:val="24"/>
        </w:rPr>
        <w:t xml:space="preserve"> lub małej instalacji </w:t>
      </w:r>
      <w:r w:rsidRPr="003B5EA2">
        <w:rPr>
          <w:rFonts w:eastAsia="Times New Roman" w:cs="Times New Roman"/>
          <w:color w:val="000000"/>
          <w:szCs w:val="24"/>
        </w:rPr>
        <w:t xml:space="preserve">– </w:t>
      </w:r>
      <w:r w:rsidR="00B65FE6">
        <w:rPr>
          <w:rFonts w:eastAsia="Times New Roman" w:cs="Times New Roman"/>
          <w:color w:val="000000"/>
          <w:szCs w:val="24"/>
        </w:rPr>
        <w:br/>
      </w:r>
      <w:r w:rsidRPr="003B5EA2">
        <w:rPr>
          <w:rFonts w:eastAsia="Times New Roman" w:cs="Times New Roman"/>
          <w:color w:val="000000"/>
          <w:szCs w:val="24"/>
        </w:rPr>
        <w:t xml:space="preserve">w terminie </w:t>
      </w:r>
      <w:r w:rsidR="00B65FE6">
        <w:rPr>
          <w:rFonts w:eastAsia="Times New Roman" w:cs="Times New Roman"/>
          <w:color w:val="000000"/>
          <w:szCs w:val="24"/>
        </w:rPr>
        <w:t>14</w:t>
      </w:r>
      <w:r w:rsidRPr="003B5EA2">
        <w:rPr>
          <w:rFonts w:eastAsia="Times New Roman" w:cs="Times New Roman"/>
          <w:color w:val="000000"/>
          <w:szCs w:val="24"/>
        </w:rPr>
        <w:t xml:space="preserve"> dni od dnia zawieszenia lub zakończenia wytwarzania energii elektrycznej z odnawialnych źródeł energii w mikroinstalacji</w:t>
      </w:r>
      <w:r w:rsidR="00B65FE6">
        <w:rPr>
          <w:rFonts w:eastAsia="Times New Roman" w:cs="Times New Roman"/>
          <w:color w:val="000000"/>
          <w:szCs w:val="24"/>
        </w:rPr>
        <w:t xml:space="preserve"> lub małej instalacji</w:t>
      </w:r>
      <w:r w:rsidRPr="003B5EA2">
        <w:rPr>
          <w:rFonts w:eastAsia="Times New Roman" w:cs="Times New Roman"/>
          <w:color w:val="000000"/>
          <w:szCs w:val="24"/>
        </w:rPr>
        <w:t>.</w:t>
      </w:r>
    </w:p>
    <w:p w14:paraId="7BBD10EC" w14:textId="21BC9DAB" w:rsidR="00224571" w:rsidRPr="00CB20E6" w:rsidRDefault="00CB20E6">
      <w:pPr>
        <w:numPr>
          <w:ilvl w:val="0"/>
          <w:numId w:val="240"/>
        </w:numPr>
        <w:spacing w:line="234" w:lineRule="auto"/>
        <w:ind w:left="709" w:right="20" w:hanging="709"/>
        <w:jc w:val="both"/>
        <w:rPr>
          <w:rFonts w:eastAsia="Times New Roman"/>
        </w:rPr>
      </w:pPr>
      <w:r>
        <w:rPr>
          <w:rFonts w:eastAsia="Times New Roman"/>
        </w:rPr>
        <w:t xml:space="preserve">Zapisów </w:t>
      </w:r>
      <w:r w:rsidRPr="003B5EA2">
        <w:rPr>
          <w:rFonts w:eastAsia="Times New Roman" w:cs="Times New Roman"/>
          <w:color w:val="000000"/>
          <w:szCs w:val="24"/>
        </w:rPr>
        <w:t>ppkt. II.1.2</w:t>
      </w:r>
      <w:r>
        <w:rPr>
          <w:rFonts w:eastAsia="Times New Roman" w:cs="Times New Roman"/>
          <w:color w:val="000000"/>
          <w:szCs w:val="24"/>
        </w:rPr>
        <w:t>8</w:t>
      </w:r>
      <w:r w:rsidRPr="003B5EA2">
        <w:rPr>
          <w:rFonts w:eastAsia="Times New Roman" w:cs="Times New Roman"/>
          <w:color w:val="000000"/>
          <w:szCs w:val="24"/>
        </w:rPr>
        <w:t>. i II.1.2</w:t>
      </w:r>
      <w:r>
        <w:rPr>
          <w:rFonts w:eastAsia="Times New Roman" w:cs="Times New Roman"/>
          <w:color w:val="000000"/>
          <w:szCs w:val="24"/>
        </w:rPr>
        <w:t>9</w:t>
      </w:r>
      <w:r w:rsidRPr="003B5EA2">
        <w:rPr>
          <w:rFonts w:eastAsia="Times New Roman" w:cs="Times New Roman"/>
          <w:color w:val="000000"/>
          <w:szCs w:val="24"/>
        </w:rPr>
        <w:t>. nie stosuje się do wytwórców energii elekt</w:t>
      </w:r>
      <w:r>
        <w:rPr>
          <w:rFonts w:eastAsia="Times New Roman" w:cs="Times New Roman"/>
          <w:color w:val="000000"/>
          <w:szCs w:val="24"/>
        </w:rPr>
        <w:t>r</w:t>
      </w:r>
      <w:r w:rsidRPr="003B5EA2">
        <w:rPr>
          <w:rFonts w:eastAsia="Times New Roman" w:cs="Times New Roman"/>
          <w:color w:val="000000"/>
          <w:szCs w:val="24"/>
        </w:rPr>
        <w:t xml:space="preserve">ycznej wytworzonej z biogazu rolniczego niebędących </w:t>
      </w:r>
      <w:r w:rsidR="00A033CA">
        <w:rPr>
          <w:rFonts w:eastAsia="Times New Roman" w:cs="Times New Roman"/>
          <w:color w:val="000000"/>
          <w:szCs w:val="24"/>
        </w:rPr>
        <w:t>P</w:t>
      </w:r>
      <w:r w:rsidRPr="003B5EA2">
        <w:rPr>
          <w:rFonts w:eastAsia="Times New Roman" w:cs="Times New Roman"/>
          <w:color w:val="000000"/>
          <w:szCs w:val="24"/>
        </w:rPr>
        <w:t>rosumentami</w:t>
      </w:r>
      <w:r w:rsidR="00A033CA">
        <w:rPr>
          <w:rFonts w:eastAsia="Times New Roman" w:cs="Times New Roman"/>
          <w:color w:val="000000"/>
          <w:szCs w:val="24"/>
        </w:rPr>
        <w:t xml:space="preserve">, Prosumentami zbiorowymi lub Prosumentami wirtualnymi. </w:t>
      </w:r>
    </w:p>
    <w:p w14:paraId="1F3F3309" w14:textId="18B81953" w:rsidR="00CB20E6" w:rsidRDefault="00CB20E6">
      <w:pPr>
        <w:numPr>
          <w:ilvl w:val="0"/>
          <w:numId w:val="240"/>
        </w:numPr>
        <w:spacing w:line="234" w:lineRule="auto"/>
        <w:ind w:left="709" w:right="20" w:hanging="709"/>
        <w:jc w:val="both"/>
        <w:rPr>
          <w:rFonts w:eastAsia="Times New Roman"/>
        </w:rPr>
      </w:pPr>
      <w:r>
        <w:rPr>
          <w:rFonts w:eastAsia="Times New Roman"/>
        </w:rPr>
        <w:t xml:space="preserve">Wytwórca </w:t>
      </w:r>
      <w:r w:rsidRPr="003B5EA2">
        <w:rPr>
          <w:rFonts w:eastAsia="Times New Roman"/>
        </w:rPr>
        <w:t xml:space="preserve">energii elektrycznej z biogazu rolniczego w mikroinstalacji będący osobą fizyczną wpisaną do ewidencji prosumentów, o której mowa w przepisach </w:t>
      </w:r>
      <w:r w:rsidRPr="003B5EA2">
        <w:rPr>
          <w:rFonts w:eastAsia="Times New Roman"/>
        </w:rPr>
        <w:br/>
        <w:t xml:space="preserve">o krajowym systemie ewidencji producentów, ewidencji gospodarstw rolnych oraz ewidencji wniosków o przyznanie płatności lub wytwórca będący przedsiębiorcą </w:t>
      </w:r>
      <w:r w:rsidRPr="003B5EA2">
        <w:rPr>
          <w:rFonts w:eastAsia="Times New Roman"/>
        </w:rPr>
        <w:br/>
        <w:t>w rozumieniu ustawy Prawo przedsiębiorców wykonujący działalność, o której mowa powyżej, nie później niż na 30 dni przed dniem planowanym przyłączenia mikroinstalacji do sieci dystrybucyjnej OSDn, pisemnie informuje OSDn o planowanym terminie jej przyłączenia, planowanej lokalizacji oraz rodzaju i mocy zainstalowanej elektrycznej mikroinstalacji.</w:t>
      </w:r>
    </w:p>
    <w:p w14:paraId="56959924" w14:textId="77777777" w:rsidR="00394540" w:rsidRPr="003B5EA2" w:rsidRDefault="00394540">
      <w:pPr>
        <w:numPr>
          <w:ilvl w:val="0"/>
          <w:numId w:val="240"/>
        </w:numPr>
        <w:spacing w:line="253" w:lineRule="auto"/>
        <w:ind w:right="285"/>
        <w:jc w:val="both"/>
        <w:rPr>
          <w:rFonts w:eastAsia="Times New Roman" w:cs="Times New Roman"/>
          <w:color w:val="000000"/>
          <w:szCs w:val="24"/>
        </w:rPr>
      </w:pPr>
      <w:r w:rsidRPr="003B5EA2">
        <w:rPr>
          <w:rFonts w:eastAsia="Times New Roman" w:cs="Times New Roman"/>
          <w:color w:val="000000"/>
          <w:szCs w:val="24"/>
        </w:rPr>
        <w:t>Wytwórca, o którym mowa w pkt. II.1.</w:t>
      </w:r>
      <w:r>
        <w:rPr>
          <w:rFonts w:eastAsia="Times New Roman" w:cs="Times New Roman"/>
          <w:color w:val="000000"/>
          <w:szCs w:val="24"/>
        </w:rPr>
        <w:t>31</w:t>
      </w:r>
      <w:r w:rsidRPr="003B5EA2">
        <w:rPr>
          <w:rFonts w:eastAsia="Times New Roman" w:cs="Times New Roman"/>
          <w:color w:val="000000"/>
          <w:szCs w:val="24"/>
        </w:rPr>
        <w:t>. jest obowiązany informować OSDn o:</w:t>
      </w:r>
    </w:p>
    <w:p w14:paraId="4420CEBF" w14:textId="77777777" w:rsidR="00394540" w:rsidRPr="003B5EA2" w:rsidRDefault="00394540">
      <w:pPr>
        <w:numPr>
          <w:ilvl w:val="0"/>
          <w:numId w:val="244"/>
        </w:numPr>
        <w:spacing w:line="253" w:lineRule="auto"/>
        <w:ind w:left="993" w:right="50" w:hanging="284"/>
        <w:jc w:val="both"/>
        <w:rPr>
          <w:rFonts w:eastAsia="Times New Roman" w:cs="Times New Roman"/>
          <w:color w:val="000000"/>
          <w:szCs w:val="24"/>
        </w:rPr>
      </w:pPr>
      <w:r w:rsidRPr="003B5EA2">
        <w:rPr>
          <w:rFonts w:eastAsia="Times New Roman" w:cs="Times New Roman"/>
          <w:color w:val="000000"/>
          <w:szCs w:val="24"/>
        </w:rPr>
        <w:t>zmianie mocy zainstalowanej elektrycznej mikroinstalacji – w terminie 14 dni od dnia zmiany;</w:t>
      </w:r>
    </w:p>
    <w:p w14:paraId="39A858F8" w14:textId="77777777" w:rsidR="00394540" w:rsidRPr="003B5EA2" w:rsidRDefault="00394540">
      <w:pPr>
        <w:numPr>
          <w:ilvl w:val="0"/>
          <w:numId w:val="244"/>
        </w:numPr>
        <w:spacing w:line="253" w:lineRule="auto"/>
        <w:ind w:left="993" w:hanging="284"/>
        <w:jc w:val="both"/>
        <w:rPr>
          <w:rFonts w:eastAsia="Times New Roman" w:cs="Times New Roman"/>
          <w:color w:val="000000"/>
          <w:szCs w:val="24"/>
        </w:rPr>
      </w:pPr>
      <w:r w:rsidRPr="003B5EA2">
        <w:rPr>
          <w:rFonts w:eastAsia="Times New Roman" w:cs="Times New Roman"/>
          <w:color w:val="000000"/>
          <w:szCs w:val="24"/>
        </w:rPr>
        <w:t>zawieszeniu trwającym od 30 dni do 24 miesięcy lub zakończeniu wytwarzania energii elektrycznej z mikroinstalacji – w terminie 45 dni od dnia zawieszania lub zakończenia wytwarzania energii elektrycznej;</w:t>
      </w:r>
    </w:p>
    <w:p w14:paraId="0A69E4EF" w14:textId="48361548" w:rsidR="007576F9" w:rsidRPr="00745341" w:rsidRDefault="00394540">
      <w:pPr>
        <w:numPr>
          <w:ilvl w:val="0"/>
          <w:numId w:val="244"/>
        </w:numPr>
        <w:spacing w:line="234" w:lineRule="auto"/>
        <w:ind w:left="993" w:right="20" w:hanging="284"/>
        <w:jc w:val="both"/>
        <w:rPr>
          <w:rFonts w:eastAsia="Times New Roman"/>
        </w:rPr>
      </w:pPr>
      <w:r w:rsidRPr="003B5EA2">
        <w:rPr>
          <w:rFonts w:eastAsia="Times New Roman" w:cs="Times New Roman"/>
          <w:color w:val="000000"/>
          <w:szCs w:val="24"/>
        </w:rPr>
        <w:t xml:space="preserve">terminie wytworzenia po raz pierwszy energii elektrycznej w mikroinstalacji – </w:t>
      </w:r>
      <w:r w:rsidRPr="003B5EA2">
        <w:rPr>
          <w:rFonts w:eastAsia="Times New Roman" w:cs="Times New Roman"/>
          <w:color w:val="000000"/>
          <w:szCs w:val="24"/>
        </w:rPr>
        <w:br/>
        <w:t>w terminie 14 dni od dnia jej wytworzenia.</w:t>
      </w:r>
    </w:p>
    <w:p w14:paraId="3F436433" w14:textId="4511A965" w:rsidR="00745341" w:rsidRPr="00745341" w:rsidRDefault="00745341">
      <w:pPr>
        <w:pStyle w:val="Akapitzlist"/>
        <w:numPr>
          <w:ilvl w:val="0"/>
          <w:numId w:val="272"/>
        </w:numPr>
        <w:tabs>
          <w:tab w:val="left" w:pos="2127"/>
        </w:tabs>
        <w:spacing w:before="120"/>
        <w:ind w:right="-142" w:hanging="720"/>
        <w:jc w:val="both"/>
        <w:rPr>
          <w:rFonts w:cs="Times New Roman"/>
          <w:szCs w:val="24"/>
        </w:rPr>
      </w:pPr>
      <w:r w:rsidRPr="00745341">
        <w:rPr>
          <w:rFonts w:cs="Times New Roman"/>
          <w:szCs w:val="24"/>
        </w:rPr>
        <w:t>OSP prowadzi Centralny rejestr jednostek wytwórczych i farm wiatrowych przyłączonych do KSE o mocy osiągalnej równej 5 MW i wyższej (dalej „Centralny rejestr jednostek wytwórczych”), zgodnie z zapisami IRiESP.</w:t>
      </w:r>
    </w:p>
    <w:p w14:paraId="1767C0C3" w14:textId="35E26B6D" w:rsidR="00745341" w:rsidRPr="00745341" w:rsidRDefault="00745341">
      <w:pPr>
        <w:pStyle w:val="Akapitzlist"/>
        <w:numPr>
          <w:ilvl w:val="0"/>
          <w:numId w:val="272"/>
        </w:numPr>
        <w:tabs>
          <w:tab w:val="left" w:pos="2127"/>
        </w:tabs>
        <w:spacing w:before="120"/>
        <w:ind w:left="709" w:right="-142" w:hanging="709"/>
        <w:jc w:val="both"/>
        <w:rPr>
          <w:rFonts w:cs="Times New Roman"/>
          <w:szCs w:val="24"/>
        </w:rPr>
      </w:pPr>
      <w:r w:rsidRPr="00745341">
        <w:rPr>
          <w:rFonts w:cs="Times New Roman"/>
          <w:szCs w:val="24"/>
        </w:rPr>
        <w:t xml:space="preserve">Wytwórcy posiadający jednostki wytwórcze lub farmy wiatrowe o mocy osiągalnej poniżej 50 MW dokonują zgłoszeń nowych jednostek wytwórczych oraz zmian </w:t>
      </w:r>
      <w:r w:rsidRPr="00745341">
        <w:rPr>
          <w:rFonts w:cs="Times New Roman"/>
          <w:szCs w:val="24"/>
        </w:rPr>
        <w:br/>
        <w:t>w zakresie zarejestrowanych danych do OSP za pośrednictwem OSDn.</w:t>
      </w:r>
    </w:p>
    <w:p w14:paraId="025AB037" w14:textId="6F8DC632" w:rsidR="00745341" w:rsidRPr="00745341" w:rsidRDefault="00745341">
      <w:pPr>
        <w:pStyle w:val="Akapitzlist"/>
        <w:numPr>
          <w:ilvl w:val="0"/>
          <w:numId w:val="272"/>
        </w:numPr>
        <w:tabs>
          <w:tab w:val="left" w:pos="2127"/>
        </w:tabs>
        <w:spacing w:before="120"/>
        <w:ind w:left="709" w:right="-142" w:hanging="709"/>
        <w:jc w:val="both"/>
        <w:rPr>
          <w:rFonts w:cs="Times New Roman"/>
          <w:szCs w:val="24"/>
        </w:rPr>
      </w:pPr>
      <w:r w:rsidRPr="00745341">
        <w:rPr>
          <w:rFonts w:cs="Times New Roman"/>
          <w:szCs w:val="24"/>
        </w:rPr>
        <w:t xml:space="preserve">Wytwórcy posiadający JWCD, JWCK lub farmy wiatrowe o mocy osiągalnej równej </w:t>
      </w:r>
      <w:r>
        <w:rPr>
          <w:rFonts w:cs="Times New Roman"/>
          <w:szCs w:val="24"/>
        </w:rPr>
        <w:br/>
      </w:r>
      <w:r w:rsidRPr="00745341">
        <w:rPr>
          <w:rFonts w:cs="Times New Roman"/>
          <w:szCs w:val="24"/>
        </w:rPr>
        <w:t>50 MW lub wyższej, zobowiązani są dokonać zgłoszenia nowych jednostek wytwórczych oraz zmian w zakresie zarejestrowanych danych bezpośrednio do OSP, zgodnie z zapisami IRiESP. Kopie zgłoszeń przesyłane są do OSDn.</w:t>
      </w:r>
    </w:p>
    <w:p w14:paraId="6C26EA5F" w14:textId="67F2FAD6" w:rsidR="00745341" w:rsidRDefault="00745341">
      <w:pPr>
        <w:pStyle w:val="Akapitzlist"/>
        <w:numPr>
          <w:ilvl w:val="0"/>
          <w:numId w:val="272"/>
        </w:numPr>
        <w:tabs>
          <w:tab w:val="left" w:pos="2127"/>
        </w:tabs>
        <w:spacing w:before="120"/>
        <w:ind w:left="709" w:right="-142" w:hanging="709"/>
        <w:jc w:val="both"/>
        <w:rPr>
          <w:rFonts w:cs="Times New Roman"/>
          <w:sz w:val="22"/>
          <w:szCs w:val="22"/>
        </w:rPr>
      </w:pPr>
      <w:r w:rsidRPr="00745341">
        <w:rPr>
          <w:rFonts w:cs="Times New Roman"/>
          <w:szCs w:val="24"/>
        </w:rPr>
        <w:t>W przypadku wytwórców posiadających JWCD, JWCK lub farmy wiatrowe o mocy osiągalnej równej 50 MW lub wyższej, przyłączone do sieci dystrybucyjnej OSDn, obowiązkiem wytwórcy jest informowanie OSDn o zgłoszeniu do zarejestrowania mocy osiągalnej i zainstalowanej lub o zgłoszeniu zmiany danych w Centralnym rejestrze jednostek wytwórczych. Informowanie</w:t>
      </w:r>
      <w:r w:rsidRPr="00745341">
        <w:rPr>
          <w:rFonts w:cs="Times New Roman"/>
          <w:sz w:val="22"/>
          <w:szCs w:val="22"/>
        </w:rPr>
        <w:t xml:space="preserve"> OSDn odbywa się poprzez przesłanie do OSDn kopii zgłoszenia.</w:t>
      </w:r>
    </w:p>
    <w:p w14:paraId="3ABDC25C" w14:textId="43C36FCB" w:rsidR="00F70F67" w:rsidRPr="008054E1" w:rsidRDefault="005022A2">
      <w:pPr>
        <w:pStyle w:val="Akapitzlist"/>
        <w:numPr>
          <w:ilvl w:val="0"/>
          <w:numId w:val="272"/>
        </w:numPr>
        <w:tabs>
          <w:tab w:val="left" w:pos="2127"/>
        </w:tabs>
        <w:spacing w:before="120"/>
        <w:ind w:left="709" w:right="60" w:hanging="709"/>
        <w:jc w:val="both"/>
        <w:rPr>
          <w:rFonts w:cs="Times New Roman"/>
          <w:color w:val="000000" w:themeColor="text1"/>
          <w:szCs w:val="24"/>
        </w:rPr>
      </w:pPr>
      <w:r w:rsidRPr="005022A2">
        <w:rPr>
          <w:rFonts w:cs="Times New Roman"/>
          <w:color w:val="000000" w:themeColor="text1"/>
          <w:w w:val="105"/>
          <w:szCs w:val="24"/>
        </w:rPr>
        <w:lastRenderedPageBreak/>
        <w:t xml:space="preserve">Prosument zbiorowy lub Prosument wirtualny może przypisać do jednego PPE, </w:t>
      </w:r>
      <w:r w:rsidR="008054E1">
        <w:rPr>
          <w:rFonts w:cs="Times New Roman"/>
          <w:color w:val="000000" w:themeColor="text1"/>
          <w:w w:val="105"/>
          <w:szCs w:val="24"/>
        </w:rPr>
        <w:br/>
      </w:r>
      <w:r w:rsidRPr="005022A2">
        <w:rPr>
          <w:rFonts w:cs="Times New Roman"/>
          <w:color w:val="000000" w:themeColor="text1"/>
          <w:w w:val="105"/>
          <w:szCs w:val="24"/>
        </w:rPr>
        <w:t>w którym pobiera energię elektryczną, moc zainstalowaną elektryczną instalacji odnawialnych źródeł energii, która nie przekracza mocy umownej ustalonej dla tego punktu poboru energ</w:t>
      </w:r>
      <w:r w:rsidR="00FC5AE5">
        <w:rPr>
          <w:rFonts w:cs="Times New Roman"/>
          <w:color w:val="000000" w:themeColor="text1"/>
          <w:w w:val="105"/>
          <w:szCs w:val="24"/>
        </w:rPr>
        <w:t>i</w:t>
      </w:r>
      <w:r w:rsidR="0030794D">
        <w:rPr>
          <w:rFonts w:cs="Times New Roman"/>
          <w:color w:val="000000" w:themeColor="text1"/>
          <w:w w:val="105"/>
          <w:szCs w:val="24"/>
        </w:rPr>
        <w:t>i</w:t>
      </w:r>
      <w:r w:rsidRPr="005022A2">
        <w:rPr>
          <w:rFonts w:cs="Times New Roman"/>
          <w:color w:val="000000" w:themeColor="text1"/>
          <w:w w:val="105"/>
          <w:szCs w:val="24"/>
        </w:rPr>
        <w:t xml:space="preserve">, nie </w:t>
      </w:r>
      <w:r w:rsidRPr="008054E1">
        <w:rPr>
          <w:rFonts w:cs="Times New Roman"/>
          <w:color w:val="000000" w:themeColor="text1"/>
          <w:w w:val="105"/>
          <w:szCs w:val="24"/>
        </w:rPr>
        <w:t>większą niż 50 kW.</w:t>
      </w:r>
    </w:p>
    <w:p w14:paraId="33FB59F3" w14:textId="2E02FE35" w:rsidR="005022A2" w:rsidRPr="008054E1" w:rsidRDefault="005022A2">
      <w:pPr>
        <w:pStyle w:val="Akapitzlist"/>
        <w:widowControl w:val="0"/>
        <w:numPr>
          <w:ilvl w:val="0"/>
          <w:numId w:val="272"/>
        </w:numPr>
        <w:autoSpaceDE w:val="0"/>
        <w:autoSpaceDN w:val="0"/>
        <w:spacing w:line="249" w:lineRule="auto"/>
        <w:ind w:right="60" w:hanging="720"/>
        <w:jc w:val="both"/>
        <w:rPr>
          <w:rFonts w:cs="Times New Roman"/>
          <w:color w:val="000000" w:themeColor="text1"/>
          <w:szCs w:val="24"/>
        </w:rPr>
      </w:pPr>
      <w:r w:rsidRPr="008054E1">
        <w:rPr>
          <w:rFonts w:cs="Times New Roman"/>
          <w:color w:val="000000" w:themeColor="text1"/>
          <w:w w:val="105"/>
          <w:szCs w:val="24"/>
        </w:rPr>
        <w:t>Moc zainstalowaną elektryczną, o której mowa w pkt 11.1.3</w:t>
      </w:r>
      <w:r w:rsidR="00A72156">
        <w:rPr>
          <w:rFonts w:cs="Times New Roman"/>
          <w:color w:val="000000" w:themeColor="text1"/>
          <w:w w:val="105"/>
          <w:szCs w:val="24"/>
        </w:rPr>
        <w:t>8</w:t>
      </w:r>
      <w:r w:rsidRPr="008054E1">
        <w:rPr>
          <w:rFonts w:cs="Times New Roman"/>
          <w:color w:val="000000" w:themeColor="text1"/>
          <w:w w:val="105"/>
          <w:szCs w:val="24"/>
        </w:rPr>
        <w:t>., ustala się na podstawie:</w:t>
      </w:r>
    </w:p>
    <w:p w14:paraId="4CB69CF0" w14:textId="1F8AF5DA" w:rsidR="005022A2" w:rsidRPr="008054E1" w:rsidRDefault="005022A2">
      <w:pPr>
        <w:pStyle w:val="Akapitzlist"/>
        <w:widowControl w:val="0"/>
        <w:numPr>
          <w:ilvl w:val="3"/>
          <w:numId w:val="272"/>
        </w:numPr>
        <w:tabs>
          <w:tab w:val="left" w:pos="1092"/>
          <w:tab w:val="left" w:pos="1847"/>
          <w:tab w:val="left" w:pos="3486"/>
          <w:tab w:val="left" w:pos="4880"/>
          <w:tab w:val="left" w:pos="5959"/>
          <w:tab w:val="left" w:pos="7514"/>
          <w:tab w:val="left" w:pos="8365"/>
        </w:tabs>
        <w:autoSpaceDE w:val="0"/>
        <w:autoSpaceDN w:val="0"/>
        <w:spacing w:before="2" w:line="254" w:lineRule="auto"/>
        <w:ind w:left="993" w:right="60" w:hanging="284"/>
        <w:jc w:val="both"/>
        <w:rPr>
          <w:rFonts w:cs="Times New Roman"/>
          <w:color w:val="000000" w:themeColor="text1"/>
          <w:szCs w:val="24"/>
        </w:rPr>
      </w:pPr>
      <w:r w:rsidRPr="008054E1">
        <w:rPr>
          <w:rFonts w:cs="Times New Roman"/>
          <w:color w:val="000000" w:themeColor="text1"/>
          <w:w w:val="105"/>
          <w:szCs w:val="24"/>
        </w:rPr>
        <w:t>mocy</w:t>
      </w:r>
      <w:r w:rsidRPr="008054E1">
        <w:rPr>
          <w:rFonts w:cs="Times New Roman"/>
          <w:color w:val="000000" w:themeColor="text1"/>
          <w:w w:val="105"/>
          <w:szCs w:val="24"/>
        </w:rPr>
        <w:tab/>
        <w:t>zainstalowanej</w:t>
      </w:r>
      <w:r w:rsidRPr="008054E1">
        <w:rPr>
          <w:rFonts w:cs="Times New Roman"/>
          <w:color w:val="000000" w:themeColor="text1"/>
          <w:w w:val="105"/>
          <w:szCs w:val="24"/>
        </w:rPr>
        <w:tab/>
        <w:t>elektrycznej</w:t>
      </w:r>
      <w:r w:rsidRPr="008054E1">
        <w:rPr>
          <w:rFonts w:cs="Times New Roman"/>
          <w:color w:val="000000" w:themeColor="text1"/>
          <w:w w:val="105"/>
          <w:szCs w:val="24"/>
        </w:rPr>
        <w:tab/>
        <w:t>instalacji</w:t>
      </w:r>
      <w:r w:rsidRPr="008054E1">
        <w:rPr>
          <w:rFonts w:cs="Times New Roman"/>
          <w:color w:val="000000" w:themeColor="text1"/>
          <w:w w:val="105"/>
          <w:szCs w:val="24"/>
        </w:rPr>
        <w:tab/>
        <w:t>odnawialnego</w:t>
      </w:r>
      <w:r w:rsidRPr="008054E1">
        <w:rPr>
          <w:rFonts w:cs="Times New Roman"/>
          <w:color w:val="000000" w:themeColor="text1"/>
          <w:w w:val="105"/>
          <w:szCs w:val="24"/>
        </w:rPr>
        <w:tab/>
        <w:t>źródła</w:t>
      </w:r>
      <w:r w:rsidRPr="008054E1">
        <w:rPr>
          <w:rFonts w:cs="Times New Roman"/>
          <w:color w:val="000000" w:themeColor="text1"/>
          <w:w w:val="105"/>
          <w:szCs w:val="24"/>
        </w:rPr>
        <w:tab/>
      </w:r>
      <w:r w:rsidRPr="008054E1">
        <w:rPr>
          <w:rFonts w:cs="Times New Roman"/>
          <w:color w:val="000000" w:themeColor="text1"/>
          <w:szCs w:val="24"/>
        </w:rPr>
        <w:t>energi</w:t>
      </w:r>
      <w:r w:rsidRPr="008054E1">
        <w:rPr>
          <w:rFonts w:cs="Times New Roman"/>
          <w:color w:val="000000" w:themeColor="text1"/>
          <w:spacing w:val="-13"/>
          <w:szCs w:val="24"/>
        </w:rPr>
        <w:t xml:space="preserve">i </w:t>
      </w:r>
      <w:r w:rsidRPr="008054E1">
        <w:rPr>
          <w:rFonts w:cs="Times New Roman"/>
          <w:color w:val="000000" w:themeColor="text1"/>
          <w:w w:val="105"/>
          <w:szCs w:val="24"/>
        </w:rPr>
        <w:t>wykorzystywanej przez Prosumenta zbiorowego lub Prosumenta</w:t>
      </w:r>
      <w:r w:rsidRPr="008054E1">
        <w:rPr>
          <w:rFonts w:cs="Times New Roman"/>
          <w:color w:val="000000" w:themeColor="text1"/>
          <w:spacing w:val="13"/>
          <w:w w:val="105"/>
          <w:szCs w:val="24"/>
        </w:rPr>
        <w:t xml:space="preserve"> </w:t>
      </w:r>
      <w:r w:rsidRPr="008054E1">
        <w:rPr>
          <w:rFonts w:cs="Times New Roman"/>
          <w:color w:val="000000" w:themeColor="text1"/>
          <w:w w:val="105"/>
          <w:szCs w:val="24"/>
        </w:rPr>
        <w:t>wirtualnego;</w:t>
      </w:r>
    </w:p>
    <w:p w14:paraId="14AF7EFA" w14:textId="77777777" w:rsidR="005022A2" w:rsidRPr="005022A2" w:rsidRDefault="005022A2">
      <w:pPr>
        <w:pStyle w:val="Akapitzlist"/>
        <w:widowControl w:val="0"/>
        <w:numPr>
          <w:ilvl w:val="3"/>
          <w:numId w:val="272"/>
        </w:numPr>
        <w:tabs>
          <w:tab w:val="left" w:pos="1093"/>
        </w:tabs>
        <w:autoSpaceDE w:val="0"/>
        <w:autoSpaceDN w:val="0"/>
        <w:spacing w:line="250" w:lineRule="exact"/>
        <w:ind w:left="993" w:right="60" w:hanging="284"/>
        <w:jc w:val="both"/>
        <w:rPr>
          <w:rFonts w:cs="Times New Roman"/>
          <w:color w:val="000000" w:themeColor="text1"/>
          <w:szCs w:val="24"/>
        </w:rPr>
      </w:pPr>
      <w:r w:rsidRPr="008054E1">
        <w:rPr>
          <w:rFonts w:cs="Times New Roman"/>
          <w:color w:val="000000" w:themeColor="text1"/>
          <w:w w:val="105"/>
          <w:szCs w:val="24"/>
        </w:rPr>
        <w:t>udziału w mocy zainstalowanej elektrycznej</w:t>
      </w:r>
      <w:r w:rsidRPr="005022A2">
        <w:rPr>
          <w:rFonts w:cs="Times New Roman"/>
          <w:color w:val="000000" w:themeColor="text1"/>
          <w:spacing w:val="40"/>
          <w:w w:val="105"/>
          <w:szCs w:val="24"/>
        </w:rPr>
        <w:t xml:space="preserve"> </w:t>
      </w:r>
      <w:r w:rsidRPr="005022A2">
        <w:rPr>
          <w:rFonts w:cs="Times New Roman"/>
          <w:color w:val="000000" w:themeColor="text1"/>
          <w:w w:val="105"/>
          <w:szCs w:val="24"/>
        </w:rPr>
        <w:t>przysługującej:</w:t>
      </w:r>
    </w:p>
    <w:p w14:paraId="2BA703DB" w14:textId="7108D1E1" w:rsidR="005022A2" w:rsidRPr="005022A2" w:rsidRDefault="005022A2">
      <w:pPr>
        <w:pStyle w:val="Akapitzlist"/>
        <w:widowControl w:val="0"/>
        <w:numPr>
          <w:ilvl w:val="4"/>
          <w:numId w:val="272"/>
        </w:numPr>
        <w:autoSpaceDE w:val="0"/>
        <w:autoSpaceDN w:val="0"/>
        <w:spacing w:before="7"/>
        <w:ind w:left="1276" w:right="60" w:hanging="283"/>
        <w:jc w:val="both"/>
        <w:rPr>
          <w:rFonts w:cs="Times New Roman"/>
          <w:color w:val="000000" w:themeColor="text1"/>
          <w:szCs w:val="24"/>
        </w:rPr>
      </w:pPr>
      <w:r w:rsidRPr="005022A2">
        <w:rPr>
          <w:rFonts w:cs="Times New Roman"/>
          <w:color w:val="000000" w:themeColor="text1"/>
          <w:w w:val="105"/>
          <w:szCs w:val="24"/>
        </w:rPr>
        <w:t>Prosumentowi zbiorowemu</w:t>
      </w:r>
      <w:r w:rsidRPr="005022A2">
        <w:rPr>
          <w:rFonts w:cs="Times New Roman"/>
          <w:color w:val="000000" w:themeColor="text1"/>
          <w:spacing w:val="3"/>
          <w:w w:val="105"/>
          <w:szCs w:val="24"/>
        </w:rPr>
        <w:t xml:space="preserve"> </w:t>
      </w:r>
      <w:r w:rsidRPr="005022A2">
        <w:rPr>
          <w:rFonts w:cs="Times New Roman"/>
          <w:color w:val="000000" w:themeColor="text1"/>
          <w:w w:val="105"/>
          <w:szCs w:val="24"/>
        </w:rPr>
        <w:t>lub</w:t>
      </w:r>
    </w:p>
    <w:p w14:paraId="3251F2A1" w14:textId="5CC1B0CB" w:rsidR="00A72156" w:rsidRPr="00A72156" w:rsidRDefault="005022A2">
      <w:pPr>
        <w:pStyle w:val="Akapitzlist"/>
        <w:widowControl w:val="0"/>
        <w:numPr>
          <w:ilvl w:val="4"/>
          <w:numId w:val="272"/>
        </w:numPr>
        <w:autoSpaceDE w:val="0"/>
        <w:autoSpaceDN w:val="0"/>
        <w:spacing w:before="16" w:line="252" w:lineRule="auto"/>
        <w:ind w:left="1276" w:right="649" w:hanging="283"/>
        <w:jc w:val="both"/>
        <w:rPr>
          <w:color w:val="000000" w:themeColor="text1"/>
          <w:w w:val="105"/>
          <w:szCs w:val="24"/>
        </w:rPr>
      </w:pPr>
      <w:r w:rsidRPr="00A72156">
        <w:rPr>
          <w:rFonts w:cs="Times New Roman"/>
          <w:color w:val="000000" w:themeColor="text1"/>
          <w:w w:val="105"/>
          <w:szCs w:val="24"/>
        </w:rPr>
        <w:t>Prosumentowi</w:t>
      </w:r>
      <w:r w:rsidRPr="00A72156">
        <w:rPr>
          <w:rFonts w:cs="Times New Roman"/>
          <w:color w:val="000000" w:themeColor="text1"/>
          <w:spacing w:val="34"/>
          <w:w w:val="105"/>
          <w:szCs w:val="24"/>
        </w:rPr>
        <w:t xml:space="preserve"> </w:t>
      </w:r>
      <w:r w:rsidRPr="00A72156">
        <w:rPr>
          <w:rFonts w:cs="Times New Roman"/>
          <w:color w:val="000000" w:themeColor="text1"/>
          <w:w w:val="105"/>
          <w:szCs w:val="24"/>
        </w:rPr>
        <w:t>wirtualnemu.</w:t>
      </w:r>
    </w:p>
    <w:p w14:paraId="5F6BD9B8" w14:textId="0F9A3993" w:rsidR="00A72156" w:rsidRPr="00A72156" w:rsidRDefault="00A72156">
      <w:pPr>
        <w:pStyle w:val="Akapitzlist"/>
        <w:widowControl w:val="0"/>
        <w:numPr>
          <w:ilvl w:val="0"/>
          <w:numId w:val="272"/>
        </w:numPr>
        <w:autoSpaceDE w:val="0"/>
        <w:autoSpaceDN w:val="0"/>
        <w:spacing w:line="252" w:lineRule="auto"/>
        <w:ind w:left="709" w:right="60" w:hanging="709"/>
        <w:jc w:val="both"/>
        <w:rPr>
          <w:color w:val="000000" w:themeColor="text1"/>
          <w:szCs w:val="24"/>
        </w:rPr>
      </w:pPr>
      <w:r w:rsidRPr="00A72156">
        <w:rPr>
          <w:color w:val="000000" w:themeColor="text1"/>
          <w:w w:val="105"/>
          <w:szCs w:val="24"/>
        </w:rPr>
        <w:t xml:space="preserve">Reprezentant prosumentów, działając w imieniu i na rzecz Prosumentów zbiorowych lub Prosumentów wirtualnych, informuje </w:t>
      </w:r>
      <w:r w:rsidR="003C0E12">
        <w:rPr>
          <w:color w:val="000000" w:themeColor="text1"/>
          <w:w w:val="105"/>
          <w:szCs w:val="24"/>
        </w:rPr>
        <w:t>OSDn</w:t>
      </w:r>
      <w:r w:rsidRPr="00A72156">
        <w:rPr>
          <w:color w:val="000000" w:themeColor="text1"/>
          <w:w w:val="105"/>
          <w:szCs w:val="24"/>
        </w:rPr>
        <w:t xml:space="preserve">, do sieci którego ma zostać przyłączona mikroinstalacja, o terminie jej przyłączenia, lokalizacji przyłączenia, rodzaju odnawialnego źródła energii lub magazynu energii elektrycznej użytego </w:t>
      </w:r>
      <w:r w:rsidR="003D16F1">
        <w:rPr>
          <w:color w:val="000000" w:themeColor="text1"/>
          <w:w w:val="105"/>
          <w:szCs w:val="24"/>
        </w:rPr>
        <w:br/>
      </w:r>
      <w:r w:rsidRPr="00A72156">
        <w:rPr>
          <w:color w:val="000000" w:themeColor="text1"/>
          <w:w w:val="105"/>
          <w:szCs w:val="24"/>
        </w:rPr>
        <w:t xml:space="preserve">w tej mikroinstalacji oraz jej mocy zainstalowanej elektrycznej, nie później  niż </w:t>
      </w:r>
      <w:r w:rsidR="003D16F1">
        <w:rPr>
          <w:color w:val="000000" w:themeColor="text1"/>
          <w:w w:val="105"/>
          <w:szCs w:val="24"/>
        </w:rPr>
        <w:br/>
      </w:r>
      <w:r w:rsidRPr="00A72156">
        <w:rPr>
          <w:color w:val="000000" w:themeColor="text1"/>
          <w:w w:val="105"/>
          <w:szCs w:val="24"/>
        </w:rPr>
        <w:t xml:space="preserve">w terminie 30 dni przed dniem planowanego przyłączenia mikroinstalacji do sieci </w:t>
      </w:r>
      <w:r w:rsidR="0010703B">
        <w:rPr>
          <w:color w:val="000000" w:themeColor="text1"/>
          <w:w w:val="105"/>
          <w:szCs w:val="24"/>
        </w:rPr>
        <w:t>OSDn</w:t>
      </w:r>
      <w:r w:rsidRPr="00A72156">
        <w:rPr>
          <w:color w:val="000000" w:themeColor="text1"/>
          <w:w w:val="105"/>
          <w:szCs w:val="24"/>
        </w:rPr>
        <w:t xml:space="preserve">, zgodnie z zasadami określonymi w pkt </w:t>
      </w:r>
      <w:r w:rsidR="00825EB2">
        <w:rPr>
          <w:color w:val="000000" w:themeColor="text1"/>
          <w:w w:val="105"/>
          <w:szCs w:val="24"/>
        </w:rPr>
        <w:t>II</w:t>
      </w:r>
      <w:r w:rsidRPr="00A72156">
        <w:rPr>
          <w:color w:val="000000" w:themeColor="text1"/>
          <w:w w:val="105"/>
          <w:szCs w:val="24"/>
        </w:rPr>
        <w:t>.1.</w:t>
      </w:r>
      <w:r w:rsidR="00DD4BE3">
        <w:rPr>
          <w:color w:val="000000" w:themeColor="text1"/>
          <w:w w:val="105"/>
          <w:szCs w:val="24"/>
        </w:rPr>
        <w:t>17</w:t>
      </w:r>
      <w:r w:rsidRPr="00A72156">
        <w:rPr>
          <w:color w:val="000000" w:themeColor="text1"/>
          <w:w w:val="105"/>
          <w:szCs w:val="24"/>
        </w:rPr>
        <w:t>. dotyczącymi zgłoszenia przyłączenia mi kroin stalacji. W przypadku mikroinstalacji wykorzystywanej przez Prosumenta wirtualnego, jej przyłączenie w trybie opisanym w zdaniu pierwszym może</w:t>
      </w:r>
      <w:r w:rsidRPr="00A72156">
        <w:rPr>
          <w:color w:val="000000" w:themeColor="text1"/>
          <w:spacing w:val="-23"/>
          <w:w w:val="105"/>
          <w:szCs w:val="24"/>
        </w:rPr>
        <w:t xml:space="preserve"> </w:t>
      </w:r>
      <w:r w:rsidRPr="00A72156">
        <w:rPr>
          <w:color w:val="000000" w:themeColor="text1"/>
          <w:w w:val="105"/>
          <w:szCs w:val="24"/>
        </w:rPr>
        <w:t>zostać</w:t>
      </w:r>
      <w:r w:rsidRPr="00A72156">
        <w:rPr>
          <w:color w:val="000000" w:themeColor="text1"/>
          <w:spacing w:val="-23"/>
          <w:w w:val="105"/>
          <w:szCs w:val="24"/>
        </w:rPr>
        <w:t xml:space="preserve"> </w:t>
      </w:r>
      <w:r w:rsidRPr="00A72156">
        <w:rPr>
          <w:color w:val="000000" w:themeColor="text1"/>
          <w:w w:val="105"/>
          <w:szCs w:val="24"/>
        </w:rPr>
        <w:t>zrealizowane</w:t>
      </w:r>
      <w:r w:rsidRPr="00A72156">
        <w:rPr>
          <w:color w:val="000000" w:themeColor="text1"/>
          <w:spacing w:val="-18"/>
          <w:w w:val="105"/>
          <w:szCs w:val="24"/>
        </w:rPr>
        <w:t xml:space="preserve"> </w:t>
      </w:r>
      <w:r w:rsidRPr="00A72156">
        <w:rPr>
          <w:color w:val="000000" w:themeColor="text1"/>
          <w:w w:val="105"/>
          <w:szCs w:val="24"/>
        </w:rPr>
        <w:t>jedynie,</w:t>
      </w:r>
      <w:r w:rsidRPr="00A72156">
        <w:rPr>
          <w:color w:val="000000" w:themeColor="text1"/>
          <w:spacing w:val="-17"/>
          <w:w w:val="105"/>
          <w:szCs w:val="24"/>
        </w:rPr>
        <w:t xml:space="preserve"> </w:t>
      </w:r>
      <w:r w:rsidRPr="00A72156">
        <w:rPr>
          <w:color w:val="000000" w:themeColor="text1"/>
          <w:w w:val="105"/>
          <w:szCs w:val="24"/>
        </w:rPr>
        <w:t>jeżeli</w:t>
      </w:r>
      <w:r w:rsidRPr="00A72156">
        <w:rPr>
          <w:color w:val="000000" w:themeColor="text1"/>
          <w:spacing w:val="-17"/>
          <w:w w:val="105"/>
          <w:szCs w:val="24"/>
        </w:rPr>
        <w:t xml:space="preserve"> </w:t>
      </w:r>
      <w:r w:rsidRPr="00A72156">
        <w:rPr>
          <w:color w:val="000000" w:themeColor="text1"/>
          <w:w w:val="105"/>
          <w:szCs w:val="24"/>
        </w:rPr>
        <w:t>w</w:t>
      </w:r>
      <w:r w:rsidRPr="00A72156">
        <w:rPr>
          <w:color w:val="000000" w:themeColor="text1"/>
          <w:spacing w:val="-25"/>
          <w:w w:val="105"/>
          <w:szCs w:val="24"/>
        </w:rPr>
        <w:t xml:space="preserve"> </w:t>
      </w:r>
      <w:r w:rsidRPr="00A72156">
        <w:rPr>
          <w:color w:val="000000" w:themeColor="text1"/>
          <w:w w:val="105"/>
          <w:szCs w:val="24"/>
        </w:rPr>
        <w:t>miejscu</w:t>
      </w:r>
      <w:r w:rsidRPr="00A72156">
        <w:rPr>
          <w:color w:val="000000" w:themeColor="text1"/>
          <w:spacing w:val="-12"/>
          <w:w w:val="105"/>
          <w:szCs w:val="24"/>
        </w:rPr>
        <w:t xml:space="preserve"> </w:t>
      </w:r>
      <w:r w:rsidRPr="00A72156">
        <w:rPr>
          <w:color w:val="000000" w:themeColor="text1"/>
          <w:w w:val="105"/>
          <w:szCs w:val="24"/>
        </w:rPr>
        <w:t>przyłączenia</w:t>
      </w:r>
      <w:r w:rsidRPr="00A72156">
        <w:rPr>
          <w:color w:val="000000" w:themeColor="text1"/>
          <w:spacing w:val="-7"/>
          <w:w w:val="105"/>
          <w:szCs w:val="24"/>
        </w:rPr>
        <w:t xml:space="preserve"> </w:t>
      </w:r>
      <w:r w:rsidRPr="00A72156">
        <w:rPr>
          <w:color w:val="000000" w:themeColor="text1"/>
          <w:w w:val="105"/>
          <w:szCs w:val="24"/>
        </w:rPr>
        <w:t>tej</w:t>
      </w:r>
      <w:r w:rsidRPr="00A72156">
        <w:rPr>
          <w:color w:val="000000" w:themeColor="text1"/>
          <w:spacing w:val="-20"/>
          <w:w w:val="105"/>
          <w:szCs w:val="24"/>
        </w:rPr>
        <w:t xml:space="preserve"> </w:t>
      </w:r>
      <w:r w:rsidRPr="00A72156">
        <w:rPr>
          <w:color w:val="000000" w:themeColor="text1"/>
          <w:w w:val="105"/>
          <w:szCs w:val="24"/>
        </w:rPr>
        <w:t>mikroinstalacji</w:t>
      </w:r>
      <w:r w:rsidRPr="00A72156">
        <w:rPr>
          <w:color w:val="000000" w:themeColor="text1"/>
          <w:spacing w:val="-12"/>
          <w:w w:val="105"/>
          <w:szCs w:val="24"/>
        </w:rPr>
        <w:t xml:space="preserve"> </w:t>
      </w:r>
      <w:r w:rsidRPr="00A72156">
        <w:rPr>
          <w:color w:val="000000" w:themeColor="text1"/>
          <w:w w:val="105"/>
          <w:szCs w:val="24"/>
        </w:rPr>
        <w:t>istnieje już</w:t>
      </w:r>
      <w:r w:rsidRPr="00A72156">
        <w:rPr>
          <w:color w:val="000000" w:themeColor="text1"/>
          <w:spacing w:val="-7"/>
          <w:w w:val="105"/>
          <w:szCs w:val="24"/>
        </w:rPr>
        <w:t xml:space="preserve"> </w:t>
      </w:r>
      <w:r w:rsidRPr="00A72156">
        <w:rPr>
          <w:color w:val="000000" w:themeColor="text1"/>
          <w:w w:val="105"/>
          <w:szCs w:val="24"/>
        </w:rPr>
        <w:t>przyłącze</w:t>
      </w:r>
      <w:r w:rsidRPr="00A72156">
        <w:rPr>
          <w:color w:val="000000" w:themeColor="text1"/>
          <w:spacing w:val="-4"/>
          <w:w w:val="105"/>
          <w:szCs w:val="24"/>
        </w:rPr>
        <w:t xml:space="preserve"> </w:t>
      </w:r>
      <w:r w:rsidRPr="00A72156">
        <w:rPr>
          <w:color w:val="000000" w:themeColor="text1"/>
          <w:w w:val="105"/>
          <w:szCs w:val="24"/>
        </w:rPr>
        <w:t>do</w:t>
      </w:r>
      <w:r w:rsidRPr="00A72156">
        <w:rPr>
          <w:color w:val="000000" w:themeColor="text1"/>
          <w:spacing w:val="-11"/>
          <w:w w:val="105"/>
          <w:szCs w:val="24"/>
        </w:rPr>
        <w:t xml:space="preserve"> </w:t>
      </w:r>
      <w:r w:rsidRPr="00A72156">
        <w:rPr>
          <w:color w:val="000000" w:themeColor="text1"/>
          <w:w w:val="105"/>
          <w:szCs w:val="24"/>
        </w:rPr>
        <w:t>sieci</w:t>
      </w:r>
      <w:r w:rsidRPr="00A72156">
        <w:rPr>
          <w:color w:val="000000" w:themeColor="text1"/>
          <w:spacing w:val="-3"/>
          <w:w w:val="105"/>
          <w:szCs w:val="24"/>
        </w:rPr>
        <w:t xml:space="preserve"> </w:t>
      </w:r>
      <w:r w:rsidRPr="00A72156">
        <w:rPr>
          <w:color w:val="000000" w:themeColor="text1"/>
          <w:w w:val="105"/>
          <w:szCs w:val="24"/>
        </w:rPr>
        <w:t>dystrybucyjnej</w:t>
      </w:r>
      <w:r w:rsidRPr="00A72156">
        <w:rPr>
          <w:color w:val="000000" w:themeColor="text1"/>
          <w:spacing w:val="-4"/>
          <w:w w:val="105"/>
          <w:szCs w:val="24"/>
        </w:rPr>
        <w:t xml:space="preserve"> </w:t>
      </w:r>
      <w:r w:rsidRPr="00A72156">
        <w:rPr>
          <w:color w:val="000000" w:themeColor="text1"/>
          <w:w w:val="105"/>
          <w:szCs w:val="24"/>
        </w:rPr>
        <w:t>i</w:t>
      </w:r>
      <w:r w:rsidRPr="00A72156">
        <w:rPr>
          <w:color w:val="000000" w:themeColor="text1"/>
          <w:spacing w:val="-2"/>
          <w:w w:val="105"/>
          <w:szCs w:val="24"/>
        </w:rPr>
        <w:t xml:space="preserve"> </w:t>
      </w:r>
      <w:r w:rsidRPr="00A72156">
        <w:rPr>
          <w:color w:val="000000" w:themeColor="text1"/>
          <w:w w:val="105"/>
          <w:szCs w:val="24"/>
        </w:rPr>
        <w:t>moc</w:t>
      </w:r>
      <w:r w:rsidRPr="00A72156">
        <w:rPr>
          <w:color w:val="000000" w:themeColor="text1"/>
          <w:spacing w:val="-8"/>
          <w:w w:val="105"/>
          <w:szCs w:val="24"/>
        </w:rPr>
        <w:t xml:space="preserve"> </w:t>
      </w:r>
      <w:r w:rsidRPr="00A72156">
        <w:rPr>
          <w:color w:val="000000" w:themeColor="text1"/>
          <w:w w:val="105"/>
          <w:szCs w:val="24"/>
        </w:rPr>
        <w:t>zainstalowana</w:t>
      </w:r>
      <w:r w:rsidRPr="00A72156">
        <w:rPr>
          <w:color w:val="000000" w:themeColor="text1"/>
          <w:spacing w:val="6"/>
          <w:w w:val="105"/>
          <w:szCs w:val="24"/>
        </w:rPr>
        <w:t xml:space="preserve"> </w:t>
      </w:r>
      <w:r w:rsidRPr="00A72156">
        <w:rPr>
          <w:color w:val="000000" w:themeColor="text1"/>
          <w:w w:val="105"/>
          <w:szCs w:val="24"/>
        </w:rPr>
        <w:t>mikroinstalacji</w:t>
      </w:r>
      <w:r w:rsidRPr="00A72156">
        <w:rPr>
          <w:color w:val="000000" w:themeColor="text1"/>
          <w:spacing w:val="-12"/>
          <w:w w:val="105"/>
          <w:szCs w:val="24"/>
        </w:rPr>
        <w:t xml:space="preserve"> </w:t>
      </w:r>
      <w:r w:rsidRPr="00A72156">
        <w:rPr>
          <w:color w:val="000000" w:themeColor="text1"/>
          <w:w w:val="105"/>
          <w:szCs w:val="24"/>
        </w:rPr>
        <w:t>nie</w:t>
      </w:r>
      <w:r w:rsidRPr="00A72156">
        <w:rPr>
          <w:color w:val="000000" w:themeColor="text1"/>
          <w:spacing w:val="-9"/>
          <w:w w:val="105"/>
          <w:szCs w:val="24"/>
        </w:rPr>
        <w:t xml:space="preserve"> </w:t>
      </w:r>
      <w:r w:rsidRPr="00A72156">
        <w:rPr>
          <w:color w:val="000000" w:themeColor="text1"/>
          <w:w w:val="105"/>
          <w:szCs w:val="24"/>
        </w:rPr>
        <w:t>jest</w:t>
      </w:r>
      <w:r w:rsidRPr="00A72156">
        <w:rPr>
          <w:color w:val="000000" w:themeColor="text1"/>
          <w:spacing w:val="-4"/>
          <w:w w:val="105"/>
          <w:szCs w:val="24"/>
        </w:rPr>
        <w:t xml:space="preserve"> </w:t>
      </w:r>
      <w:r w:rsidRPr="00A72156">
        <w:rPr>
          <w:color w:val="000000" w:themeColor="text1"/>
          <w:w w:val="105"/>
          <w:szCs w:val="24"/>
        </w:rPr>
        <w:t>większa niż moc określona w wydanych warunkach przyłączenia dla tego</w:t>
      </w:r>
      <w:r w:rsidRPr="00A72156">
        <w:rPr>
          <w:color w:val="000000" w:themeColor="text1"/>
          <w:spacing w:val="-4"/>
          <w:w w:val="105"/>
          <w:szCs w:val="24"/>
        </w:rPr>
        <w:t xml:space="preserve"> </w:t>
      </w:r>
      <w:r w:rsidRPr="00A72156">
        <w:rPr>
          <w:color w:val="000000" w:themeColor="text1"/>
          <w:w w:val="105"/>
          <w:szCs w:val="24"/>
        </w:rPr>
        <w:t>przyłącza.</w:t>
      </w:r>
    </w:p>
    <w:p w14:paraId="54FE2B04" w14:textId="6CD05A6E" w:rsidR="003D16F1" w:rsidRPr="00DC3807" w:rsidRDefault="003D16F1">
      <w:pPr>
        <w:pStyle w:val="Akapitzlist"/>
        <w:widowControl w:val="0"/>
        <w:numPr>
          <w:ilvl w:val="0"/>
          <w:numId w:val="272"/>
        </w:numPr>
        <w:autoSpaceDE w:val="0"/>
        <w:autoSpaceDN w:val="0"/>
        <w:spacing w:line="249" w:lineRule="auto"/>
        <w:ind w:right="60" w:hanging="720"/>
        <w:jc w:val="both"/>
        <w:rPr>
          <w:color w:val="000000" w:themeColor="text1"/>
          <w:szCs w:val="24"/>
        </w:rPr>
      </w:pPr>
      <w:r w:rsidRPr="00DC3807">
        <w:rPr>
          <w:color w:val="000000" w:themeColor="text1"/>
          <w:szCs w:val="24"/>
        </w:rPr>
        <w:t xml:space="preserve">Reprezentant prosumentów, działając w imieniu i na rzecz Prosumentów zbiorowych lub Prosumentów wirtualnych, składa wniosek o określenie warunków przyłączenia i zawiera z </w:t>
      </w:r>
      <w:r w:rsidR="00DC3807">
        <w:rPr>
          <w:color w:val="000000" w:themeColor="text1"/>
          <w:szCs w:val="24"/>
        </w:rPr>
        <w:t>OSDn</w:t>
      </w:r>
      <w:r w:rsidRPr="00DC3807">
        <w:rPr>
          <w:color w:val="000000" w:themeColor="text1"/>
          <w:szCs w:val="24"/>
        </w:rPr>
        <w:t xml:space="preserve"> umowę o przyłączenie do sieci instalacji odnawialnego źródła energii, w tym umowę o przyłączenie do sieci mikroinstalacji - jeżeli nie jest możliwe zastosowanie do mikroinstalacji procedury określonej w pkt</w:t>
      </w:r>
      <w:r w:rsidRPr="00DC3807">
        <w:rPr>
          <w:color w:val="000000" w:themeColor="text1"/>
          <w:spacing w:val="-32"/>
          <w:szCs w:val="24"/>
        </w:rPr>
        <w:t xml:space="preserve"> </w:t>
      </w:r>
      <w:r w:rsidRPr="00DC3807">
        <w:rPr>
          <w:color w:val="000000" w:themeColor="text1"/>
          <w:szCs w:val="24"/>
        </w:rPr>
        <w:t>11.1.4</w:t>
      </w:r>
      <w:r w:rsidR="00D446C2">
        <w:rPr>
          <w:color w:val="000000" w:themeColor="text1"/>
          <w:szCs w:val="24"/>
        </w:rPr>
        <w:t>0</w:t>
      </w:r>
      <w:r w:rsidRPr="00DC3807">
        <w:rPr>
          <w:color w:val="000000" w:themeColor="text1"/>
          <w:szCs w:val="24"/>
        </w:rPr>
        <w:t>.</w:t>
      </w:r>
    </w:p>
    <w:p w14:paraId="14CD90ED" w14:textId="67C8D7A2" w:rsidR="00236C4F" w:rsidRPr="00236C4F" w:rsidRDefault="00236C4F">
      <w:pPr>
        <w:pStyle w:val="Akapitzlist"/>
        <w:widowControl w:val="0"/>
        <w:numPr>
          <w:ilvl w:val="0"/>
          <w:numId w:val="272"/>
        </w:numPr>
        <w:autoSpaceDE w:val="0"/>
        <w:autoSpaceDN w:val="0"/>
        <w:spacing w:before="1" w:line="252" w:lineRule="auto"/>
        <w:ind w:right="60" w:hanging="720"/>
        <w:jc w:val="both"/>
        <w:rPr>
          <w:color w:val="000000" w:themeColor="text1"/>
          <w:szCs w:val="24"/>
        </w:rPr>
      </w:pPr>
      <w:r w:rsidRPr="00236C4F">
        <w:rPr>
          <w:color w:val="000000" w:themeColor="text1"/>
          <w:w w:val="105"/>
          <w:szCs w:val="24"/>
        </w:rPr>
        <w:t>Zapisy</w:t>
      </w:r>
      <w:r w:rsidRPr="00236C4F">
        <w:rPr>
          <w:color w:val="000000" w:themeColor="text1"/>
          <w:spacing w:val="-25"/>
          <w:w w:val="105"/>
          <w:szCs w:val="24"/>
        </w:rPr>
        <w:t xml:space="preserve"> </w:t>
      </w:r>
      <w:r w:rsidRPr="00236C4F">
        <w:rPr>
          <w:color w:val="000000" w:themeColor="text1"/>
          <w:w w:val="105"/>
          <w:szCs w:val="24"/>
        </w:rPr>
        <w:t>pkt</w:t>
      </w:r>
      <w:r w:rsidRPr="00236C4F">
        <w:rPr>
          <w:color w:val="000000" w:themeColor="text1"/>
          <w:spacing w:val="-36"/>
          <w:w w:val="105"/>
          <w:szCs w:val="24"/>
        </w:rPr>
        <w:t xml:space="preserve"> </w:t>
      </w:r>
      <w:r w:rsidRPr="00236C4F">
        <w:rPr>
          <w:color w:val="000000" w:themeColor="text1"/>
          <w:w w:val="105"/>
          <w:szCs w:val="24"/>
        </w:rPr>
        <w:t>11.1.4</w:t>
      </w:r>
      <w:r>
        <w:rPr>
          <w:color w:val="000000" w:themeColor="text1"/>
          <w:w w:val="105"/>
          <w:szCs w:val="24"/>
        </w:rPr>
        <w:t>0</w:t>
      </w:r>
      <w:r w:rsidRPr="00236C4F">
        <w:rPr>
          <w:color w:val="000000" w:themeColor="text1"/>
          <w:w w:val="105"/>
          <w:szCs w:val="24"/>
        </w:rPr>
        <w:t>.</w:t>
      </w:r>
      <w:r w:rsidRPr="00236C4F">
        <w:rPr>
          <w:color w:val="000000" w:themeColor="text1"/>
          <w:spacing w:val="-20"/>
          <w:w w:val="105"/>
          <w:szCs w:val="24"/>
        </w:rPr>
        <w:t xml:space="preserve"> </w:t>
      </w:r>
      <w:r w:rsidRPr="00236C4F">
        <w:rPr>
          <w:color w:val="000000" w:themeColor="text1"/>
          <w:w w:val="105"/>
          <w:szCs w:val="24"/>
        </w:rPr>
        <w:t>oraz</w:t>
      </w:r>
      <w:r w:rsidRPr="00236C4F">
        <w:rPr>
          <w:color w:val="000000" w:themeColor="text1"/>
          <w:spacing w:val="-32"/>
          <w:w w:val="105"/>
          <w:szCs w:val="24"/>
        </w:rPr>
        <w:t xml:space="preserve"> </w:t>
      </w:r>
      <w:r w:rsidRPr="00236C4F">
        <w:rPr>
          <w:color w:val="000000" w:themeColor="text1"/>
          <w:w w:val="105"/>
          <w:szCs w:val="24"/>
        </w:rPr>
        <w:t>11.1.4</w:t>
      </w:r>
      <w:r>
        <w:rPr>
          <w:color w:val="000000" w:themeColor="text1"/>
          <w:w w:val="105"/>
          <w:szCs w:val="24"/>
        </w:rPr>
        <w:t>1</w:t>
      </w:r>
      <w:r w:rsidRPr="00236C4F">
        <w:rPr>
          <w:color w:val="000000" w:themeColor="text1"/>
          <w:w w:val="105"/>
          <w:szCs w:val="24"/>
        </w:rPr>
        <w:t>.</w:t>
      </w:r>
      <w:r w:rsidRPr="00236C4F">
        <w:rPr>
          <w:color w:val="000000" w:themeColor="text1"/>
          <w:spacing w:val="-33"/>
          <w:w w:val="105"/>
          <w:szCs w:val="24"/>
        </w:rPr>
        <w:t xml:space="preserve"> </w:t>
      </w:r>
      <w:r w:rsidRPr="00236C4F">
        <w:rPr>
          <w:color w:val="000000" w:themeColor="text1"/>
          <w:w w:val="105"/>
          <w:szCs w:val="24"/>
        </w:rPr>
        <w:t>stosuje</w:t>
      </w:r>
      <w:r w:rsidRPr="00236C4F">
        <w:rPr>
          <w:color w:val="000000" w:themeColor="text1"/>
          <w:spacing w:val="-25"/>
          <w:w w:val="105"/>
          <w:szCs w:val="24"/>
        </w:rPr>
        <w:t xml:space="preserve"> </w:t>
      </w:r>
      <w:r w:rsidRPr="00236C4F">
        <w:rPr>
          <w:color w:val="000000" w:themeColor="text1"/>
          <w:w w:val="105"/>
          <w:szCs w:val="24"/>
        </w:rPr>
        <w:t>się</w:t>
      </w:r>
      <w:r w:rsidRPr="00236C4F">
        <w:rPr>
          <w:color w:val="000000" w:themeColor="text1"/>
          <w:spacing w:val="-25"/>
          <w:w w:val="105"/>
          <w:szCs w:val="24"/>
        </w:rPr>
        <w:t xml:space="preserve"> </w:t>
      </w:r>
      <w:r w:rsidRPr="00236C4F">
        <w:rPr>
          <w:color w:val="000000" w:themeColor="text1"/>
          <w:w w:val="105"/>
          <w:szCs w:val="24"/>
        </w:rPr>
        <w:t>również</w:t>
      </w:r>
      <w:r w:rsidRPr="00236C4F">
        <w:rPr>
          <w:color w:val="000000" w:themeColor="text1"/>
          <w:spacing w:val="-22"/>
          <w:w w:val="105"/>
          <w:szCs w:val="24"/>
        </w:rPr>
        <w:t xml:space="preserve"> </w:t>
      </w:r>
      <w:r w:rsidRPr="00236C4F">
        <w:rPr>
          <w:color w:val="000000" w:themeColor="text1"/>
          <w:w w:val="105"/>
          <w:szCs w:val="24"/>
        </w:rPr>
        <w:t>w</w:t>
      </w:r>
      <w:r w:rsidRPr="00236C4F">
        <w:rPr>
          <w:color w:val="000000" w:themeColor="text1"/>
          <w:spacing w:val="-26"/>
          <w:w w:val="105"/>
          <w:szCs w:val="24"/>
        </w:rPr>
        <w:t xml:space="preserve"> </w:t>
      </w:r>
      <w:r w:rsidRPr="00236C4F">
        <w:rPr>
          <w:color w:val="000000" w:themeColor="text1"/>
          <w:w w:val="105"/>
          <w:szCs w:val="24"/>
        </w:rPr>
        <w:t>przypadku,</w:t>
      </w:r>
      <w:r w:rsidRPr="00236C4F">
        <w:rPr>
          <w:color w:val="000000" w:themeColor="text1"/>
          <w:spacing w:val="-14"/>
          <w:w w:val="105"/>
          <w:szCs w:val="24"/>
        </w:rPr>
        <w:t xml:space="preserve"> </w:t>
      </w:r>
      <w:r w:rsidRPr="00236C4F">
        <w:rPr>
          <w:color w:val="000000" w:themeColor="text1"/>
          <w:w w:val="105"/>
          <w:szCs w:val="24"/>
        </w:rPr>
        <w:t>gdy</w:t>
      </w:r>
      <w:r w:rsidRPr="00236C4F">
        <w:rPr>
          <w:color w:val="000000" w:themeColor="text1"/>
          <w:spacing w:val="-23"/>
          <w:w w:val="105"/>
          <w:szCs w:val="24"/>
        </w:rPr>
        <w:t xml:space="preserve"> </w:t>
      </w:r>
      <w:r w:rsidRPr="00236C4F">
        <w:rPr>
          <w:color w:val="000000" w:themeColor="text1"/>
          <w:w w:val="105"/>
          <w:szCs w:val="24"/>
        </w:rPr>
        <w:t>właścicielem lub zarządcą mikroinstalacji lub małej instalacji wykorzystywanych przez Prosumenta zbiorowego</w:t>
      </w:r>
      <w:r w:rsidRPr="00236C4F">
        <w:rPr>
          <w:color w:val="000000" w:themeColor="text1"/>
          <w:spacing w:val="-12"/>
          <w:w w:val="105"/>
          <w:szCs w:val="24"/>
        </w:rPr>
        <w:t xml:space="preserve"> </w:t>
      </w:r>
      <w:r w:rsidRPr="00236C4F">
        <w:rPr>
          <w:color w:val="000000" w:themeColor="text1"/>
          <w:w w:val="105"/>
          <w:szCs w:val="24"/>
        </w:rPr>
        <w:t>lub</w:t>
      </w:r>
      <w:r w:rsidRPr="00236C4F">
        <w:rPr>
          <w:color w:val="000000" w:themeColor="text1"/>
          <w:spacing w:val="-24"/>
          <w:w w:val="105"/>
          <w:szCs w:val="24"/>
        </w:rPr>
        <w:t xml:space="preserve"> </w:t>
      </w:r>
      <w:r w:rsidRPr="00236C4F">
        <w:rPr>
          <w:color w:val="000000" w:themeColor="text1"/>
          <w:w w:val="105"/>
          <w:szCs w:val="24"/>
        </w:rPr>
        <w:t>instalacji</w:t>
      </w:r>
      <w:r w:rsidRPr="00236C4F">
        <w:rPr>
          <w:color w:val="000000" w:themeColor="text1"/>
          <w:spacing w:val="-17"/>
          <w:w w:val="105"/>
          <w:szCs w:val="24"/>
        </w:rPr>
        <w:t xml:space="preserve"> </w:t>
      </w:r>
      <w:r w:rsidRPr="00236C4F">
        <w:rPr>
          <w:color w:val="000000" w:themeColor="text1"/>
          <w:w w:val="105"/>
          <w:szCs w:val="24"/>
        </w:rPr>
        <w:t>odnawialnego</w:t>
      </w:r>
      <w:r w:rsidRPr="00236C4F">
        <w:rPr>
          <w:color w:val="000000" w:themeColor="text1"/>
          <w:spacing w:val="-15"/>
          <w:w w:val="105"/>
          <w:szCs w:val="24"/>
        </w:rPr>
        <w:t xml:space="preserve"> </w:t>
      </w:r>
      <w:r w:rsidRPr="00236C4F">
        <w:rPr>
          <w:color w:val="000000" w:themeColor="text1"/>
          <w:w w:val="105"/>
          <w:szCs w:val="24"/>
        </w:rPr>
        <w:t>źródła</w:t>
      </w:r>
      <w:r w:rsidRPr="00236C4F">
        <w:rPr>
          <w:color w:val="000000" w:themeColor="text1"/>
          <w:spacing w:val="-20"/>
          <w:w w:val="105"/>
          <w:szCs w:val="24"/>
        </w:rPr>
        <w:t xml:space="preserve"> </w:t>
      </w:r>
      <w:r w:rsidRPr="00236C4F">
        <w:rPr>
          <w:color w:val="000000" w:themeColor="text1"/>
          <w:w w:val="105"/>
          <w:szCs w:val="24"/>
        </w:rPr>
        <w:t>energii</w:t>
      </w:r>
      <w:r w:rsidRPr="00236C4F">
        <w:rPr>
          <w:color w:val="000000" w:themeColor="text1"/>
          <w:spacing w:val="-12"/>
          <w:w w:val="105"/>
          <w:szCs w:val="24"/>
        </w:rPr>
        <w:t xml:space="preserve"> </w:t>
      </w:r>
      <w:r w:rsidRPr="00236C4F">
        <w:rPr>
          <w:color w:val="000000" w:themeColor="text1"/>
          <w:w w:val="105"/>
          <w:szCs w:val="24"/>
        </w:rPr>
        <w:t>wykorzystywanej</w:t>
      </w:r>
      <w:r w:rsidRPr="00236C4F">
        <w:rPr>
          <w:color w:val="000000" w:themeColor="text1"/>
          <w:spacing w:val="-24"/>
          <w:w w:val="105"/>
          <w:szCs w:val="24"/>
        </w:rPr>
        <w:t xml:space="preserve"> </w:t>
      </w:r>
      <w:r w:rsidRPr="00236C4F">
        <w:rPr>
          <w:color w:val="000000" w:themeColor="text1"/>
          <w:w w:val="105"/>
          <w:szCs w:val="24"/>
        </w:rPr>
        <w:t>przez</w:t>
      </w:r>
      <w:r w:rsidRPr="00236C4F">
        <w:rPr>
          <w:color w:val="000000" w:themeColor="text1"/>
          <w:spacing w:val="-15"/>
          <w:w w:val="105"/>
          <w:szCs w:val="24"/>
        </w:rPr>
        <w:t xml:space="preserve"> </w:t>
      </w:r>
      <w:r w:rsidRPr="00236C4F">
        <w:rPr>
          <w:color w:val="000000" w:themeColor="text1"/>
          <w:w w:val="105"/>
          <w:szCs w:val="24"/>
        </w:rPr>
        <w:t>Prosumenta wirtualnego jest podmiot niebędący tym Prosumentem zbiorowym lub Prosumentem wirtualnym.</w:t>
      </w:r>
    </w:p>
    <w:p w14:paraId="4740F056" w14:textId="78B730B2" w:rsidR="004301BE" w:rsidRPr="004301BE" w:rsidRDefault="004301BE">
      <w:pPr>
        <w:pStyle w:val="Akapitzlist"/>
        <w:widowControl w:val="0"/>
        <w:numPr>
          <w:ilvl w:val="0"/>
          <w:numId w:val="272"/>
        </w:numPr>
        <w:autoSpaceDE w:val="0"/>
        <w:autoSpaceDN w:val="0"/>
        <w:spacing w:before="91" w:line="249" w:lineRule="auto"/>
        <w:ind w:right="60" w:hanging="720"/>
        <w:jc w:val="both"/>
        <w:rPr>
          <w:color w:val="000000" w:themeColor="text1"/>
          <w:szCs w:val="24"/>
        </w:rPr>
      </w:pPr>
      <w:r w:rsidRPr="004301BE">
        <w:rPr>
          <w:color w:val="000000" w:themeColor="text1"/>
          <w:w w:val="105"/>
          <w:szCs w:val="24"/>
        </w:rPr>
        <w:t xml:space="preserve">Reprezentant prosumentów przekazuje </w:t>
      </w:r>
      <w:r>
        <w:rPr>
          <w:color w:val="000000" w:themeColor="text1"/>
          <w:w w:val="105"/>
          <w:szCs w:val="24"/>
        </w:rPr>
        <w:t>OSDn</w:t>
      </w:r>
      <w:r w:rsidRPr="004301BE">
        <w:rPr>
          <w:color w:val="000000" w:themeColor="text1"/>
          <w:w w:val="105"/>
          <w:szCs w:val="24"/>
        </w:rPr>
        <w:t>, do sieci którego przyłączana jest instalacja odnawialnego źródła energii, nie później niż w terminie 30 dni przed dniem planowanego rozpoczęcia wytwarzania energii elektrycznej z tej instalacji, zgłoszenie instalacji odnawialnego źródła energii zawierające informację</w:t>
      </w:r>
      <w:r w:rsidRPr="004301BE">
        <w:rPr>
          <w:color w:val="000000" w:themeColor="text1"/>
          <w:spacing w:val="14"/>
          <w:w w:val="105"/>
          <w:szCs w:val="24"/>
        </w:rPr>
        <w:t xml:space="preserve"> </w:t>
      </w:r>
      <w:r w:rsidRPr="004301BE">
        <w:rPr>
          <w:color w:val="000000" w:themeColor="text1"/>
          <w:w w:val="105"/>
          <w:szCs w:val="24"/>
        </w:rPr>
        <w:t>o:</w:t>
      </w:r>
    </w:p>
    <w:p w14:paraId="2150EF42" w14:textId="7F306E64" w:rsidR="004301BE" w:rsidRPr="004301BE" w:rsidRDefault="004301BE">
      <w:pPr>
        <w:pStyle w:val="Akapitzlist"/>
        <w:widowControl w:val="0"/>
        <w:numPr>
          <w:ilvl w:val="3"/>
          <w:numId w:val="272"/>
        </w:numPr>
        <w:tabs>
          <w:tab w:val="left" w:pos="1147"/>
        </w:tabs>
        <w:autoSpaceDE w:val="0"/>
        <w:autoSpaceDN w:val="0"/>
        <w:spacing w:before="5" w:line="252" w:lineRule="auto"/>
        <w:ind w:left="993" w:right="60" w:hanging="284"/>
        <w:jc w:val="both"/>
        <w:rPr>
          <w:color w:val="000000" w:themeColor="text1"/>
          <w:szCs w:val="24"/>
        </w:rPr>
      </w:pPr>
      <w:r w:rsidRPr="004301BE">
        <w:rPr>
          <w:color w:val="000000" w:themeColor="text1"/>
          <w:w w:val="105"/>
          <w:szCs w:val="24"/>
        </w:rPr>
        <w:t>przysługującym Prosumentom zbiorowym lub Prosumentom wirtualnym udziale, wyrażonym w procentach, w wytwarzaniu energii elektrycznej z odnawialnego źródła energii oraz o maksymalnej mocy zainstalowanej elektrycznej, wyrażonej w jednostkach mocy, której ten udział</w:t>
      </w:r>
      <w:r w:rsidRPr="004301BE">
        <w:rPr>
          <w:color w:val="000000" w:themeColor="text1"/>
          <w:spacing w:val="-16"/>
          <w:w w:val="105"/>
          <w:szCs w:val="24"/>
        </w:rPr>
        <w:t xml:space="preserve"> </w:t>
      </w:r>
      <w:r w:rsidRPr="004301BE">
        <w:rPr>
          <w:color w:val="000000" w:themeColor="text1"/>
          <w:w w:val="105"/>
          <w:szCs w:val="24"/>
        </w:rPr>
        <w:t>odpowiada;</w:t>
      </w:r>
    </w:p>
    <w:p w14:paraId="38F76C8D" w14:textId="77777777" w:rsidR="004301BE" w:rsidRPr="004301BE" w:rsidRDefault="004301BE">
      <w:pPr>
        <w:pStyle w:val="Akapitzlist"/>
        <w:widowControl w:val="0"/>
        <w:numPr>
          <w:ilvl w:val="3"/>
          <w:numId w:val="272"/>
        </w:numPr>
        <w:tabs>
          <w:tab w:val="left" w:pos="1148"/>
        </w:tabs>
        <w:autoSpaceDE w:val="0"/>
        <w:autoSpaceDN w:val="0"/>
        <w:spacing w:line="249" w:lineRule="auto"/>
        <w:ind w:left="993" w:right="60" w:hanging="284"/>
        <w:jc w:val="both"/>
        <w:rPr>
          <w:color w:val="000000" w:themeColor="text1"/>
          <w:szCs w:val="24"/>
        </w:rPr>
      </w:pPr>
      <w:r w:rsidRPr="004301BE">
        <w:rPr>
          <w:color w:val="000000" w:themeColor="text1"/>
          <w:w w:val="105"/>
          <w:szCs w:val="24"/>
        </w:rPr>
        <w:t>adresach oraz kodach PPE poszczególnych Prosumentów wirtualnych lub Prosumentów</w:t>
      </w:r>
      <w:r w:rsidRPr="004301BE">
        <w:rPr>
          <w:color w:val="000000" w:themeColor="text1"/>
          <w:spacing w:val="23"/>
          <w:w w:val="105"/>
          <w:szCs w:val="24"/>
        </w:rPr>
        <w:t xml:space="preserve"> </w:t>
      </w:r>
      <w:r w:rsidRPr="004301BE">
        <w:rPr>
          <w:color w:val="000000" w:themeColor="text1"/>
          <w:w w:val="105"/>
          <w:szCs w:val="24"/>
        </w:rPr>
        <w:t>zbiorowych;</w:t>
      </w:r>
    </w:p>
    <w:p w14:paraId="070C3232" w14:textId="77777777" w:rsidR="004301BE" w:rsidRPr="004301BE" w:rsidRDefault="004301BE">
      <w:pPr>
        <w:pStyle w:val="Akapitzlist"/>
        <w:widowControl w:val="0"/>
        <w:numPr>
          <w:ilvl w:val="3"/>
          <w:numId w:val="272"/>
        </w:numPr>
        <w:tabs>
          <w:tab w:val="left" w:pos="1147"/>
        </w:tabs>
        <w:autoSpaceDE w:val="0"/>
        <w:autoSpaceDN w:val="0"/>
        <w:spacing w:before="2" w:line="252" w:lineRule="auto"/>
        <w:ind w:left="993" w:right="60" w:hanging="284"/>
        <w:jc w:val="both"/>
        <w:rPr>
          <w:color w:val="000000" w:themeColor="text1"/>
          <w:szCs w:val="24"/>
        </w:rPr>
      </w:pPr>
      <w:r w:rsidRPr="004301BE">
        <w:rPr>
          <w:color w:val="000000" w:themeColor="text1"/>
          <w:w w:val="105"/>
          <w:szCs w:val="24"/>
        </w:rPr>
        <w:t>zasadach zarządzania instalacją odnawialnego źródła energii oraz zasadach odpowiedzialności za bezpieczeństwo funkcjonowania, eksploatację, konserwację oraz remonty instalacji odnawialnego źródła</w:t>
      </w:r>
      <w:r w:rsidRPr="004301BE">
        <w:rPr>
          <w:color w:val="000000" w:themeColor="text1"/>
          <w:spacing w:val="2"/>
          <w:w w:val="105"/>
          <w:szCs w:val="24"/>
        </w:rPr>
        <w:t xml:space="preserve"> </w:t>
      </w:r>
      <w:r w:rsidRPr="004301BE">
        <w:rPr>
          <w:color w:val="000000" w:themeColor="text1"/>
          <w:w w:val="105"/>
          <w:szCs w:val="24"/>
        </w:rPr>
        <w:t>energii;</w:t>
      </w:r>
    </w:p>
    <w:p w14:paraId="79EE5AE3" w14:textId="77777777" w:rsidR="004301BE" w:rsidRPr="004301BE" w:rsidRDefault="004301BE">
      <w:pPr>
        <w:pStyle w:val="Akapitzlist"/>
        <w:widowControl w:val="0"/>
        <w:numPr>
          <w:ilvl w:val="3"/>
          <w:numId w:val="272"/>
        </w:numPr>
        <w:tabs>
          <w:tab w:val="left" w:pos="1154"/>
        </w:tabs>
        <w:autoSpaceDE w:val="0"/>
        <w:autoSpaceDN w:val="0"/>
        <w:spacing w:before="1"/>
        <w:ind w:left="993" w:right="60" w:hanging="284"/>
        <w:jc w:val="both"/>
        <w:rPr>
          <w:color w:val="000000" w:themeColor="text1"/>
          <w:szCs w:val="24"/>
        </w:rPr>
      </w:pPr>
      <w:r w:rsidRPr="004301BE">
        <w:rPr>
          <w:color w:val="000000" w:themeColor="text1"/>
          <w:w w:val="105"/>
          <w:szCs w:val="24"/>
        </w:rPr>
        <w:lastRenderedPageBreak/>
        <w:t>danych kontaktowych Reprezentanta</w:t>
      </w:r>
      <w:r w:rsidRPr="004301BE">
        <w:rPr>
          <w:color w:val="000000" w:themeColor="text1"/>
          <w:spacing w:val="12"/>
          <w:w w:val="105"/>
          <w:szCs w:val="24"/>
        </w:rPr>
        <w:t xml:space="preserve"> </w:t>
      </w:r>
      <w:r w:rsidRPr="004301BE">
        <w:rPr>
          <w:color w:val="000000" w:themeColor="text1"/>
          <w:w w:val="105"/>
          <w:szCs w:val="24"/>
        </w:rPr>
        <w:t>prosumentów;</w:t>
      </w:r>
    </w:p>
    <w:p w14:paraId="4821B58B" w14:textId="77777777" w:rsidR="004301BE" w:rsidRPr="004301BE" w:rsidRDefault="004301BE">
      <w:pPr>
        <w:pStyle w:val="Akapitzlist"/>
        <w:widowControl w:val="0"/>
        <w:numPr>
          <w:ilvl w:val="3"/>
          <w:numId w:val="272"/>
        </w:numPr>
        <w:tabs>
          <w:tab w:val="left" w:pos="1155"/>
        </w:tabs>
        <w:autoSpaceDE w:val="0"/>
        <w:autoSpaceDN w:val="0"/>
        <w:spacing w:before="11" w:line="249" w:lineRule="auto"/>
        <w:ind w:left="993" w:right="60" w:hanging="284"/>
        <w:jc w:val="both"/>
        <w:rPr>
          <w:color w:val="000000" w:themeColor="text1"/>
          <w:szCs w:val="24"/>
        </w:rPr>
      </w:pPr>
      <w:r w:rsidRPr="004301BE">
        <w:rPr>
          <w:color w:val="000000" w:themeColor="text1"/>
          <w:w w:val="105"/>
          <w:szCs w:val="24"/>
        </w:rPr>
        <w:t>w przypadku Prosumenta wirtualnego o podmiocie odpowiedzialnym za bilansowanie handlowe instalacji odnawialnego źródła</w:t>
      </w:r>
      <w:r w:rsidRPr="004301BE">
        <w:rPr>
          <w:color w:val="000000" w:themeColor="text1"/>
          <w:spacing w:val="53"/>
          <w:w w:val="105"/>
          <w:szCs w:val="24"/>
        </w:rPr>
        <w:t xml:space="preserve"> </w:t>
      </w:r>
      <w:r w:rsidRPr="004301BE">
        <w:rPr>
          <w:color w:val="000000" w:themeColor="text1"/>
          <w:w w:val="105"/>
          <w:szCs w:val="24"/>
        </w:rPr>
        <w:t>energii.</w:t>
      </w:r>
    </w:p>
    <w:p w14:paraId="5C5BF4AD" w14:textId="3C9B9B1C" w:rsidR="004301BE" w:rsidRPr="004301BE" w:rsidRDefault="004301BE">
      <w:pPr>
        <w:pStyle w:val="Akapitzlist"/>
        <w:widowControl w:val="0"/>
        <w:numPr>
          <w:ilvl w:val="0"/>
          <w:numId w:val="272"/>
        </w:numPr>
        <w:autoSpaceDE w:val="0"/>
        <w:autoSpaceDN w:val="0"/>
        <w:spacing w:line="249" w:lineRule="auto"/>
        <w:ind w:left="709" w:right="60" w:hanging="709"/>
        <w:jc w:val="both"/>
        <w:rPr>
          <w:color w:val="000000" w:themeColor="text1"/>
          <w:szCs w:val="24"/>
        </w:rPr>
      </w:pPr>
      <w:r w:rsidRPr="004301BE">
        <w:rPr>
          <w:color w:val="000000" w:themeColor="text1"/>
          <w:w w:val="105"/>
          <w:szCs w:val="24"/>
        </w:rPr>
        <w:t>Reprezentant</w:t>
      </w:r>
      <w:r w:rsidRPr="004301BE">
        <w:rPr>
          <w:color w:val="000000" w:themeColor="text1"/>
          <w:spacing w:val="-10"/>
          <w:w w:val="105"/>
          <w:szCs w:val="24"/>
        </w:rPr>
        <w:t xml:space="preserve"> </w:t>
      </w:r>
      <w:r w:rsidRPr="004301BE">
        <w:rPr>
          <w:color w:val="000000" w:themeColor="text1"/>
          <w:w w:val="105"/>
          <w:szCs w:val="24"/>
        </w:rPr>
        <w:t>prosumentów</w:t>
      </w:r>
      <w:r w:rsidRPr="004301BE">
        <w:rPr>
          <w:color w:val="000000" w:themeColor="text1"/>
          <w:spacing w:val="-11"/>
          <w:w w:val="105"/>
          <w:szCs w:val="24"/>
        </w:rPr>
        <w:t xml:space="preserve"> </w:t>
      </w:r>
      <w:r w:rsidRPr="004301BE">
        <w:rPr>
          <w:color w:val="000000" w:themeColor="text1"/>
          <w:w w:val="105"/>
          <w:szCs w:val="24"/>
        </w:rPr>
        <w:t>przekazuje</w:t>
      </w:r>
      <w:r w:rsidRPr="004301BE">
        <w:rPr>
          <w:color w:val="000000" w:themeColor="text1"/>
          <w:spacing w:val="-17"/>
          <w:w w:val="105"/>
          <w:szCs w:val="24"/>
        </w:rPr>
        <w:t xml:space="preserve"> </w:t>
      </w:r>
      <w:r>
        <w:rPr>
          <w:color w:val="000000" w:themeColor="text1"/>
          <w:spacing w:val="-17"/>
          <w:w w:val="105"/>
          <w:szCs w:val="24"/>
        </w:rPr>
        <w:t>OSDn</w:t>
      </w:r>
      <w:r w:rsidRPr="004301BE">
        <w:rPr>
          <w:color w:val="000000" w:themeColor="text1"/>
          <w:spacing w:val="-17"/>
          <w:w w:val="105"/>
          <w:szCs w:val="24"/>
        </w:rPr>
        <w:t xml:space="preserve"> </w:t>
      </w:r>
      <w:r w:rsidRPr="004301BE">
        <w:rPr>
          <w:color w:val="000000" w:themeColor="text1"/>
          <w:w w:val="105"/>
          <w:szCs w:val="24"/>
        </w:rPr>
        <w:t>zgłoszenie</w:t>
      </w:r>
      <w:r w:rsidRPr="004301BE">
        <w:rPr>
          <w:color w:val="000000" w:themeColor="text1"/>
          <w:spacing w:val="-18"/>
          <w:w w:val="105"/>
          <w:szCs w:val="24"/>
        </w:rPr>
        <w:t xml:space="preserve"> </w:t>
      </w:r>
      <w:r w:rsidRPr="004301BE">
        <w:rPr>
          <w:color w:val="000000" w:themeColor="text1"/>
          <w:w w:val="105"/>
          <w:szCs w:val="24"/>
        </w:rPr>
        <w:t>o</w:t>
      </w:r>
      <w:r w:rsidRPr="004301BE">
        <w:rPr>
          <w:color w:val="000000" w:themeColor="text1"/>
          <w:spacing w:val="-25"/>
          <w:w w:val="105"/>
          <w:szCs w:val="24"/>
        </w:rPr>
        <w:t xml:space="preserve"> </w:t>
      </w:r>
      <w:r w:rsidRPr="004301BE">
        <w:rPr>
          <w:color w:val="000000" w:themeColor="text1"/>
          <w:w w:val="105"/>
          <w:szCs w:val="24"/>
        </w:rPr>
        <w:t>każdej zmianie informacji, o których mowa w pkt Il.1.4</w:t>
      </w:r>
      <w:r>
        <w:rPr>
          <w:color w:val="000000" w:themeColor="text1"/>
          <w:w w:val="105"/>
          <w:szCs w:val="24"/>
        </w:rPr>
        <w:t>3</w:t>
      </w:r>
      <w:r w:rsidRPr="004301BE">
        <w:rPr>
          <w:color w:val="000000" w:themeColor="text1"/>
          <w:w w:val="105"/>
          <w:szCs w:val="24"/>
        </w:rPr>
        <w:t xml:space="preserve">., w terminie 14 dni od dnia zmiany informacji. </w:t>
      </w:r>
      <w:r>
        <w:rPr>
          <w:color w:val="000000" w:themeColor="text1"/>
          <w:w w:val="105"/>
          <w:szCs w:val="24"/>
        </w:rPr>
        <w:t>OSDn</w:t>
      </w:r>
      <w:r w:rsidR="00F700B1">
        <w:rPr>
          <w:color w:val="000000" w:themeColor="text1"/>
          <w:w w:val="105"/>
          <w:szCs w:val="24"/>
        </w:rPr>
        <w:t xml:space="preserve"> </w:t>
      </w:r>
      <w:r w:rsidRPr="004301BE">
        <w:rPr>
          <w:color w:val="000000" w:themeColor="text1"/>
          <w:w w:val="105"/>
          <w:szCs w:val="24"/>
        </w:rPr>
        <w:t>uwzględnia zgłoszoną zmianę w terminie 14 dni od doręczenia kompletnego zgłoszenia, o którym mowa w zdaniu</w:t>
      </w:r>
      <w:r w:rsidRPr="004301BE">
        <w:rPr>
          <w:color w:val="000000" w:themeColor="text1"/>
          <w:spacing w:val="3"/>
          <w:w w:val="105"/>
          <w:szCs w:val="24"/>
        </w:rPr>
        <w:t xml:space="preserve"> </w:t>
      </w:r>
      <w:r w:rsidRPr="004301BE">
        <w:rPr>
          <w:color w:val="000000" w:themeColor="text1"/>
          <w:w w:val="105"/>
          <w:szCs w:val="24"/>
        </w:rPr>
        <w:t>pierwszym.</w:t>
      </w:r>
    </w:p>
    <w:p w14:paraId="73C93CD4" w14:textId="77777777" w:rsidR="004301BE" w:rsidRPr="004301BE" w:rsidRDefault="004301BE" w:rsidP="004301BE">
      <w:pPr>
        <w:tabs>
          <w:tab w:val="left" w:pos="2127"/>
        </w:tabs>
        <w:spacing w:before="120"/>
        <w:ind w:right="-142"/>
        <w:jc w:val="both"/>
        <w:rPr>
          <w:rFonts w:cs="Times New Roman"/>
          <w:sz w:val="22"/>
          <w:szCs w:val="22"/>
        </w:rPr>
      </w:pPr>
    </w:p>
    <w:p w14:paraId="25EAD218" w14:textId="77777777" w:rsidR="002C01B6" w:rsidRDefault="002C01B6" w:rsidP="008E4502">
      <w:pPr>
        <w:pStyle w:val="Nagwek2"/>
        <w:ind w:left="709" w:hanging="709"/>
        <w:jc w:val="both"/>
      </w:pPr>
      <w:bookmarkStart w:id="15" w:name="_Toc141963871"/>
      <w:r>
        <w:t>II.2. ZASADY ODŁĄCZANIA, WSTRZYMYWANIA ORAZ WZNOWIENIA DOSTARCZANIA ENERGII ELEKTRYCZNEJ</w:t>
      </w:r>
      <w:bookmarkEnd w:id="15"/>
    </w:p>
    <w:p w14:paraId="3C8AB105" w14:textId="77777777" w:rsidR="002C01B6" w:rsidRDefault="002C01B6" w:rsidP="002C01B6"/>
    <w:p w14:paraId="2FB5DF8A" w14:textId="77777777" w:rsidR="002C01B6" w:rsidRPr="002C01B6" w:rsidRDefault="002C01B6">
      <w:pPr>
        <w:numPr>
          <w:ilvl w:val="0"/>
          <w:numId w:val="245"/>
        </w:numPr>
        <w:ind w:left="567" w:hanging="567"/>
        <w:rPr>
          <w:b/>
          <w:bCs/>
        </w:rPr>
      </w:pPr>
      <w:r w:rsidRPr="002C01B6">
        <w:rPr>
          <w:b/>
          <w:bCs/>
        </w:rPr>
        <w:t>Zasady odłączania.</w:t>
      </w:r>
    </w:p>
    <w:p w14:paraId="6F4D78FD" w14:textId="77777777" w:rsidR="002C01B6" w:rsidRPr="002C01B6" w:rsidRDefault="002C01B6">
      <w:pPr>
        <w:numPr>
          <w:ilvl w:val="0"/>
          <w:numId w:val="246"/>
        </w:numPr>
        <w:ind w:left="851" w:hanging="851"/>
        <w:jc w:val="both"/>
      </w:pPr>
      <w:r>
        <w:t xml:space="preserve">Zasady odłączania </w:t>
      </w:r>
      <w:r>
        <w:rPr>
          <w:rFonts w:eastAsia="Times New Roman"/>
        </w:rPr>
        <w:t xml:space="preserve">podmiotów od sieci dystrybucyjnej OSDn, </w:t>
      </w:r>
      <w:r>
        <w:rPr>
          <w:rFonts w:eastAsia="Times New Roman"/>
          <w:w w:val="99"/>
        </w:rPr>
        <w:t xml:space="preserve">określone </w:t>
      </w:r>
      <w:r>
        <w:rPr>
          <w:rFonts w:eastAsia="Times New Roman"/>
          <w:w w:val="99"/>
        </w:rPr>
        <w:br/>
        <w:t xml:space="preserve">w niniejszym rozdziale obowiązują sprzedawców </w:t>
      </w:r>
      <w:r>
        <w:rPr>
          <w:rFonts w:eastAsia="Times New Roman"/>
        </w:rPr>
        <w:t>oraz podmioty odłączane.</w:t>
      </w:r>
    </w:p>
    <w:p w14:paraId="0A27632C" w14:textId="77777777" w:rsidR="002C01B6" w:rsidRPr="002C01B6" w:rsidRDefault="002C01B6">
      <w:pPr>
        <w:numPr>
          <w:ilvl w:val="0"/>
          <w:numId w:val="246"/>
        </w:numPr>
        <w:ind w:left="851" w:hanging="851"/>
        <w:jc w:val="both"/>
      </w:pPr>
      <w:r>
        <w:rPr>
          <w:rFonts w:eastAsia="Times New Roman"/>
        </w:rPr>
        <w:t>OSDn może odłączyć podmioty od sieci dystrybucyjnej OSDn w przypadku:</w:t>
      </w:r>
    </w:p>
    <w:p w14:paraId="241439C5" w14:textId="77777777" w:rsidR="002C01B6" w:rsidRPr="002C01B6" w:rsidRDefault="002C01B6" w:rsidP="00FA49B5">
      <w:pPr>
        <w:numPr>
          <w:ilvl w:val="1"/>
          <w:numId w:val="9"/>
        </w:numPr>
        <w:ind w:left="1134" w:hanging="283"/>
        <w:jc w:val="both"/>
      </w:pPr>
      <w:r>
        <w:rPr>
          <w:rFonts w:eastAsia="Times New Roman"/>
        </w:rPr>
        <w:t>złożenia przez podmiot wniosku o odłączenie od sieci dystrybucyjnej,</w:t>
      </w:r>
    </w:p>
    <w:p w14:paraId="36F9098B" w14:textId="77777777" w:rsidR="002C01B6" w:rsidRPr="002B3EB6" w:rsidRDefault="002B3EB6" w:rsidP="00FA49B5">
      <w:pPr>
        <w:numPr>
          <w:ilvl w:val="1"/>
          <w:numId w:val="9"/>
        </w:numPr>
        <w:ind w:left="1134" w:hanging="283"/>
        <w:jc w:val="both"/>
      </w:pPr>
      <w:r>
        <w:rPr>
          <w:rFonts w:eastAsia="Times New Roman"/>
          <w:w w:val="99"/>
        </w:rPr>
        <w:t>rozwiązania lub wygaśnięcia umowy o świadczenie usług dystrybucji lub umowy kompleksowej.</w:t>
      </w:r>
    </w:p>
    <w:p w14:paraId="0AEFDE35" w14:textId="77777777" w:rsidR="002B3EB6" w:rsidRPr="00565295" w:rsidRDefault="00565295">
      <w:pPr>
        <w:numPr>
          <w:ilvl w:val="0"/>
          <w:numId w:val="246"/>
        </w:numPr>
        <w:ind w:left="851" w:hanging="851"/>
        <w:jc w:val="both"/>
      </w:pPr>
      <w:r>
        <w:rPr>
          <w:rFonts w:eastAsia="Times New Roman"/>
          <w:w w:val="98"/>
        </w:rPr>
        <w:t xml:space="preserve">Wniosek o odłączenie od sieci dystrybucyjnej OSDn składany przez </w:t>
      </w:r>
      <w:r>
        <w:rPr>
          <w:rFonts w:eastAsia="Times New Roman"/>
        </w:rPr>
        <w:t xml:space="preserve">podmiot zawiera </w:t>
      </w:r>
      <w:r>
        <w:rPr>
          <w:rFonts w:eastAsia="Times New Roman"/>
        </w:rPr>
        <w:br/>
        <w:t>w szczególności:</w:t>
      </w:r>
    </w:p>
    <w:p w14:paraId="2F2C6063" w14:textId="77777777" w:rsidR="00565295" w:rsidRPr="00565295" w:rsidRDefault="00565295">
      <w:pPr>
        <w:numPr>
          <w:ilvl w:val="1"/>
          <w:numId w:val="55"/>
        </w:numPr>
        <w:tabs>
          <w:tab w:val="left" w:pos="1134"/>
        </w:tabs>
        <w:ind w:hanging="589"/>
        <w:jc w:val="both"/>
      </w:pPr>
      <w:r>
        <w:rPr>
          <w:rFonts w:eastAsia="Times New Roman"/>
        </w:rPr>
        <w:t>miejsce przyłączenia urządzeń, instalacji lub sieci, których dotyczy odłączenie,</w:t>
      </w:r>
    </w:p>
    <w:p w14:paraId="547A743B" w14:textId="77777777" w:rsidR="00565295" w:rsidRPr="00565295" w:rsidRDefault="00565295">
      <w:pPr>
        <w:numPr>
          <w:ilvl w:val="1"/>
          <w:numId w:val="55"/>
        </w:numPr>
        <w:tabs>
          <w:tab w:val="left" w:pos="1134"/>
        </w:tabs>
        <w:ind w:hanging="589"/>
        <w:jc w:val="both"/>
      </w:pPr>
      <w:r>
        <w:rPr>
          <w:rFonts w:eastAsia="Times New Roman"/>
        </w:rPr>
        <w:t>przyczynę odłączenia,</w:t>
      </w:r>
    </w:p>
    <w:p w14:paraId="78C9D319" w14:textId="77777777" w:rsidR="00565295" w:rsidRPr="00565295" w:rsidRDefault="00565295">
      <w:pPr>
        <w:numPr>
          <w:ilvl w:val="1"/>
          <w:numId w:val="55"/>
        </w:numPr>
        <w:tabs>
          <w:tab w:val="left" w:pos="1134"/>
        </w:tabs>
        <w:ind w:hanging="589"/>
        <w:jc w:val="both"/>
      </w:pPr>
      <w:r>
        <w:rPr>
          <w:rFonts w:eastAsia="Times New Roman"/>
        </w:rPr>
        <w:t>proponowany termin odłączenia.</w:t>
      </w:r>
    </w:p>
    <w:p w14:paraId="71B453D9" w14:textId="77777777" w:rsidR="00565295" w:rsidRPr="006D724C" w:rsidRDefault="00AC6973">
      <w:pPr>
        <w:numPr>
          <w:ilvl w:val="0"/>
          <w:numId w:val="246"/>
        </w:numPr>
        <w:ind w:left="851" w:hanging="851"/>
        <w:jc w:val="both"/>
      </w:pPr>
      <w:r>
        <w:rPr>
          <w:rFonts w:eastAsia="Times New Roman"/>
        </w:rPr>
        <w:t xml:space="preserve">OSDn ustala termin odłączenia podmiotu od sieci dystrybucyjnej uwzględniający techniczne możliwości realizacji procesu odłączenia podmiotu.  Odłączany podmiot jest zawiadamiany przez OSDn </w:t>
      </w:r>
      <w:r>
        <w:rPr>
          <w:rFonts w:eastAsia="Times New Roman"/>
          <w:w w:val="99"/>
        </w:rPr>
        <w:t xml:space="preserve">o dacie odłączenia, w terminie nie krótszym niż 14 dni kalendarzowych </w:t>
      </w:r>
      <w:r>
        <w:rPr>
          <w:rFonts w:eastAsia="Times New Roman"/>
        </w:rPr>
        <w:t xml:space="preserve">od daty planowanego odłączenia. W ww. </w:t>
      </w:r>
      <w:r w:rsidRPr="00437FD5">
        <w:rPr>
          <w:rFonts w:eastAsia="Times New Roman"/>
        </w:rPr>
        <w:t xml:space="preserve">zawiadomieniu OSDn informuje podmiot o zasadach ponownego przyłączenia do sieci o których mowa </w:t>
      </w:r>
      <w:r>
        <w:rPr>
          <w:rFonts w:eastAsia="Times New Roman"/>
        </w:rPr>
        <w:br/>
      </w:r>
      <w:r w:rsidRPr="00437FD5">
        <w:rPr>
          <w:rFonts w:eastAsia="Times New Roman"/>
        </w:rPr>
        <w:t>w pkt. II.2.1.9.</w:t>
      </w:r>
    </w:p>
    <w:p w14:paraId="2E01B015" w14:textId="77777777" w:rsidR="006D724C" w:rsidRPr="006D724C" w:rsidRDefault="006D724C">
      <w:pPr>
        <w:numPr>
          <w:ilvl w:val="0"/>
          <w:numId w:val="246"/>
        </w:numPr>
        <w:ind w:left="851" w:hanging="851"/>
        <w:jc w:val="both"/>
      </w:pPr>
      <w:r w:rsidRPr="00FA49B5">
        <w:rPr>
          <w:color w:val="000000"/>
        </w:rPr>
        <w:t xml:space="preserve">OSDn </w:t>
      </w:r>
      <w:r w:rsidRPr="00FA49B5">
        <w:rPr>
          <w:rFonts w:eastAsia="Times New Roman"/>
          <w:color w:val="000000"/>
        </w:rPr>
        <w:t>dokonuje zmian w układzie sieci dystrybucyjnej umożliwiających odłączenie podmiotu od sieci. Podmiot odłączany od sieci dystrybucyjnej OSDn uzgadnia z OSDn tryb, terminy oraz warunki niezbędnej przebudowy lub likwidacji majątku sieciowego będącego własnością podmiotu, wynikające z odłączenia od sieci dystrybucyjnej</w:t>
      </w:r>
      <w:r>
        <w:rPr>
          <w:rFonts w:eastAsia="Times New Roman"/>
        </w:rPr>
        <w:t>.</w:t>
      </w:r>
    </w:p>
    <w:p w14:paraId="11CCE009" w14:textId="77777777" w:rsidR="006D724C" w:rsidRPr="009320CB" w:rsidRDefault="009320CB">
      <w:pPr>
        <w:numPr>
          <w:ilvl w:val="0"/>
          <w:numId w:val="246"/>
        </w:numPr>
        <w:ind w:left="851" w:hanging="851"/>
        <w:jc w:val="both"/>
      </w:pPr>
      <w:r>
        <w:rPr>
          <w:rFonts w:eastAsia="Times New Roman"/>
        </w:rPr>
        <w:t>OSDn uzgadnia z operatorem systemu przesyłowego i sąsiednimi OSD tryb odłączenia podmiotu, w zakresie w jakim odłączenie podmiotu od sieci dystrybucyjnej OSDn ma wpływ na warunki pracy sieci innych operatorów.</w:t>
      </w:r>
    </w:p>
    <w:p w14:paraId="7BBB7AE7" w14:textId="77777777" w:rsidR="009320CB" w:rsidRPr="003B2D34" w:rsidRDefault="009320CB">
      <w:pPr>
        <w:numPr>
          <w:ilvl w:val="0"/>
          <w:numId w:val="246"/>
        </w:numPr>
        <w:spacing w:line="0" w:lineRule="atLeast"/>
        <w:ind w:left="851" w:hanging="851"/>
        <w:jc w:val="both"/>
        <w:rPr>
          <w:rFonts w:eastAsia="Times New Roman"/>
        </w:rPr>
      </w:pPr>
      <w:r w:rsidRPr="003B2D34">
        <w:rPr>
          <w:rFonts w:eastAsia="Times New Roman"/>
        </w:rPr>
        <w:t>W uzasadnionych przypadkach OSDn zapewnia sporządzenie i zatwierdza zgłoszenie obiektu elektroenergetycznego do odłączenia od sieci dystrybucyjnej OSDn określające w szczególności:</w:t>
      </w:r>
    </w:p>
    <w:p w14:paraId="6266F49D" w14:textId="77777777" w:rsidR="009320CB" w:rsidRPr="003B2D34" w:rsidRDefault="009320CB">
      <w:pPr>
        <w:pStyle w:val="Default"/>
        <w:numPr>
          <w:ilvl w:val="0"/>
          <w:numId w:val="247"/>
        </w:numPr>
        <w:ind w:left="1134" w:hanging="305"/>
        <w:jc w:val="both"/>
        <w:rPr>
          <w:sz w:val="23"/>
          <w:szCs w:val="23"/>
        </w:rPr>
      </w:pPr>
      <w:r w:rsidRPr="003B2D34">
        <w:rPr>
          <w:sz w:val="23"/>
          <w:szCs w:val="23"/>
        </w:rPr>
        <w:t xml:space="preserve">miejsce przyłączenia urządzeń, instalacji lub sieci podmiotu, których dotyczy odłączenie, </w:t>
      </w:r>
    </w:p>
    <w:p w14:paraId="22C31F40" w14:textId="77777777" w:rsidR="009320CB" w:rsidRPr="003B2D34" w:rsidRDefault="009320CB">
      <w:pPr>
        <w:pStyle w:val="Default"/>
        <w:numPr>
          <w:ilvl w:val="0"/>
          <w:numId w:val="247"/>
        </w:numPr>
        <w:ind w:left="1134" w:hanging="305"/>
        <w:jc w:val="both"/>
        <w:rPr>
          <w:sz w:val="23"/>
          <w:szCs w:val="23"/>
        </w:rPr>
      </w:pPr>
      <w:r w:rsidRPr="003B2D34">
        <w:rPr>
          <w:sz w:val="23"/>
          <w:szCs w:val="23"/>
        </w:rPr>
        <w:t xml:space="preserve">termin odłączenia, </w:t>
      </w:r>
    </w:p>
    <w:p w14:paraId="3292A986" w14:textId="77777777" w:rsidR="009320CB" w:rsidRPr="003B2D34" w:rsidRDefault="009320CB">
      <w:pPr>
        <w:pStyle w:val="Default"/>
        <w:numPr>
          <w:ilvl w:val="0"/>
          <w:numId w:val="247"/>
        </w:numPr>
        <w:ind w:left="1134" w:hanging="305"/>
        <w:jc w:val="both"/>
        <w:rPr>
          <w:sz w:val="23"/>
          <w:szCs w:val="23"/>
        </w:rPr>
      </w:pPr>
      <w:r w:rsidRPr="003B2D34">
        <w:rPr>
          <w:sz w:val="23"/>
          <w:szCs w:val="23"/>
        </w:rPr>
        <w:t xml:space="preserve">dane osoby odpowiedzialnej ze strony OSDn za prawidłowe odłączenie podmiotu, </w:t>
      </w:r>
    </w:p>
    <w:p w14:paraId="3F7E5A43" w14:textId="77777777" w:rsidR="009320CB" w:rsidRPr="003B2D34" w:rsidRDefault="009320CB">
      <w:pPr>
        <w:pStyle w:val="Default"/>
        <w:numPr>
          <w:ilvl w:val="0"/>
          <w:numId w:val="247"/>
        </w:numPr>
        <w:ind w:left="1134" w:hanging="305"/>
        <w:jc w:val="both"/>
        <w:rPr>
          <w:sz w:val="23"/>
          <w:szCs w:val="23"/>
        </w:rPr>
      </w:pPr>
      <w:r w:rsidRPr="003B2D34">
        <w:rPr>
          <w:sz w:val="23"/>
          <w:szCs w:val="23"/>
        </w:rPr>
        <w:t xml:space="preserve">sposób odłączenia urządzeń, instalacji lub sieci podmiotu, obejmujący: zakres prac niezbędnych do wykonania przed odłączeniem podmiotu, położenie łączników niezbędnych do wykonania planowanego odłączenia podmiotu oraz harmonogram czynności łączeniowych w poszczególnych stacjach elektroenergetycznych, </w:t>
      </w:r>
    </w:p>
    <w:p w14:paraId="6D599B59" w14:textId="77777777" w:rsidR="009320CB" w:rsidRPr="008E4502" w:rsidRDefault="009320CB">
      <w:pPr>
        <w:numPr>
          <w:ilvl w:val="0"/>
          <w:numId w:val="247"/>
        </w:numPr>
        <w:ind w:left="1134" w:hanging="305"/>
        <w:jc w:val="both"/>
      </w:pPr>
      <w:r w:rsidRPr="003B2D34">
        <w:rPr>
          <w:sz w:val="23"/>
          <w:szCs w:val="23"/>
        </w:rPr>
        <w:t>aktualny schemat sieci dystrybucyjnej obejmujący stacje elektroenergetyczne oraz linie, w otoczeniu urządzeń, instalacji i sieci odłączanego podmiotu</w:t>
      </w:r>
      <w:r w:rsidR="008E4502">
        <w:rPr>
          <w:sz w:val="23"/>
          <w:szCs w:val="23"/>
        </w:rPr>
        <w:t>.</w:t>
      </w:r>
    </w:p>
    <w:p w14:paraId="21A98B76" w14:textId="77777777" w:rsidR="008E4502" w:rsidRPr="003B2D34" w:rsidRDefault="008E4502">
      <w:pPr>
        <w:numPr>
          <w:ilvl w:val="0"/>
          <w:numId w:val="248"/>
        </w:numPr>
        <w:spacing w:line="234" w:lineRule="auto"/>
        <w:ind w:left="851" w:hanging="851"/>
        <w:jc w:val="both"/>
        <w:rPr>
          <w:rFonts w:eastAsia="Times New Roman"/>
        </w:rPr>
      </w:pPr>
      <w:r w:rsidRPr="003B2D34">
        <w:rPr>
          <w:rFonts w:eastAsia="Times New Roman"/>
        </w:rPr>
        <w:lastRenderedPageBreak/>
        <w:t>Ponowne przyłączenie podmiotu do sieci dystrybucyjnej OSDn odbywa się na zasadach określonych w pkt.II.1.</w:t>
      </w:r>
    </w:p>
    <w:p w14:paraId="786A2CD4" w14:textId="77777777" w:rsidR="0055539F" w:rsidRPr="00CB1166" w:rsidRDefault="0055539F" w:rsidP="00394540">
      <w:pPr>
        <w:tabs>
          <w:tab w:val="left" w:pos="1500"/>
        </w:tabs>
        <w:spacing w:line="237" w:lineRule="auto"/>
        <w:ind w:left="1500"/>
        <w:jc w:val="both"/>
        <w:rPr>
          <w:rFonts w:eastAsia="Times New Roman" w:cs="Times New Roman"/>
        </w:rPr>
      </w:pPr>
    </w:p>
    <w:p w14:paraId="49BF985C" w14:textId="77777777" w:rsidR="00572BA3" w:rsidRPr="003B2D34" w:rsidRDefault="00572BA3" w:rsidP="00C85C57">
      <w:pPr>
        <w:rPr>
          <w:b/>
        </w:rPr>
      </w:pPr>
      <w:bookmarkStart w:id="16" w:name="page22"/>
      <w:bookmarkStart w:id="17" w:name="page23"/>
      <w:bookmarkEnd w:id="16"/>
      <w:bookmarkEnd w:id="17"/>
      <w:r w:rsidRPr="003B2D34">
        <w:rPr>
          <w:b/>
        </w:rPr>
        <w:t>II.</w:t>
      </w:r>
      <w:r w:rsidR="00AF0D7A" w:rsidRPr="003B2D34">
        <w:rPr>
          <w:b/>
        </w:rPr>
        <w:t>2</w:t>
      </w:r>
      <w:r w:rsidRPr="003B2D34">
        <w:rPr>
          <w:b/>
        </w:rPr>
        <w:t>.2.</w:t>
      </w:r>
      <w:r w:rsidRPr="003B2D34">
        <w:rPr>
          <w:b/>
        </w:rPr>
        <w:tab/>
        <w:t>Zasady wstrzymywania oraz wznowienia dostarczania energii elektrycznej.</w:t>
      </w:r>
    </w:p>
    <w:p w14:paraId="5644E29B" w14:textId="77777777" w:rsidR="00572BA3" w:rsidRPr="003B2D34" w:rsidRDefault="00572BA3" w:rsidP="00C85C57">
      <w:pPr>
        <w:spacing w:line="127" w:lineRule="exact"/>
        <w:jc w:val="both"/>
        <w:rPr>
          <w:rFonts w:eastAsia="Times New Roman"/>
        </w:rPr>
      </w:pPr>
    </w:p>
    <w:p w14:paraId="2BB62CBA" w14:textId="77777777" w:rsidR="00572BA3" w:rsidRPr="003B2D34" w:rsidRDefault="00833F63">
      <w:pPr>
        <w:numPr>
          <w:ilvl w:val="0"/>
          <w:numId w:val="59"/>
        </w:numPr>
        <w:spacing w:line="236" w:lineRule="auto"/>
        <w:ind w:left="851" w:right="40" w:hanging="862"/>
        <w:jc w:val="both"/>
        <w:rPr>
          <w:rFonts w:eastAsia="Times New Roman"/>
        </w:rPr>
      </w:pPr>
      <w:r w:rsidRPr="003B2D34">
        <w:rPr>
          <w:rFonts w:eastAsia="Times New Roman"/>
        </w:rPr>
        <w:t>OSDn</w:t>
      </w:r>
      <w:r w:rsidR="00572BA3" w:rsidRPr="003B2D34">
        <w:rPr>
          <w:rFonts w:eastAsia="Times New Roman"/>
        </w:rPr>
        <w:t xml:space="preserve"> może wstrzymać</w:t>
      </w:r>
      <w:r w:rsidR="00555CAE" w:rsidRPr="003B2D34">
        <w:rPr>
          <w:rFonts w:eastAsia="Times New Roman"/>
        </w:rPr>
        <w:t xml:space="preserve"> </w:t>
      </w:r>
      <w:r w:rsidR="00572BA3" w:rsidRPr="003B2D34">
        <w:rPr>
          <w:rFonts w:eastAsia="Times New Roman"/>
        </w:rPr>
        <w:t>dostarczanie energii elektrycznej podmiotom przyłączonym do sieci dystrybucyjnej</w:t>
      </w:r>
      <w:r w:rsidRPr="003B2D34">
        <w:rPr>
          <w:rFonts w:eastAsia="Times New Roman"/>
        </w:rPr>
        <w:t xml:space="preserve"> OSDn</w:t>
      </w:r>
      <w:r w:rsidR="00572BA3" w:rsidRPr="003B2D34">
        <w:rPr>
          <w:rFonts w:eastAsia="Times New Roman"/>
        </w:rPr>
        <w:t>, jeżeli:</w:t>
      </w:r>
    </w:p>
    <w:p w14:paraId="06DE9BF0" w14:textId="77777777" w:rsidR="00572BA3" w:rsidRPr="003B2D34" w:rsidRDefault="00572BA3" w:rsidP="00FA49B5">
      <w:pPr>
        <w:numPr>
          <w:ilvl w:val="0"/>
          <w:numId w:val="11"/>
        </w:numPr>
        <w:spacing w:line="234" w:lineRule="auto"/>
        <w:ind w:left="1134" w:right="40" w:hanging="283"/>
        <w:jc w:val="both"/>
        <w:rPr>
          <w:rFonts w:eastAsia="Times New Roman"/>
        </w:rPr>
      </w:pPr>
      <w:r w:rsidRPr="003B2D34">
        <w:rPr>
          <w:rFonts w:eastAsia="Times New Roman"/>
        </w:rPr>
        <w:t>odbiorca nie wyraził zgody na zainstalowanie przedpłatowego układu pomiarowo-rozliczeniowego w przypadkach określonych w Ustawie,</w:t>
      </w:r>
    </w:p>
    <w:p w14:paraId="2510FACA" w14:textId="77777777" w:rsidR="00572BA3" w:rsidRPr="003B2D34" w:rsidRDefault="00572BA3" w:rsidP="00FA49B5">
      <w:pPr>
        <w:numPr>
          <w:ilvl w:val="0"/>
          <w:numId w:val="11"/>
        </w:numPr>
        <w:spacing w:line="234" w:lineRule="auto"/>
        <w:ind w:left="1134" w:right="60" w:hanging="283"/>
        <w:jc w:val="both"/>
        <w:rPr>
          <w:rFonts w:eastAsia="Times New Roman"/>
        </w:rPr>
      </w:pPr>
      <w:r w:rsidRPr="003B2D34">
        <w:rPr>
          <w:rFonts w:eastAsia="Times New Roman"/>
        </w:rPr>
        <w:t>w wyniku przeprowadzonej kontroli stwierdzono, że nastąpiło nielegalne pobieranie energii elektrycznej,</w:t>
      </w:r>
    </w:p>
    <w:p w14:paraId="1771DE7E" w14:textId="77777777" w:rsidR="00572BA3" w:rsidRPr="003B2D34" w:rsidRDefault="00572BA3" w:rsidP="00FA49B5">
      <w:pPr>
        <w:numPr>
          <w:ilvl w:val="0"/>
          <w:numId w:val="11"/>
        </w:numPr>
        <w:spacing w:line="234" w:lineRule="auto"/>
        <w:ind w:left="1134" w:right="40" w:hanging="283"/>
        <w:jc w:val="both"/>
        <w:rPr>
          <w:rFonts w:eastAsia="Times New Roman"/>
        </w:rPr>
      </w:pPr>
      <w:r w:rsidRPr="003B2D34">
        <w:rPr>
          <w:rFonts w:eastAsia="Times New Roman"/>
        </w:rPr>
        <w:t>odbiorca zwleka z zapłatą za świadczone usługi, co najmniej przez okres 30 dni kalendarzowych po upływie terminu płatności.</w:t>
      </w:r>
    </w:p>
    <w:p w14:paraId="067149B7" w14:textId="77777777" w:rsidR="00572BA3" w:rsidRPr="003B2D34" w:rsidRDefault="0097576C">
      <w:pPr>
        <w:numPr>
          <w:ilvl w:val="0"/>
          <w:numId w:val="59"/>
        </w:numPr>
        <w:spacing w:line="237" w:lineRule="auto"/>
        <w:ind w:left="851" w:right="40" w:hanging="862"/>
        <w:jc w:val="both"/>
        <w:rPr>
          <w:rFonts w:eastAsia="Times New Roman"/>
        </w:rPr>
      </w:pPr>
      <w:r w:rsidRPr="003B2D34">
        <w:rPr>
          <w:rFonts w:eastAsia="Times New Roman"/>
        </w:rPr>
        <w:t xml:space="preserve">OSDn </w:t>
      </w:r>
      <w:r w:rsidR="00572BA3" w:rsidRPr="003B2D34">
        <w:rPr>
          <w:rFonts w:eastAsia="Times New Roman"/>
        </w:rPr>
        <w:t>na żądanie sprzedawcy energii elektrycznej wstrzymuje</w:t>
      </w:r>
      <w:r w:rsidR="00D66A23" w:rsidRPr="003B2D34">
        <w:rPr>
          <w:rFonts w:eastAsia="Times New Roman"/>
        </w:rPr>
        <w:t xml:space="preserve"> z zastrzeżeniem pkt. II.2.2.</w:t>
      </w:r>
      <w:r w:rsidR="003B2D34">
        <w:rPr>
          <w:rFonts w:eastAsia="Times New Roman"/>
        </w:rPr>
        <w:t>7. – II.2.2.9.</w:t>
      </w:r>
      <w:r w:rsidR="00572BA3" w:rsidRPr="003B2D34">
        <w:rPr>
          <w:rFonts w:eastAsia="Times New Roman"/>
        </w:rPr>
        <w:t xml:space="preserve"> dostarczanie energii elektrycznej, jeżeli według oświadczenia sprzedawcy, odbiorca zwleka z zapłatą za świadczone usługi lub za pobraną energię, co najmniej przez okres 30 dni kalendarzowych po upływie terminu płatności.</w:t>
      </w:r>
    </w:p>
    <w:p w14:paraId="43259EF6" w14:textId="57CA5598" w:rsidR="00964C11" w:rsidRDefault="00572BA3">
      <w:pPr>
        <w:numPr>
          <w:ilvl w:val="0"/>
          <w:numId w:val="59"/>
        </w:numPr>
        <w:spacing w:line="237" w:lineRule="auto"/>
        <w:ind w:left="851" w:right="40" w:hanging="851"/>
        <w:jc w:val="both"/>
        <w:rPr>
          <w:rFonts w:eastAsia="Times New Roman"/>
        </w:rPr>
      </w:pPr>
      <w:r w:rsidRPr="003B2D34">
        <w:rPr>
          <w:rFonts w:eastAsia="Times New Roman"/>
        </w:rPr>
        <w:t xml:space="preserve">Przedsiębiorstwo energetyczne, któremu odbiorca zwleka z zapłatą za świadczone usługi lub za pobraną energię elektryczną, powiadamia na piśmie odbiorcę energii elektrycznej w gospodarstwie domowym o zamiarze wstrzymania dostarczania energii elektrycznej, jeżeli odbiorca ten nie ureguluje zaległych i bieżących należności </w:t>
      </w:r>
      <w:r w:rsidR="00AB5237">
        <w:rPr>
          <w:rFonts w:eastAsia="Times New Roman"/>
        </w:rPr>
        <w:br/>
      </w:r>
      <w:r w:rsidRPr="003B2D34">
        <w:rPr>
          <w:rFonts w:eastAsia="Times New Roman"/>
        </w:rPr>
        <w:t>w okresie 14 dni kalendarzowych od dnia otrzymania tego powiadomienia.</w:t>
      </w:r>
    </w:p>
    <w:p w14:paraId="08428EB9" w14:textId="1BDC3E0F" w:rsidR="00AD003A" w:rsidRPr="003B2D34" w:rsidRDefault="00AD003A" w:rsidP="00AD003A">
      <w:pPr>
        <w:spacing w:line="237" w:lineRule="auto"/>
        <w:ind w:left="851" w:right="40"/>
        <w:jc w:val="both"/>
        <w:rPr>
          <w:rFonts w:eastAsia="Times New Roman"/>
        </w:rPr>
      </w:pPr>
      <w:r>
        <w:rPr>
          <w:rFonts w:cs="Times New Roman"/>
          <w:color w:val="000000"/>
          <w:w w:val="105"/>
          <w:szCs w:val="24"/>
        </w:rPr>
        <w:t xml:space="preserve">Przedsiębiorstwo energetyczne w powiadomieniu, o którym mowa w zdaniu pierwszym, informuje również , że wznowienie dostarczania energii elektrycznej może nastąpić pod nieobecność odbiorcy energii elektrycznej w gospodarstwie domowym w obiekcie lub lokalu, bez odrębnego powiadomienia tego </w:t>
      </w:r>
      <w:r>
        <w:rPr>
          <w:rFonts w:cs="Times New Roman"/>
          <w:color w:val="000000"/>
          <w:spacing w:val="2"/>
          <w:w w:val="105"/>
          <w:szCs w:val="24"/>
        </w:rPr>
        <w:t xml:space="preserve">odbiorcy, </w:t>
      </w:r>
      <w:r>
        <w:rPr>
          <w:rFonts w:cs="Times New Roman"/>
          <w:color w:val="000000"/>
          <w:spacing w:val="2"/>
          <w:w w:val="105"/>
          <w:szCs w:val="24"/>
        </w:rPr>
        <w:br/>
      </w:r>
      <w:r>
        <w:rPr>
          <w:rFonts w:cs="Times New Roman"/>
          <w:color w:val="000000"/>
          <w:w w:val="105"/>
          <w:szCs w:val="24"/>
        </w:rPr>
        <w:t xml:space="preserve">a także  informuje  odbiorcę wrażliwego energii elektrycznej o możliwości złożenia wniosku, o którym mowa w pkt </w:t>
      </w:r>
      <w:r>
        <w:rPr>
          <w:rFonts w:cs="Times New Roman"/>
          <w:color w:val="000000"/>
          <w:spacing w:val="2"/>
          <w:w w:val="105"/>
          <w:szCs w:val="24"/>
        </w:rPr>
        <w:t>II.2.2.19</w:t>
      </w:r>
      <w:r>
        <w:rPr>
          <w:rFonts w:cs="Times New Roman"/>
          <w:color w:val="000000"/>
          <w:w w:val="105"/>
          <w:szCs w:val="24"/>
        </w:rPr>
        <w:t>. Urządzenia , instalacje lub sieci odbiorcy energii elektrycznej w</w:t>
      </w:r>
      <w:r>
        <w:rPr>
          <w:rFonts w:cs="Times New Roman"/>
          <w:color w:val="000000"/>
          <w:spacing w:val="-41"/>
          <w:w w:val="105"/>
          <w:szCs w:val="24"/>
        </w:rPr>
        <w:t xml:space="preserve"> </w:t>
      </w:r>
      <w:r>
        <w:rPr>
          <w:rFonts w:cs="Times New Roman"/>
          <w:color w:val="000000"/>
          <w:w w:val="105"/>
          <w:szCs w:val="24"/>
        </w:rPr>
        <w:t>gospodarstwie domowym powinny być przygotowane przez tego odbiorcę w sposób umożliwiający ich bezpieczną eksploatację  po  wznowieniu   dostarczania  energii  elektrycznej,   zgodną z odrębnymi</w:t>
      </w:r>
      <w:r>
        <w:rPr>
          <w:rFonts w:cs="Times New Roman"/>
          <w:color w:val="000000"/>
          <w:spacing w:val="10"/>
          <w:w w:val="105"/>
          <w:szCs w:val="24"/>
        </w:rPr>
        <w:t xml:space="preserve"> </w:t>
      </w:r>
      <w:r>
        <w:rPr>
          <w:rFonts w:cs="Times New Roman"/>
          <w:color w:val="000000"/>
          <w:w w:val="105"/>
          <w:szCs w:val="24"/>
        </w:rPr>
        <w:t>przepisami.</w:t>
      </w:r>
    </w:p>
    <w:p w14:paraId="15502706" w14:textId="77777777" w:rsidR="00572BA3" w:rsidRPr="003B2D34" w:rsidRDefault="00964C11">
      <w:pPr>
        <w:numPr>
          <w:ilvl w:val="0"/>
          <w:numId w:val="59"/>
        </w:numPr>
        <w:spacing w:line="236" w:lineRule="auto"/>
        <w:ind w:left="851" w:hanging="851"/>
        <w:jc w:val="both"/>
        <w:rPr>
          <w:rFonts w:eastAsia="Times New Roman"/>
        </w:rPr>
      </w:pPr>
      <w:r w:rsidRPr="003B2D34">
        <w:rPr>
          <w:rFonts w:eastAsia="Times New Roman"/>
        </w:rPr>
        <w:t>OSDn w</w:t>
      </w:r>
      <w:r w:rsidR="00572BA3" w:rsidRPr="003B2D34">
        <w:rPr>
          <w:rFonts w:eastAsia="Times New Roman"/>
        </w:rPr>
        <w:t>strzymuje dostarczanie energii elektrycznej, jeżeli w wyniku przeprowadzonej kontroli stwierdzono, że instalacja znajdująca się u odbiorcy stwarza bezpośrednie zagrożenie życia, zdrowia lub środowiska.</w:t>
      </w:r>
    </w:p>
    <w:p w14:paraId="3EF5DAFC" w14:textId="77777777" w:rsidR="00572BA3" w:rsidRPr="003B2D34" w:rsidRDefault="006066BF">
      <w:pPr>
        <w:numPr>
          <w:ilvl w:val="0"/>
          <w:numId w:val="59"/>
        </w:numPr>
        <w:spacing w:line="236" w:lineRule="auto"/>
        <w:ind w:left="851" w:hanging="851"/>
        <w:jc w:val="both"/>
        <w:rPr>
          <w:rFonts w:eastAsia="Times New Roman"/>
        </w:rPr>
      </w:pPr>
      <w:r w:rsidRPr="003B2D34">
        <w:rPr>
          <w:rFonts w:eastAsia="Times New Roman"/>
        </w:rPr>
        <w:t>OSDn</w:t>
      </w:r>
      <w:r w:rsidR="00572BA3" w:rsidRPr="003B2D34">
        <w:rPr>
          <w:rFonts w:eastAsia="Times New Roman"/>
        </w:rPr>
        <w:t xml:space="preserve"> jest obowiązana niezwłocznie wznowić dostarczanie energii elektrycznej wstrzymanej z powodów, o których mowa w pkt. II.</w:t>
      </w:r>
      <w:r w:rsidR="00596CD0" w:rsidRPr="003B2D34">
        <w:rPr>
          <w:rFonts w:eastAsia="Times New Roman"/>
        </w:rPr>
        <w:t>2</w:t>
      </w:r>
      <w:r w:rsidR="00572BA3" w:rsidRPr="003B2D34">
        <w:rPr>
          <w:rFonts w:eastAsia="Times New Roman"/>
        </w:rPr>
        <w:t>.2.1, II.</w:t>
      </w:r>
      <w:r w:rsidR="00596CD0" w:rsidRPr="003B2D34">
        <w:rPr>
          <w:rFonts w:eastAsia="Times New Roman"/>
        </w:rPr>
        <w:t>2</w:t>
      </w:r>
      <w:r w:rsidR="00572BA3" w:rsidRPr="003B2D34">
        <w:rPr>
          <w:rFonts w:eastAsia="Times New Roman"/>
        </w:rPr>
        <w:t>.2.2. i II.</w:t>
      </w:r>
      <w:r w:rsidR="00596CD0" w:rsidRPr="003B2D34">
        <w:rPr>
          <w:rFonts w:eastAsia="Times New Roman"/>
        </w:rPr>
        <w:t>2</w:t>
      </w:r>
      <w:r w:rsidR="00572BA3" w:rsidRPr="003B2D34">
        <w:rPr>
          <w:rFonts w:eastAsia="Times New Roman"/>
        </w:rPr>
        <w:t>.2.4, jeżeli ustaną przyczyny uzasadniające wstrzymanie jej dostarczania.</w:t>
      </w:r>
    </w:p>
    <w:p w14:paraId="78DECC29" w14:textId="77777777" w:rsidR="00572BA3" w:rsidRPr="003B2D34" w:rsidRDefault="00572BA3" w:rsidP="008E4502">
      <w:pPr>
        <w:spacing w:line="134" w:lineRule="exact"/>
        <w:ind w:left="851" w:hanging="851"/>
        <w:rPr>
          <w:rFonts w:eastAsia="Times New Roman"/>
        </w:rPr>
      </w:pPr>
    </w:p>
    <w:p w14:paraId="164B4033" w14:textId="77777777" w:rsidR="00572BA3" w:rsidRPr="003B2D34" w:rsidRDefault="00D60393" w:rsidP="008E4502">
      <w:pPr>
        <w:spacing w:line="236" w:lineRule="auto"/>
        <w:ind w:left="851"/>
        <w:jc w:val="both"/>
        <w:rPr>
          <w:rFonts w:eastAsia="Times New Roman"/>
        </w:rPr>
      </w:pPr>
      <w:r w:rsidRPr="003B2D34">
        <w:rPr>
          <w:rFonts w:eastAsia="Times New Roman"/>
        </w:rPr>
        <w:t>OSDn</w:t>
      </w:r>
      <w:r w:rsidR="00572BA3" w:rsidRPr="003B2D34">
        <w:rPr>
          <w:rFonts w:eastAsia="Times New Roman"/>
        </w:rPr>
        <w:t xml:space="preserve"> wznawia dostarczanie energii elektrycznej niezwłocznie, po otrzymaniu od sprzedawcy wniosku o wznowienie, jeżeli wstrzymanie nastąpiło na żądanie sprzedawcy.</w:t>
      </w:r>
    </w:p>
    <w:p w14:paraId="5FEAAF61" w14:textId="77777777" w:rsidR="00572BA3" w:rsidRPr="003B2D34" w:rsidRDefault="00572BA3" w:rsidP="008E4502">
      <w:pPr>
        <w:spacing w:line="134" w:lineRule="exact"/>
        <w:ind w:left="851" w:hanging="851"/>
        <w:rPr>
          <w:rFonts w:eastAsia="Times New Roman"/>
        </w:rPr>
      </w:pPr>
    </w:p>
    <w:p w14:paraId="495707AF" w14:textId="77777777" w:rsidR="00572BA3" w:rsidRDefault="00D60393" w:rsidP="008E4502">
      <w:pPr>
        <w:spacing w:line="234" w:lineRule="auto"/>
        <w:ind w:left="851"/>
        <w:jc w:val="both"/>
        <w:rPr>
          <w:rFonts w:eastAsia="Times New Roman"/>
        </w:rPr>
      </w:pPr>
      <w:r w:rsidRPr="003B2D34">
        <w:rPr>
          <w:rFonts w:eastAsia="Times New Roman"/>
        </w:rPr>
        <w:t>OSDn</w:t>
      </w:r>
      <w:r w:rsidR="00572BA3" w:rsidRPr="003B2D34">
        <w:rPr>
          <w:rFonts w:eastAsia="Times New Roman"/>
        </w:rPr>
        <w:t xml:space="preserve"> wznawia dostarczanie energii elektrycznej również przy wykorzystaniu liczników zdalnego odczytu.</w:t>
      </w:r>
    </w:p>
    <w:p w14:paraId="6235D2D5" w14:textId="1E74EEAF" w:rsidR="00D812D9" w:rsidRPr="00D812D9" w:rsidRDefault="00D812D9" w:rsidP="008E4502">
      <w:pPr>
        <w:spacing w:line="234" w:lineRule="auto"/>
        <w:ind w:left="851"/>
        <w:jc w:val="both"/>
        <w:rPr>
          <w:rFonts w:eastAsia="Times New Roman"/>
          <w:color w:val="000000" w:themeColor="text1"/>
        </w:rPr>
      </w:pPr>
      <w:r>
        <w:rPr>
          <w:color w:val="000000" w:themeColor="text1"/>
        </w:rPr>
        <w:t xml:space="preserve">OSDn </w:t>
      </w:r>
      <w:r w:rsidRPr="00D812D9">
        <w:rPr>
          <w:color w:val="000000" w:themeColor="text1"/>
        </w:rPr>
        <w:t>wstrzymuje i wznawia dostarczanie energii elektrycznej również przy wykorzystaniu liczników zdalnego odczytu i LSPR zgodnie z poleceniami inicjowanymi bezpośrednio w</w:t>
      </w:r>
      <w:r w:rsidRPr="00D812D9">
        <w:rPr>
          <w:color w:val="000000" w:themeColor="text1"/>
          <w:spacing w:val="11"/>
        </w:rPr>
        <w:t xml:space="preserve"> </w:t>
      </w:r>
      <w:r w:rsidRPr="00D812D9">
        <w:rPr>
          <w:color w:val="000000" w:themeColor="text1"/>
        </w:rPr>
        <w:t>LSPR</w:t>
      </w:r>
      <w:r w:rsidR="00AB2A3F">
        <w:rPr>
          <w:color w:val="000000" w:themeColor="text1"/>
        </w:rPr>
        <w:t>.</w:t>
      </w:r>
    </w:p>
    <w:p w14:paraId="2ACEB08C" w14:textId="77777777" w:rsidR="00572BA3" w:rsidRPr="003B2D34" w:rsidRDefault="00572BA3">
      <w:pPr>
        <w:numPr>
          <w:ilvl w:val="0"/>
          <w:numId w:val="59"/>
        </w:numPr>
        <w:spacing w:line="234" w:lineRule="auto"/>
        <w:ind w:left="851" w:hanging="851"/>
        <w:jc w:val="both"/>
        <w:rPr>
          <w:rFonts w:eastAsia="Times New Roman"/>
        </w:rPr>
      </w:pPr>
      <w:r w:rsidRPr="003B2D34">
        <w:rPr>
          <w:rFonts w:eastAsia="Times New Roman"/>
        </w:rPr>
        <w:t>Przepisów pkt. II.</w:t>
      </w:r>
      <w:r w:rsidR="00596CD0" w:rsidRPr="003B2D34">
        <w:rPr>
          <w:rFonts w:eastAsia="Times New Roman"/>
        </w:rPr>
        <w:t>2</w:t>
      </w:r>
      <w:r w:rsidRPr="003B2D34">
        <w:rPr>
          <w:rFonts w:eastAsia="Times New Roman"/>
        </w:rPr>
        <w:t>.2.1.c) i pkt. II.</w:t>
      </w:r>
      <w:r w:rsidR="00596CD0" w:rsidRPr="003B2D34">
        <w:rPr>
          <w:rFonts w:eastAsia="Times New Roman"/>
        </w:rPr>
        <w:t>2</w:t>
      </w:r>
      <w:r w:rsidRPr="003B2D34">
        <w:rPr>
          <w:rFonts w:eastAsia="Times New Roman"/>
        </w:rPr>
        <w:t>.2.2. nie stosuje się do obiektów służących obronności państwa.</w:t>
      </w:r>
    </w:p>
    <w:p w14:paraId="5657BAE2" w14:textId="399E5C02" w:rsidR="00572BA3" w:rsidRPr="003B2D34" w:rsidRDefault="00572BA3" w:rsidP="008E4502">
      <w:pPr>
        <w:spacing w:line="239" w:lineRule="auto"/>
        <w:ind w:left="851"/>
        <w:jc w:val="both"/>
        <w:rPr>
          <w:rFonts w:eastAsia="Times New Roman"/>
        </w:rPr>
      </w:pPr>
      <w:r w:rsidRPr="003B2D34">
        <w:rPr>
          <w:rFonts w:eastAsia="Times New Roman"/>
        </w:rPr>
        <w:t xml:space="preserve">Ponadto realizacja przez </w:t>
      </w:r>
      <w:r w:rsidR="005B78B6" w:rsidRPr="003B2D34">
        <w:rPr>
          <w:rFonts w:eastAsia="Times New Roman"/>
        </w:rPr>
        <w:t>OSDn p</w:t>
      </w:r>
      <w:r w:rsidRPr="003B2D34">
        <w:rPr>
          <w:rFonts w:eastAsia="Times New Roman"/>
        </w:rPr>
        <w:t>ostanowień o których mowa w pkt. II.</w:t>
      </w:r>
      <w:r w:rsidR="00596CD0" w:rsidRPr="003B2D34">
        <w:rPr>
          <w:rFonts w:eastAsia="Times New Roman"/>
        </w:rPr>
        <w:t>2</w:t>
      </w:r>
      <w:r w:rsidRPr="003B2D34">
        <w:rPr>
          <w:rFonts w:eastAsia="Times New Roman"/>
        </w:rPr>
        <w:t>.2.1.a) lub II.</w:t>
      </w:r>
      <w:r w:rsidR="00596CD0" w:rsidRPr="003B2D34">
        <w:rPr>
          <w:rFonts w:eastAsia="Times New Roman"/>
        </w:rPr>
        <w:t>2</w:t>
      </w:r>
      <w:r w:rsidRPr="003B2D34">
        <w:rPr>
          <w:rFonts w:eastAsia="Times New Roman"/>
        </w:rPr>
        <w:t xml:space="preserve">.2.2 może ulec opóźnieniu bez ponoszenia przez </w:t>
      </w:r>
      <w:r w:rsidR="005B78B6" w:rsidRPr="003B2D34">
        <w:rPr>
          <w:rFonts w:eastAsia="Times New Roman"/>
        </w:rPr>
        <w:t>OSDn</w:t>
      </w:r>
      <w:r w:rsidRPr="003B2D34">
        <w:rPr>
          <w:rFonts w:eastAsia="Times New Roman"/>
        </w:rPr>
        <w:t xml:space="preserve"> odpowiedzialności </w:t>
      </w:r>
      <w:r w:rsidR="000C0276">
        <w:rPr>
          <w:rFonts w:eastAsia="Times New Roman"/>
        </w:rPr>
        <w:br/>
      </w:r>
      <w:r w:rsidRPr="003B2D34">
        <w:rPr>
          <w:rFonts w:eastAsia="Times New Roman"/>
        </w:rPr>
        <w:t xml:space="preserve">z tego tytułu, w przypadku otrzymania przez </w:t>
      </w:r>
      <w:r w:rsidR="005B78B6" w:rsidRPr="003B2D34">
        <w:rPr>
          <w:rFonts w:eastAsia="Times New Roman"/>
        </w:rPr>
        <w:t xml:space="preserve">OSDn </w:t>
      </w:r>
      <w:r w:rsidRPr="003B2D34">
        <w:rPr>
          <w:rFonts w:eastAsia="Times New Roman"/>
        </w:rPr>
        <w:t xml:space="preserve">informacji, że wstrzymanie </w:t>
      </w:r>
      <w:r w:rsidRPr="003B2D34">
        <w:rPr>
          <w:rFonts w:eastAsia="Times New Roman"/>
        </w:rPr>
        <w:lastRenderedPageBreak/>
        <w:t xml:space="preserve">dostarczania energii elektrycznej do odbiorcy może spowodować bezpośrednie zagrożenie życia, zdrowia lub środowiska (a w szczególności uniemożliwi pracę aparatury wspomagającej funkcje życiowe lub pracę urządzeń zapobiegających przed wystąpieniem niekontrolowanej reakcji chemicznej) - </w:t>
      </w:r>
      <w:r w:rsidR="005B78B6" w:rsidRPr="003B2D34">
        <w:rPr>
          <w:rFonts w:eastAsia="Times New Roman"/>
        </w:rPr>
        <w:t>OSDn</w:t>
      </w:r>
      <w:r w:rsidRPr="003B2D34">
        <w:rPr>
          <w:rFonts w:eastAsia="Times New Roman"/>
        </w:rPr>
        <w:t xml:space="preserve"> może opóźnić wstrzymanie dostarczania energii do czasu wykonania przez odbiorcę czynności usuwających powyższe zagrożenie. W takiej sytuacji, w przypadku</w:t>
      </w:r>
      <w:r w:rsidR="00B648B1" w:rsidRPr="003B2D34">
        <w:rPr>
          <w:rFonts w:eastAsia="Times New Roman"/>
        </w:rPr>
        <w:t>,</w:t>
      </w:r>
      <w:r w:rsidRPr="003B2D34">
        <w:rPr>
          <w:rFonts w:eastAsia="Times New Roman"/>
        </w:rPr>
        <w:t xml:space="preserve"> gdy wstrzymanie miało nastąpić na wniosek sprzedawcy, </w:t>
      </w:r>
      <w:r w:rsidR="005B78B6" w:rsidRPr="003B2D34">
        <w:rPr>
          <w:rFonts w:eastAsia="Times New Roman"/>
        </w:rPr>
        <w:t>OSDn</w:t>
      </w:r>
      <w:r w:rsidRPr="003B2D34">
        <w:rPr>
          <w:rFonts w:eastAsia="Times New Roman"/>
        </w:rPr>
        <w:t xml:space="preserve"> zawiadamia niezwłocznie</w:t>
      </w:r>
      <w:r w:rsidR="00A80FF2">
        <w:rPr>
          <w:rFonts w:eastAsia="Times New Roman"/>
        </w:rPr>
        <w:t xml:space="preserve"> </w:t>
      </w:r>
      <w:r w:rsidRPr="003B2D34">
        <w:rPr>
          <w:rFonts w:eastAsia="Times New Roman"/>
        </w:rPr>
        <w:t>o powyższym sprzedawcę, wraz z podaniem przyczyny.</w:t>
      </w:r>
    </w:p>
    <w:p w14:paraId="7EA949A3" w14:textId="77777777" w:rsidR="00572BA3" w:rsidRPr="003B2D34" w:rsidRDefault="00572BA3" w:rsidP="008E4502">
      <w:pPr>
        <w:spacing w:line="132" w:lineRule="exact"/>
        <w:ind w:left="851" w:hanging="851"/>
        <w:rPr>
          <w:rFonts w:eastAsia="Times New Roman"/>
        </w:rPr>
      </w:pPr>
    </w:p>
    <w:p w14:paraId="3F7AF4BE" w14:textId="77777777" w:rsidR="00A65555" w:rsidRPr="003B2D34" w:rsidRDefault="00A65555">
      <w:pPr>
        <w:numPr>
          <w:ilvl w:val="0"/>
          <w:numId w:val="59"/>
        </w:numPr>
        <w:spacing w:line="238" w:lineRule="auto"/>
        <w:ind w:left="993" w:hanging="993"/>
        <w:jc w:val="both"/>
        <w:rPr>
          <w:rFonts w:eastAsia="Times New Roman"/>
        </w:rPr>
      </w:pPr>
      <w:r w:rsidRPr="003B2D34">
        <w:rPr>
          <w:rFonts w:eastAsia="Times New Roman"/>
        </w:rPr>
        <w:t>W przypadku, gdy odbiorca energii elektrycznej w gospodarstwie domowym złoży do przedsiębiorstwa energetycznego, o którym mowa w pkt. II.2.2.3., reklamację dotyczącą dostarczania energii, nie później niż w terminie 14 dni kalendarzowych od dnia otrzymania powiadomienia, o którym mowa w pkt. II.2.2.3., dostarczania energii nie wstrzymuje się do czasu rozpatrzenia reklamacji.</w:t>
      </w:r>
    </w:p>
    <w:p w14:paraId="6B0BE0AE" w14:textId="77777777" w:rsidR="000172BE" w:rsidRPr="003B2D34" w:rsidRDefault="000172BE">
      <w:pPr>
        <w:numPr>
          <w:ilvl w:val="0"/>
          <w:numId w:val="59"/>
        </w:numPr>
        <w:spacing w:line="238" w:lineRule="auto"/>
        <w:ind w:left="993" w:hanging="993"/>
        <w:jc w:val="both"/>
        <w:rPr>
          <w:rFonts w:eastAsia="Times New Roman"/>
        </w:rPr>
      </w:pPr>
      <w:r w:rsidRPr="003B2D34">
        <w:rPr>
          <w:rFonts w:eastAsia="Times New Roman"/>
        </w:rPr>
        <w:t xml:space="preserve">Przedsiębiorstwo energetyczne, o którym mowa w pkt. II.2.2.3., jest obowiązane rozpatrzyć reklamację, o której mowa w pkt. II.2.2.7. w terminie 14 dni kalendarzowych od dnia jej złożenia. Jeżeli reklamacja nie została rozpatrzona </w:t>
      </w:r>
      <w:r w:rsidR="00113B48" w:rsidRPr="003B2D34">
        <w:rPr>
          <w:rFonts w:eastAsia="Times New Roman"/>
        </w:rPr>
        <w:br/>
      </w:r>
      <w:r w:rsidRPr="003B2D34">
        <w:rPr>
          <w:rFonts w:eastAsia="Times New Roman"/>
        </w:rPr>
        <w:t>w tym terminie, uważa się, że została uwzględniona.</w:t>
      </w:r>
    </w:p>
    <w:p w14:paraId="41B7743D" w14:textId="6C21A3EC" w:rsidR="00113B48" w:rsidRDefault="008C7420">
      <w:pPr>
        <w:numPr>
          <w:ilvl w:val="0"/>
          <w:numId w:val="59"/>
        </w:numPr>
        <w:spacing w:line="238" w:lineRule="auto"/>
        <w:ind w:left="993" w:hanging="993"/>
        <w:jc w:val="both"/>
        <w:rPr>
          <w:rFonts w:eastAsia="Times New Roman"/>
        </w:rPr>
      </w:pPr>
      <w:r w:rsidRPr="003B2D34">
        <w:rPr>
          <w:rFonts w:eastAsia="Times New Roman"/>
        </w:rPr>
        <w:t xml:space="preserve">Jeżeli przedsiębiorstwo energetyczne, o którym mowa w pkt. II.2.2.3. nie uwzględniło reklamacji, a odbiorca energii elektrycznej w gospodarstwie domowym, w terminie </w:t>
      </w:r>
      <w:r w:rsidR="008F764D">
        <w:rPr>
          <w:rFonts w:eastAsia="Times New Roman"/>
        </w:rPr>
        <w:br/>
      </w:r>
      <w:r w:rsidRPr="003B2D34">
        <w:rPr>
          <w:rFonts w:eastAsia="Times New Roman"/>
        </w:rPr>
        <w:t xml:space="preserve">14 dni </w:t>
      </w:r>
      <w:r w:rsidR="002B7219" w:rsidRPr="003B2D34">
        <w:rPr>
          <w:rFonts w:eastAsia="Times New Roman"/>
        </w:rPr>
        <w:t>kalendarzowych od dnia otrzymania powiadomienia o nieuwzględnieniu reklamacji, wystąpił do Koordynatora do spraw negocjacji, zwanego dalej „Koordynatorem”, wnioskiem o rozwiązanie sporu w tym zakresie, dostarczania energii nie wstrzymuje się do czasu rozwiązania sporu przez tego Koordynatora.</w:t>
      </w:r>
    </w:p>
    <w:p w14:paraId="35F319E8" w14:textId="645E458A" w:rsidR="00E66209" w:rsidRPr="003B2D34" w:rsidRDefault="00E66209" w:rsidP="00A83145">
      <w:pPr>
        <w:spacing w:line="238" w:lineRule="auto"/>
        <w:ind w:left="993"/>
        <w:jc w:val="both"/>
        <w:rPr>
          <w:rFonts w:eastAsia="Times New Roman"/>
        </w:rPr>
      </w:pPr>
      <w:r w:rsidRPr="00D80DE5">
        <w:rPr>
          <w:rFonts w:cs="Times New Roman"/>
          <w:szCs w:val="24"/>
        </w:rPr>
        <w:t xml:space="preserve">Jeżeli przedsiębiorstwo energetyczne nie uwzględniło reklamacji </w:t>
      </w:r>
      <w:r w:rsidR="00B06223">
        <w:rPr>
          <w:rFonts w:cs="Times New Roman"/>
          <w:szCs w:val="24"/>
        </w:rPr>
        <w:t>P</w:t>
      </w:r>
      <w:r w:rsidRPr="00D80DE5">
        <w:rPr>
          <w:rFonts w:cs="Times New Roman"/>
          <w:szCs w:val="24"/>
        </w:rPr>
        <w:t>rosumenta</w:t>
      </w:r>
      <w:r w:rsidR="00B06223">
        <w:rPr>
          <w:rFonts w:cs="Times New Roman"/>
          <w:szCs w:val="24"/>
        </w:rPr>
        <w:t>, Prosumenta zbiorowego oraz Prosumenta wirtualnego</w:t>
      </w:r>
      <w:r w:rsidRPr="00D80DE5">
        <w:rPr>
          <w:rFonts w:cs="Times New Roman"/>
          <w:szCs w:val="24"/>
        </w:rPr>
        <w:t xml:space="preserve"> będącego konsumentem, prosument ten może wystąpić, w terminie 14 dni od dnia otrzymania powiadomienia </w:t>
      </w:r>
      <w:r w:rsidR="00B06223">
        <w:rPr>
          <w:rFonts w:cs="Times New Roman"/>
          <w:szCs w:val="24"/>
        </w:rPr>
        <w:br/>
      </w:r>
      <w:r w:rsidRPr="00D80DE5">
        <w:rPr>
          <w:rFonts w:cs="Times New Roman"/>
          <w:szCs w:val="24"/>
        </w:rPr>
        <w:t>o nieuwzględnieniu reklamacji, do Koordynatora, z wnioskiem</w:t>
      </w:r>
      <w:r w:rsidR="00B06223">
        <w:rPr>
          <w:rFonts w:cs="Times New Roman"/>
          <w:szCs w:val="24"/>
        </w:rPr>
        <w:t xml:space="preserve"> </w:t>
      </w:r>
      <w:r w:rsidRPr="00D80DE5">
        <w:rPr>
          <w:rFonts w:cs="Times New Roman"/>
          <w:szCs w:val="24"/>
        </w:rPr>
        <w:t>o pozasądowe rozwiązanie sporu w tym zakresie</w:t>
      </w:r>
      <w:r w:rsidRPr="00D80DE5">
        <w:rPr>
          <w:sz w:val="23"/>
          <w:szCs w:val="23"/>
        </w:rPr>
        <w:t>.</w:t>
      </w:r>
    </w:p>
    <w:p w14:paraId="4A35B9A4" w14:textId="0BC3BC94" w:rsidR="00525808" w:rsidRPr="003B2D34" w:rsidRDefault="00593471">
      <w:pPr>
        <w:numPr>
          <w:ilvl w:val="0"/>
          <w:numId w:val="59"/>
        </w:numPr>
        <w:spacing w:line="238" w:lineRule="auto"/>
        <w:ind w:left="993" w:hanging="993"/>
        <w:jc w:val="both"/>
        <w:rPr>
          <w:rFonts w:eastAsia="Times New Roman"/>
        </w:rPr>
      </w:pPr>
      <w:r w:rsidRPr="003B2D34">
        <w:rPr>
          <w:rFonts w:eastAsia="Times New Roman"/>
        </w:rPr>
        <w:t>Jeżeli przedsiębiorstwo energetyczne wstrzymało dostarczanie energii odbiorcy energii elektrycznej w gospodarstwie domowym, a odbiorca ten złożył reklamację na wstrzymanie dostarczania energii, przedsiębiorstwo energetyczne jest obowiązane wznowić dostarczanie energii w terminie 3 dni k</w:t>
      </w:r>
      <w:r w:rsidR="004E27A6" w:rsidRPr="003B2D34">
        <w:rPr>
          <w:rFonts w:eastAsia="Times New Roman"/>
        </w:rPr>
        <w:t>alendarzowych od dnia otrzymania reklamacji i kontynuować dostarczanie energii do czasu jej rozpatrzenia.</w:t>
      </w:r>
      <w:r w:rsidR="00004BA7" w:rsidRPr="003B2D34">
        <w:rPr>
          <w:rFonts w:eastAsia="Times New Roman"/>
        </w:rPr>
        <w:t xml:space="preserve"> Jeżeli OSDn na żądanie sprzedawcy wstrzymał dostarczanie energii elektrycznej od odbiorcy </w:t>
      </w:r>
      <w:r w:rsidR="00EC7E6E">
        <w:rPr>
          <w:rFonts w:eastAsia="Times New Roman"/>
        </w:rPr>
        <w:br/>
      </w:r>
      <w:r w:rsidR="00004BA7" w:rsidRPr="003B2D34">
        <w:rPr>
          <w:rFonts w:eastAsia="Times New Roman"/>
        </w:rPr>
        <w:t xml:space="preserve">w gospodarstwie domowym, z przyczyn określonych w pkt. II.2.2.1.a) lub II.2.2.2., </w:t>
      </w:r>
      <w:r w:rsidR="00AB5237">
        <w:rPr>
          <w:rFonts w:eastAsia="Times New Roman"/>
        </w:rPr>
        <w:br/>
      </w:r>
      <w:r w:rsidR="00004BA7" w:rsidRPr="003B2D34">
        <w:rPr>
          <w:rFonts w:eastAsia="Times New Roman"/>
        </w:rPr>
        <w:t xml:space="preserve">i taki odbiorca złożył do sprzedawcy reklamację na wstrzymanie dostarczania energii, sprzedawca jest zobowiązany złożyć do OSDn niezwłocznie, jednak nie później niż do godz. 11.00 dnia następnego po otrzymaniu reklamacji tego odbiorcy, wniosek </w:t>
      </w:r>
      <w:r w:rsidR="00AB5237">
        <w:rPr>
          <w:rFonts w:eastAsia="Times New Roman"/>
        </w:rPr>
        <w:br/>
      </w:r>
      <w:r w:rsidR="00004BA7" w:rsidRPr="003B2D34">
        <w:rPr>
          <w:rFonts w:eastAsia="Times New Roman"/>
        </w:rPr>
        <w:t xml:space="preserve">o wznowienie dostarczania energii elektrycznej, a OSDn wznawia i kontynuuje dostarczanie energii elektrycznej do czasu rozpatrzenia reklamacji przez sprzedawcę. Łączny czas liczony od otrzymania przez sprzedawcę reklamacji odbiorcy </w:t>
      </w:r>
      <w:r w:rsidR="00AB5237">
        <w:rPr>
          <w:rFonts w:eastAsia="Times New Roman"/>
        </w:rPr>
        <w:br/>
      </w:r>
      <w:r w:rsidR="00004BA7" w:rsidRPr="003B2D34">
        <w:rPr>
          <w:rFonts w:eastAsia="Times New Roman"/>
        </w:rPr>
        <w:t>w gospodarstwie domowym, do wznowienia przez OSDn dostarczania energii elektrycznej</w:t>
      </w:r>
      <w:r w:rsidR="004452DE" w:rsidRPr="003B2D34">
        <w:rPr>
          <w:rFonts w:eastAsia="Times New Roman"/>
        </w:rPr>
        <w:t>, nie może być dłuższy niż 3 dni.</w:t>
      </w:r>
    </w:p>
    <w:p w14:paraId="0A1F92B0" w14:textId="77777777" w:rsidR="00751AB9" w:rsidRPr="003B2D34" w:rsidRDefault="00751AB9">
      <w:pPr>
        <w:numPr>
          <w:ilvl w:val="0"/>
          <w:numId w:val="59"/>
        </w:numPr>
        <w:spacing w:line="238" w:lineRule="auto"/>
        <w:ind w:left="993" w:hanging="993"/>
        <w:jc w:val="both"/>
        <w:rPr>
          <w:rFonts w:eastAsia="Times New Roman"/>
        </w:rPr>
      </w:pPr>
      <w:r w:rsidRPr="003B2D34">
        <w:rPr>
          <w:rFonts w:eastAsia="Times New Roman"/>
        </w:rPr>
        <w:t xml:space="preserve">W przypadku gdy reklamacja, o której mowa w pkt. II.2.3.10. nie została pozytywnie </w:t>
      </w:r>
      <w:r w:rsidR="00AE52DC" w:rsidRPr="003B2D34">
        <w:rPr>
          <w:rFonts w:eastAsia="Times New Roman"/>
        </w:rPr>
        <w:t xml:space="preserve">rozpatrzona przez przedsiębiorstwo energetyczne i odbiorca wymieniony w pkt. II.2.2.10. wystąpił do Prezesa </w:t>
      </w:r>
      <w:r w:rsidR="00B05791" w:rsidRPr="003B2D34">
        <w:rPr>
          <w:rFonts w:eastAsia="Times New Roman"/>
        </w:rPr>
        <w:t>Urzędu Regulacji Energetyki</w:t>
      </w:r>
      <w:r w:rsidR="000157C0">
        <w:rPr>
          <w:rFonts w:eastAsia="Times New Roman"/>
        </w:rPr>
        <w:t xml:space="preserve"> </w:t>
      </w:r>
      <w:r w:rsidR="00B05791" w:rsidRPr="003B2D34">
        <w:rPr>
          <w:rFonts w:eastAsia="Times New Roman"/>
        </w:rPr>
        <w:t xml:space="preserve">o rozpatrzenie sporu </w:t>
      </w:r>
      <w:r w:rsidR="000157C0">
        <w:rPr>
          <w:rFonts w:eastAsia="Times New Roman"/>
        </w:rPr>
        <w:br/>
      </w:r>
      <w:r w:rsidR="00B05791" w:rsidRPr="003B2D34">
        <w:rPr>
          <w:rFonts w:eastAsia="Times New Roman"/>
        </w:rPr>
        <w:t>w tym zakresie, pr</w:t>
      </w:r>
      <w:r w:rsidR="0082031C" w:rsidRPr="003B2D34">
        <w:rPr>
          <w:rFonts w:eastAsia="Times New Roman"/>
        </w:rPr>
        <w:t>zedsiębiorstwo, o którym mowa</w:t>
      </w:r>
      <w:r w:rsidR="000157C0">
        <w:rPr>
          <w:rFonts w:eastAsia="Times New Roman"/>
        </w:rPr>
        <w:t xml:space="preserve"> </w:t>
      </w:r>
      <w:r w:rsidR="0082031C" w:rsidRPr="003B2D34">
        <w:rPr>
          <w:rFonts w:eastAsia="Times New Roman"/>
        </w:rPr>
        <w:t>w pkt. II.2.3.10. jest obowiązane kontynuować dostarczanie energii do czasu wydania decyzji przez Prezesa Urzędu Regulacji Energetyki.</w:t>
      </w:r>
      <w:r w:rsidR="004553D4" w:rsidRPr="003B2D34">
        <w:rPr>
          <w:rFonts w:eastAsia="Times New Roman"/>
        </w:rPr>
        <w:t xml:space="preserve"> </w:t>
      </w:r>
    </w:p>
    <w:p w14:paraId="784B0FB3" w14:textId="77777777" w:rsidR="004553D4" w:rsidRPr="003B2D34" w:rsidRDefault="004553D4">
      <w:pPr>
        <w:numPr>
          <w:ilvl w:val="0"/>
          <w:numId w:val="59"/>
        </w:numPr>
        <w:spacing w:line="238" w:lineRule="auto"/>
        <w:ind w:left="993" w:hanging="993"/>
        <w:jc w:val="both"/>
        <w:rPr>
          <w:rFonts w:eastAsia="Times New Roman"/>
        </w:rPr>
      </w:pPr>
      <w:r w:rsidRPr="003B2D34">
        <w:rPr>
          <w:rFonts w:eastAsia="Times New Roman"/>
        </w:rPr>
        <w:lastRenderedPageBreak/>
        <w:t>Przepisów pkt. II.2.2.10. oraz II.2.2.11. nie stosuje się w przypadku, gdy wstrzymanie dostarczania energii nastąpiło z przyczyn</w:t>
      </w:r>
      <w:r w:rsidR="00616508" w:rsidRPr="003B2D34">
        <w:rPr>
          <w:rFonts w:eastAsia="Times New Roman"/>
        </w:rPr>
        <w:t>, o których mowa w II.2.2.4. albo rozwiązaniu sporu przez Koordynatora na niekorzyść odbiorcy.</w:t>
      </w:r>
    </w:p>
    <w:p w14:paraId="72A634D8" w14:textId="77777777" w:rsidR="008F2A77" w:rsidRPr="003B2D34" w:rsidRDefault="008332D3">
      <w:pPr>
        <w:numPr>
          <w:ilvl w:val="0"/>
          <w:numId w:val="59"/>
        </w:numPr>
        <w:spacing w:line="238" w:lineRule="auto"/>
        <w:ind w:left="993" w:hanging="993"/>
        <w:jc w:val="both"/>
        <w:rPr>
          <w:rFonts w:eastAsia="Times New Roman"/>
        </w:rPr>
      </w:pPr>
      <w:r w:rsidRPr="003B2D34">
        <w:rPr>
          <w:rFonts w:eastAsia="Times New Roman"/>
        </w:rPr>
        <w:t xml:space="preserve">W przypadku wystąpienia przez odbiorcę, o którym mowa w pkt. II.2.2.7. </w:t>
      </w:r>
      <w:r w:rsidRPr="003B2D34">
        <w:rPr>
          <w:rFonts w:eastAsia="Times New Roman"/>
        </w:rPr>
        <w:br/>
        <w:t xml:space="preserve">z wnioskiem </w:t>
      </w:r>
      <w:r w:rsidR="005C17D6" w:rsidRPr="003B2D34">
        <w:rPr>
          <w:rFonts w:eastAsia="Times New Roman"/>
        </w:rPr>
        <w:t xml:space="preserve">o wszczęcie postępowania przed Koordynatorem albo z wnioskiem </w:t>
      </w:r>
      <w:r w:rsidR="005C17D6" w:rsidRPr="003B2D34">
        <w:rPr>
          <w:rFonts w:eastAsia="Times New Roman"/>
        </w:rPr>
        <w:br/>
        <w:t xml:space="preserve">o rozstrzygnięcie sporu przez Prezesa Urzędu Regulacji Energetyki, przedsiębiorstwo </w:t>
      </w:r>
      <w:r w:rsidR="00743B4D" w:rsidRPr="003B2D34">
        <w:rPr>
          <w:rFonts w:eastAsia="Times New Roman"/>
        </w:rPr>
        <w:t>energetyczne, o którym mowa w pkt. II.2.2.1. może zains</w:t>
      </w:r>
      <w:r w:rsidR="00683A27" w:rsidRPr="003B2D34">
        <w:rPr>
          <w:rFonts w:eastAsia="Times New Roman"/>
        </w:rPr>
        <w:t xml:space="preserve">talować przedpłatowy układ pomiarowo-rozliczeniowy temu odbiorcy. Koszt zainstalowania tego układu ponosi przedsiębiorstwo energetyczne. </w:t>
      </w:r>
      <w:r w:rsidR="005C17D6" w:rsidRPr="003B2D34">
        <w:rPr>
          <w:rFonts w:eastAsia="Times New Roman"/>
        </w:rPr>
        <w:t xml:space="preserve"> </w:t>
      </w:r>
    </w:p>
    <w:p w14:paraId="6D46352E" w14:textId="77777777" w:rsidR="00525808" w:rsidRPr="003B2D34" w:rsidRDefault="00525808">
      <w:pPr>
        <w:numPr>
          <w:ilvl w:val="0"/>
          <w:numId w:val="59"/>
        </w:numPr>
        <w:spacing w:line="238" w:lineRule="auto"/>
        <w:ind w:left="993" w:hanging="993"/>
        <w:jc w:val="both"/>
        <w:rPr>
          <w:rFonts w:eastAsia="Times New Roman"/>
        </w:rPr>
      </w:pPr>
      <w:r w:rsidRPr="003B2D34">
        <w:rPr>
          <w:rFonts w:eastAsia="Times New Roman"/>
        </w:rPr>
        <w:t xml:space="preserve">W przypadku, o którym mowa w pkt. II.2.2.2., OSDn bez zbędnej zwłoki wstrzymuje dostarczanie energii elektrycznej, jednak nie później niż w terminie </w:t>
      </w:r>
      <w:r w:rsidR="006C4850">
        <w:rPr>
          <w:rFonts w:eastAsia="Times New Roman"/>
        </w:rPr>
        <w:br/>
      </w:r>
      <w:r w:rsidRPr="003B2D34">
        <w:rPr>
          <w:rFonts w:eastAsia="Times New Roman"/>
        </w:rPr>
        <w:t>4 dni roboczych od dnia otrzymania żądania wstrzymania od sprzedawcy. Sprzedawca ma prawo anulowania żądania wstrzymania dostarczania energii, poprzez złożenie do OSDn wniosku o wznowienie dostarczania energii. W takim przypadku OSDn podejmie kroki w celu niedopuszczenia do wstrzymania dostarczania energii elektrycznej, jednak nie ponosi odpowiedzialności w sytuacji, w której anulowanie wniosku o wstrzymanie nie było możliwe.</w:t>
      </w:r>
    </w:p>
    <w:p w14:paraId="39732983" w14:textId="77777777" w:rsidR="00572BA3" w:rsidRPr="003B2D34" w:rsidRDefault="00572BA3">
      <w:pPr>
        <w:numPr>
          <w:ilvl w:val="0"/>
          <w:numId w:val="59"/>
        </w:numPr>
        <w:spacing w:line="0" w:lineRule="atLeast"/>
        <w:ind w:left="993" w:hanging="993"/>
        <w:rPr>
          <w:rFonts w:eastAsia="Times New Roman"/>
        </w:rPr>
      </w:pPr>
      <w:r w:rsidRPr="003B2D34">
        <w:rPr>
          <w:rFonts w:eastAsia="Times New Roman"/>
        </w:rPr>
        <w:t>W przypadku wystąpienia:</w:t>
      </w:r>
    </w:p>
    <w:p w14:paraId="120C4D8D" w14:textId="77777777" w:rsidR="00572BA3" w:rsidRPr="003B2D34" w:rsidRDefault="00572BA3">
      <w:pPr>
        <w:numPr>
          <w:ilvl w:val="1"/>
          <w:numId w:val="60"/>
        </w:numPr>
        <w:spacing w:line="0" w:lineRule="atLeast"/>
        <w:ind w:left="1276" w:hanging="283"/>
        <w:rPr>
          <w:rFonts w:eastAsia="Times New Roman"/>
        </w:rPr>
      </w:pPr>
      <w:r w:rsidRPr="003B2D34">
        <w:rPr>
          <w:rFonts w:eastAsia="Times New Roman"/>
        </w:rPr>
        <w:t>masowych awarii sieci elektroenergetycznych,</w:t>
      </w:r>
    </w:p>
    <w:p w14:paraId="7D07CE38" w14:textId="77777777" w:rsidR="00572BA3" w:rsidRPr="003B2D34" w:rsidRDefault="00572BA3">
      <w:pPr>
        <w:numPr>
          <w:ilvl w:val="1"/>
          <w:numId w:val="60"/>
        </w:numPr>
        <w:spacing w:line="0" w:lineRule="atLeast"/>
        <w:ind w:left="1276" w:hanging="283"/>
        <w:rPr>
          <w:rFonts w:eastAsia="Times New Roman"/>
        </w:rPr>
      </w:pPr>
      <w:bookmarkStart w:id="18" w:name="page32"/>
      <w:bookmarkEnd w:id="18"/>
      <w:r w:rsidRPr="003B2D34">
        <w:rPr>
          <w:rFonts w:eastAsia="Times New Roman"/>
        </w:rPr>
        <w:t>przerw katastrofalnych powodujących ograniczenia techniczne i organizacyjne,</w:t>
      </w:r>
    </w:p>
    <w:p w14:paraId="2F7F3CCC" w14:textId="77777777" w:rsidR="00572BA3" w:rsidRPr="003B2D34" w:rsidRDefault="00572BA3">
      <w:pPr>
        <w:numPr>
          <w:ilvl w:val="1"/>
          <w:numId w:val="60"/>
        </w:numPr>
        <w:spacing w:line="0" w:lineRule="atLeast"/>
        <w:ind w:left="1276" w:hanging="283"/>
        <w:rPr>
          <w:rFonts w:eastAsia="Times New Roman"/>
        </w:rPr>
      </w:pPr>
      <w:r w:rsidRPr="003B2D34">
        <w:rPr>
          <w:rFonts w:eastAsia="Times New Roman"/>
        </w:rPr>
        <w:t>konieczności wykonania wyłączeń planowych,</w:t>
      </w:r>
    </w:p>
    <w:p w14:paraId="3F4C1ABA" w14:textId="77777777" w:rsidR="00572BA3" w:rsidRPr="003B2D34" w:rsidRDefault="00572BA3">
      <w:pPr>
        <w:numPr>
          <w:ilvl w:val="1"/>
          <w:numId w:val="60"/>
        </w:numPr>
        <w:spacing w:line="0" w:lineRule="atLeast"/>
        <w:ind w:left="1276" w:hanging="283"/>
        <w:rPr>
          <w:rFonts w:eastAsia="Times New Roman"/>
        </w:rPr>
      </w:pPr>
      <w:r w:rsidRPr="003B2D34">
        <w:rPr>
          <w:rFonts w:eastAsia="Times New Roman"/>
        </w:rPr>
        <w:t>braku technicznych możliwości wstrzymania dostarczania energii,</w:t>
      </w:r>
    </w:p>
    <w:p w14:paraId="65AA2962" w14:textId="77777777" w:rsidR="00572BA3" w:rsidRPr="003B2D34" w:rsidRDefault="00572BA3" w:rsidP="000157C0">
      <w:pPr>
        <w:spacing w:line="0" w:lineRule="atLeast"/>
        <w:ind w:left="1276" w:hanging="283"/>
        <w:rPr>
          <w:rFonts w:eastAsia="Times New Roman"/>
        </w:rPr>
      </w:pPr>
      <w:r w:rsidRPr="003B2D34">
        <w:rPr>
          <w:rFonts w:eastAsia="Times New Roman"/>
        </w:rPr>
        <w:t>termin, o którym w pkt. II.</w:t>
      </w:r>
      <w:r w:rsidR="00596CD0" w:rsidRPr="003B2D34">
        <w:rPr>
          <w:rFonts w:eastAsia="Times New Roman"/>
        </w:rPr>
        <w:t>2</w:t>
      </w:r>
      <w:r w:rsidRPr="003B2D34">
        <w:rPr>
          <w:rFonts w:eastAsia="Times New Roman"/>
        </w:rPr>
        <w:t>.2.</w:t>
      </w:r>
      <w:r w:rsidR="00204883" w:rsidRPr="003B2D34">
        <w:rPr>
          <w:rFonts w:eastAsia="Times New Roman"/>
        </w:rPr>
        <w:t>7.</w:t>
      </w:r>
      <w:r w:rsidRPr="003B2D34">
        <w:rPr>
          <w:rFonts w:eastAsia="Times New Roman"/>
        </w:rPr>
        <w:t xml:space="preserve"> może ulec wydłużeniu.</w:t>
      </w:r>
    </w:p>
    <w:p w14:paraId="4C02904F" w14:textId="77777777" w:rsidR="00572BA3" w:rsidRPr="003B2D34" w:rsidRDefault="006E0535">
      <w:pPr>
        <w:numPr>
          <w:ilvl w:val="0"/>
          <w:numId w:val="59"/>
        </w:numPr>
        <w:spacing w:line="236" w:lineRule="auto"/>
        <w:ind w:left="993" w:hanging="993"/>
        <w:jc w:val="both"/>
        <w:rPr>
          <w:rFonts w:eastAsia="Times New Roman"/>
        </w:rPr>
      </w:pPr>
      <w:r w:rsidRPr="003B2D34">
        <w:rPr>
          <w:rFonts w:eastAsia="Times New Roman"/>
        </w:rPr>
        <w:t xml:space="preserve">OSDn </w:t>
      </w:r>
      <w:r w:rsidR="00572BA3" w:rsidRPr="003B2D34">
        <w:rPr>
          <w:rFonts w:eastAsia="Times New Roman"/>
        </w:rPr>
        <w:t>powiadamia sprzedawcę o wstrzymaniu lub wznowieniu dostarczania energii elektrycznej, w terminie do trzech dni roboczych od dokonania wstrzymania lub wznowienia dostarczania energii elektrycznej.</w:t>
      </w:r>
    </w:p>
    <w:p w14:paraId="1966FC45" w14:textId="77777777" w:rsidR="00572BA3" w:rsidRPr="003B2D34" w:rsidRDefault="00572BA3">
      <w:pPr>
        <w:numPr>
          <w:ilvl w:val="0"/>
          <w:numId w:val="59"/>
        </w:numPr>
        <w:spacing w:line="238" w:lineRule="auto"/>
        <w:ind w:left="993" w:hanging="993"/>
        <w:jc w:val="both"/>
        <w:rPr>
          <w:rFonts w:eastAsia="Times New Roman"/>
        </w:rPr>
      </w:pPr>
      <w:r w:rsidRPr="003B2D34">
        <w:rPr>
          <w:rFonts w:eastAsia="Times New Roman"/>
        </w:rPr>
        <w:t>Jeżeli nie doszło do wstrzymania lub wznowienia dostarczania energii elektrycznej na żądanie lub wniosek sprzedawcy w terminach</w:t>
      </w:r>
      <w:r w:rsidR="00787DD4" w:rsidRPr="003B2D34">
        <w:rPr>
          <w:rFonts w:eastAsia="Times New Roman"/>
        </w:rPr>
        <w:t>,</w:t>
      </w:r>
      <w:r w:rsidRPr="003B2D34">
        <w:rPr>
          <w:rFonts w:eastAsia="Times New Roman"/>
        </w:rPr>
        <w:t xml:space="preserve"> o których mowa w pkt. II.</w:t>
      </w:r>
      <w:r w:rsidR="00596CD0" w:rsidRPr="003B2D34">
        <w:rPr>
          <w:rFonts w:eastAsia="Times New Roman"/>
        </w:rPr>
        <w:t>2</w:t>
      </w:r>
      <w:r w:rsidRPr="003B2D34">
        <w:rPr>
          <w:rFonts w:eastAsia="Times New Roman"/>
        </w:rPr>
        <w:t xml:space="preserve">.2., </w:t>
      </w:r>
      <w:r w:rsidR="001106A5" w:rsidRPr="003B2D34">
        <w:rPr>
          <w:rFonts w:eastAsia="Times New Roman"/>
        </w:rPr>
        <w:br/>
      </w:r>
      <w:r w:rsidRPr="003B2D34">
        <w:rPr>
          <w:rFonts w:eastAsia="Times New Roman"/>
        </w:rPr>
        <w:t xml:space="preserve">w tym z przyczyn niezależnych od </w:t>
      </w:r>
      <w:r w:rsidR="001106A5" w:rsidRPr="003B2D34">
        <w:rPr>
          <w:rFonts w:eastAsia="Times New Roman"/>
        </w:rPr>
        <w:t>OSDn</w:t>
      </w:r>
      <w:r w:rsidRPr="003B2D34">
        <w:rPr>
          <w:rFonts w:eastAsia="Times New Roman"/>
        </w:rPr>
        <w:t xml:space="preserve">, </w:t>
      </w:r>
      <w:r w:rsidR="001106A5" w:rsidRPr="003B2D34">
        <w:rPr>
          <w:rFonts w:eastAsia="Times New Roman"/>
        </w:rPr>
        <w:t>OSDn</w:t>
      </w:r>
      <w:r w:rsidRPr="003B2D34">
        <w:rPr>
          <w:rFonts w:eastAsia="Times New Roman"/>
        </w:rPr>
        <w:t xml:space="preserve"> w terminie do trzech dni roboczych po upływie tych terminów, powiadomi o tym fakcie sprzedawcę, wskazując przyczyny uniemożliwiające wstrzymanie lub wznowienie dostarczania energii elektrycznej.</w:t>
      </w:r>
    </w:p>
    <w:p w14:paraId="1EE8A72E" w14:textId="77777777" w:rsidR="001106A5" w:rsidRPr="003B2D34" w:rsidRDefault="00572BA3">
      <w:pPr>
        <w:numPr>
          <w:ilvl w:val="0"/>
          <w:numId w:val="59"/>
        </w:numPr>
        <w:spacing w:line="238" w:lineRule="auto"/>
        <w:ind w:left="993" w:hanging="993"/>
        <w:jc w:val="both"/>
        <w:rPr>
          <w:rFonts w:eastAsia="Times New Roman"/>
        </w:rPr>
      </w:pPr>
      <w:r w:rsidRPr="003B2D34">
        <w:rPr>
          <w:rFonts w:eastAsia="Times New Roman"/>
        </w:rPr>
        <w:t>Wymiana informacji o których mowa w pkt. II.</w:t>
      </w:r>
      <w:r w:rsidR="00596CD0" w:rsidRPr="003B2D34">
        <w:rPr>
          <w:rFonts w:eastAsia="Times New Roman"/>
        </w:rPr>
        <w:t>2</w:t>
      </w:r>
      <w:r w:rsidRPr="003B2D34">
        <w:rPr>
          <w:rFonts w:eastAsia="Times New Roman"/>
        </w:rPr>
        <w:t xml:space="preserve">.2., między </w:t>
      </w:r>
      <w:r w:rsidR="001106A5" w:rsidRPr="003B2D34">
        <w:rPr>
          <w:rFonts w:eastAsia="Times New Roman"/>
        </w:rPr>
        <w:t>OSDn</w:t>
      </w:r>
      <w:r w:rsidRPr="003B2D34">
        <w:rPr>
          <w:rFonts w:eastAsia="Times New Roman"/>
        </w:rPr>
        <w:t xml:space="preserve"> i sprzedawcą odbywa się </w:t>
      </w:r>
      <w:r w:rsidR="0013155B" w:rsidRPr="003B2D34">
        <w:rPr>
          <w:rFonts w:eastAsia="Times New Roman"/>
        </w:rPr>
        <w:t xml:space="preserve">w sposób określony w pkt. </w:t>
      </w:r>
      <w:r w:rsidR="00D51456" w:rsidRPr="003B2D34">
        <w:rPr>
          <w:rFonts w:eastAsia="Times New Roman"/>
        </w:rPr>
        <w:t>A</w:t>
      </w:r>
      <w:r w:rsidR="0013155B" w:rsidRPr="003B2D34">
        <w:rPr>
          <w:rFonts w:eastAsia="Times New Roman"/>
        </w:rPr>
        <w:t>.9.</w:t>
      </w:r>
    </w:p>
    <w:p w14:paraId="24A205F4" w14:textId="1818FF14" w:rsidR="00361976" w:rsidRDefault="00361976" w:rsidP="00EA6CEA">
      <w:pPr>
        <w:spacing w:before="91" w:line="249" w:lineRule="auto"/>
        <w:ind w:left="993" w:right="60" w:hanging="993"/>
        <w:jc w:val="both"/>
        <w:rPr>
          <w:rFonts w:cs="Times New Roman"/>
          <w:color w:val="000000"/>
          <w:sz w:val="21"/>
        </w:rPr>
      </w:pPr>
      <w:r>
        <w:rPr>
          <w:rFonts w:cs="Times New Roman"/>
          <w:color w:val="000000"/>
          <w:w w:val="105"/>
          <w:szCs w:val="24"/>
        </w:rPr>
        <w:t>II.2.2.19. W przypadku, gdy odbiorca wrażliwy energii elektrycznej złoży wniosek do OSDn o zainstalowanie przedpłatowego układu pomiarowo­ rozliczeniowego OSDn jest obowiązany zainstalować taki układ, w terminie 21 dni kalendarzowych od dnia otrzymania wniosku. W takim przypadku koszty zainstalowania przedpłatowego układu pomiarowo-rozliczeniowego ponosi OSDn.</w:t>
      </w:r>
    </w:p>
    <w:p w14:paraId="76CB2419" w14:textId="77777777" w:rsidR="00361976" w:rsidRDefault="00361976" w:rsidP="00EA6CEA">
      <w:pPr>
        <w:pStyle w:val="Akapitzlist"/>
        <w:widowControl w:val="0"/>
        <w:autoSpaceDE w:val="0"/>
        <w:autoSpaceDN w:val="0"/>
        <w:ind w:left="1134" w:right="202" w:hanging="1134"/>
        <w:jc w:val="both"/>
        <w:rPr>
          <w:rFonts w:cs="Times New Roman"/>
          <w:color w:val="000000"/>
          <w:szCs w:val="24"/>
        </w:rPr>
      </w:pPr>
      <w:r>
        <w:rPr>
          <w:rFonts w:cs="Times New Roman"/>
          <w:color w:val="000000"/>
          <w:w w:val="105"/>
          <w:szCs w:val="24"/>
        </w:rPr>
        <w:t xml:space="preserve">II.2.2.20. OSDn, w tym na żądanie sprzedawcy, w przypadku zaległości </w:t>
      </w:r>
      <w:r>
        <w:rPr>
          <w:rFonts w:cs="Times New Roman"/>
          <w:color w:val="000000"/>
          <w:w w:val="105"/>
          <w:szCs w:val="24"/>
        </w:rPr>
        <w:br/>
        <w:t>w płatnościach za energię elektryczną lub świadczone usługi dystrybucji energii elektrycznej, nie wstrzymuje dostarczania energii</w:t>
      </w:r>
      <w:r>
        <w:rPr>
          <w:rFonts w:cs="Times New Roman"/>
          <w:color w:val="000000"/>
          <w:spacing w:val="1"/>
          <w:w w:val="105"/>
          <w:szCs w:val="24"/>
        </w:rPr>
        <w:t xml:space="preserve"> </w:t>
      </w:r>
      <w:r>
        <w:rPr>
          <w:rFonts w:cs="Times New Roman"/>
          <w:color w:val="000000"/>
          <w:w w:val="105"/>
          <w:szCs w:val="24"/>
        </w:rPr>
        <w:t>elektrycznej:</w:t>
      </w:r>
    </w:p>
    <w:p w14:paraId="6A34D7B4" w14:textId="77777777" w:rsidR="00361976" w:rsidRDefault="00361976">
      <w:pPr>
        <w:pStyle w:val="Akapitzlist"/>
        <w:widowControl w:val="0"/>
        <w:numPr>
          <w:ilvl w:val="4"/>
          <w:numId w:val="287"/>
        </w:numPr>
        <w:autoSpaceDE w:val="0"/>
        <w:autoSpaceDN w:val="0"/>
        <w:spacing w:before="4"/>
        <w:ind w:left="1276" w:hanging="142"/>
        <w:jc w:val="both"/>
        <w:rPr>
          <w:rFonts w:cs="Times New Roman"/>
          <w:color w:val="000000"/>
          <w:szCs w:val="24"/>
        </w:rPr>
      </w:pPr>
      <w:r>
        <w:rPr>
          <w:rFonts w:cs="Times New Roman"/>
          <w:color w:val="000000"/>
          <w:w w:val="105"/>
          <w:szCs w:val="24"/>
        </w:rPr>
        <w:t>odbiorcy wrażliwemu energii</w:t>
      </w:r>
      <w:r>
        <w:rPr>
          <w:rFonts w:cs="Times New Roman"/>
          <w:color w:val="000000"/>
          <w:spacing w:val="13"/>
          <w:w w:val="105"/>
          <w:szCs w:val="24"/>
        </w:rPr>
        <w:t xml:space="preserve"> </w:t>
      </w:r>
      <w:r>
        <w:rPr>
          <w:rFonts w:cs="Times New Roman"/>
          <w:color w:val="000000"/>
          <w:w w:val="105"/>
          <w:szCs w:val="24"/>
        </w:rPr>
        <w:t>elektrycznej,</w:t>
      </w:r>
    </w:p>
    <w:p w14:paraId="084401B7" w14:textId="77777777" w:rsidR="00361976" w:rsidRDefault="00361976">
      <w:pPr>
        <w:pStyle w:val="Akapitzlist"/>
        <w:widowControl w:val="0"/>
        <w:numPr>
          <w:ilvl w:val="4"/>
          <w:numId w:val="287"/>
        </w:numPr>
        <w:autoSpaceDE w:val="0"/>
        <w:autoSpaceDN w:val="0"/>
        <w:spacing w:before="12"/>
        <w:ind w:left="1276" w:right="202" w:hanging="142"/>
        <w:jc w:val="both"/>
        <w:rPr>
          <w:rFonts w:cs="Times New Roman"/>
          <w:color w:val="000000"/>
          <w:szCs w:val="24"/>
        </w:rPr>
      </w:pPr>
      <w:r>
        <w:rPr>
          <w:rFonts w:cs="Times New Roman"/>
          <w:color w:val="000000"/>
          <w:w w:val="105"/>
          <w:szCs w:val="24"/>
        </w:rPr>
        <w:t>odbiorcy w gospodarstwie domowym, jeżeli ten odbiorca lub członek jego gospodarstwa domowego jest osobą objętą opieką długoterminową domową, w związku z przewlekłą niewydolnością oddechową, wymagającą wentylacji mechanicznej</w:t>
      </w:r>
    </w:p>
    <w:p w14:paraId="34027D7B" w14:textId="77777777" w:rsidR="00361976" w:rsidRDefault="00361976" w:rsidP="00EA6CEA">
      <w:pPr>
        <w:ind w:left="1134" w:right="202" w:hanging="2"/>
        <w:jc w:val="both"/>
        <w:rPr>
          <w:rFonts w:cs="Times New Roman"/>
          <w:color w:val="000000"/>
          <w:szCs w:val="24"/>
        </w:rPr>
      </w:pPr>
      <w:r>
        <w:rPr>
          <w:rFonts w:cs="Times New Roman"/>
          <w:color w:val="000000"/>
          <w:szCs w:val="24"/>
        </w:rPr>
        <w:t xml:space="preserve">w okresie od dnia I listopada do dnia 31 marca oraz w soboty, w dni uznane ustawowo za wolne od pracy w rozumieniu ustawy z dnia 18 stycznia 1951 r. </w:t>
      </w:r>
      <w:r>
        <w:rPr>
          <w:rFonts w:cs="Times New Roman"/>
          <w:color w:val="000000"/>
          <w:szCs w:val="24"/>
        </w:rPr>
        <w:br/>
      </w:r>
      <w:r>
        <w:rPr>
          <w:rFonts w:cs="Times New Roman"/>
          <w:color w:val="000000"/>
          <w:szCs w:val="24"/>
        </w:rPr>
        <w:lastRenderedPageBreak/>
        <w:t>o dniach wolnych od pracy (Dz.U. z 2020 r. poz. 1920) i w dni bezpośrednio poprzedzające te dni.</w:t>
      </w:r>
    </w:p>
    <w:p w14:paraId="5E94B3C5" w14:textId="77777777" w:rsidR="00361976" w:rsidRDefault="00361976" w:rsidP="00EA6CEA">
      <w:pPr>
        <w:spacing w:before="3"/>
        <w:ind w:left="1134" w:right="202" w:hanging="2"/>
        <w:jc w:val="both"/>
        <w:rPr>
          <w:rFonts w:cs="Times New Roman"/>
          <w:color w:val="000000"/>
          <w:szCs w:val="24"/>
        </w:rPr>
      </w:pPr>
      <w:r>
        <w:rPr>
          <w:rFonts w:cs="Times New Roman"/>
          <w:color w:val="000000"/>
          <w:w w:val="105"/>
          <w:szCs w:val="24"/>
        </w:rPr>
        <w:t>Sprzedawca nie może żądać wstrzymania dostarczania energii elektrycznej odbiorcom, o których mowa w lit. a) i</w:t>
      </w:r>
      <w:r>
        <w:rPr>
          <w:rFonts w:cs="Times New Roman"/>
          <w:color w:val="000000"/>
          <w:spacing w:val="11"/>
          <w:w w:val="105"/>
          <w:szCs w:val="24"/>
        </w:rPr>
        <w:t xml:space="preserve"> </w:t>
      </w:r>
      <w:r>
        <w:rPr>
          <w:rFonts w:cs="Times New Roman"/>
          <w:color w:val="000000"/>
          <w:w w:val="105"/>
          <w:szCs w:val="24"/>
        </w:rPr>
        <w:t>b):</w:t>
      </w:r>
    </w:p>
    <w:p w14:paraId="09C16F7A" w14:textId="77777777" w:rsidR="00361976" w:rsidRDefault="00361976">
      <w:pPr>
        <w:numPr>
          <w:ilvl w:val="0"/>
          <w:numId w:val="288"/>
        </w:numPr>
        <w:spacing w:before="22"/>
        <w:ind w:left="1418" w:right="202" w:hanging="284"/>
        <w:jc w:val="both"/>
        <w:rPr>
          <w:rFonts w:cs="Times New Roman"/>
          <w:color w:val="000000"/>
          <w:szCs w:val="24"/>
        </w:rPr>
      </w:pPr>
      <w:r>
        <w:rPr>
          <w:rFonts w:cs="Times New Roman"/>
          <w:color w:val="000000"/>
          <w:w w:val="105"/>
          <w:szCs w:val="24"/>
        </w:rPr>
        <w:t>w okresie od dnia I listopada do dnia 31 marca,</w:t>
      </w:r>
    </w:p>
    <w:p w14:paraId="5CDE45CE" w14:textId="77777777" w:rsidR="00361976" w:rsidRDefault="00361976">
      <w:pPr>
        <w:numPr>
          <w:ilvl w:val="0"/>
          <w:numId w:val="288"/>
        </w:numPr>
        <w:spacing w:before="25"/>
        <w:ind w:left="1418" w:right="202" w:hanging="284"/>
        <w:jc w:val="both"/>
        <w:rPr>
          <w:rFonts w:cs="Times New Roman"/>
          <w:color w:val="000000"/>
          <w:szCs w:val="24"/>
        </w:rPr>
      </w:pPr>
      <w:r>
        <w:rPr>
          <w:rFonts w:cs="Times New Roman"/>
          <w:color w:val="000000"/>
          <w:w w:val="105"/>
          <w:szCs w:val="24"/>
        </w:rPr>
        <w:t xml:space="preserve">w soboty lub w dni uznane ustawowo za wolne od pracy w rozumieniu ustawy z dnia 18 stycznia 1951 r. o dniach wolnych od pracy (Dz.U. </w:t>
      </w:r>
      <w:r>
        <w:rPr>
          <w:rFonts w:cs="Times New Roman"/>
          <w:color w:val="000000"/>
          <w:w w:val="105"/>
          <w:szCs w:val="24"/>
        </w:rPr>
        <w:br/>
        <w:t>z 2020 r. poz. 1920) i w dni bezpośrednio poprzedzające te dni.</w:t>
      </w:r>
    </w:p>
    <w:p w14:paraId="5628C94D" w14:textId="2DCE4BDB" w:rsidR="00361976" w:rsidRDefault="00361976" w:rsidP="00EA6CEA">
      <w:pPr>
        <w:spacing w:before="9"/>
        <w:ind w:left="1134" w:right="202"/>
        <w:jc w:val="both"/>
        <w:rPr>
          <w:rFonts w:cs="Times New Roman"/>
          <w:color w:val="000000"/>
          <w:spacing w:val="2"/>
          <w:w w:val="105"/>
          <w:szCs w:val="24"/>
        </w:rPr>
      </w:pPr>
      <w:r>
        <w:rPr>
          <w:rFonts w:cs="Times New Roman"/>
          <w:color w:val="000000"/>
          <w:w w:val="105"/>
          <w:szCs w:val="24"/>
        </w:rPr>
        <w:t>Powyższych zapisów nie stosuje się w przypadkach wstrzymania dostarczania energii, z przyczyn o których mowa w pkt II.2.2.1.b) oraz w pkt</w:t>
      </w:r>
      <w:r>
        <w:rPr>
          <w:rFonts w:cs="Times New Roman"/>
          <w:color w:val="000000"/>
          <w:spacing w:val="-33"/>
          <w:w w:val="105"/>
          <w:szCs w:val="24"/>
        </w:rPr>
        <w:t xml:space="preserve"> </w:t>
      </w:r>
      <w:r>
        <w:rPr>
          <w:rFonts w:cs="Times New Roman"/>
          <w:color w:val="000000"/>
          <w:spacing w:val="2"/>
          <w:w w:val="105"/>
          <w:szCs w:val="24"/>
        </w:rPr>
        <w:t>II.2.2.4.</w:t>
      </w:r>
    </w:p>
    <w:p w14:paraId="5E624775" w14:textId="77777777" w:rsidR="00D51456" w:rsidRDefault="00D51456" w:rsidP="00D51456">
      <w:pPr>
        <w:pStyle w:val="Akapitzlist"/>
        <w:rPr>
          <w:rFonts w:eastAsia="Times New Roman"/>
        </w:rPr>
      </w:pPr>
    </w:p>
    <w:tbl>
      <w:tblPr>
        <w:tblW w:w="9260" w:type="dxa"/>
        <w:tblLayout w:type="fixed"/>
        <w:tblCellMar>
          <w:left w:w="0" w:type="dxa"/>
          <w:right w:w="0" w:type="dxa"/>
        </w:tblCellMar>
        <w:tblLook w:val="0000" w:firstRow="0" w:lastRow="0" w:firstColumn="0" w:lastColumn="0" w:noHBand="0" w:noVBand="0"/>
      </w:tblPr>
      <w:tblGrid>
        <w:gridCol w:w="880"/>
        <w:gridCol w:w="8380"/>
      </w:tblGrid>
      <w:tr w:rsidR="00CC305F" w14:paraId="1B135155" w14:textId="77777777" w:rsidTr="00E26B85">
        <w:trPr>
          <w:trHeight w:val="1069"/>
        </w:trPr>
        <w:tc>
          <w:tcPr>
            <w:tcW w:w="9260" w:type="dxa"/>
            <w:gridSpan w:val="2"/>
            <w:shd w:val="clear" w:color="auto" w:fill="auto"/>
          </w:tcPr>
          <w:p w14:paraId="7B5C32BC" w14:textId="77777777" w:rsidR="00CC305F" w:rsidRPr="004847F9" w:rsidRDefault="00CC305F" w:rsidP="00CC305F">
            <w:pPr>
              <w:pStyle w:val="Nagwek2"/>
              <w:ind w:left="567" w:hanging="567"/>
              <w:jc w:val="both"/>
            </w:pPr>
            <w:bookmarkStart w:id="19" w:name="_Toc141963872"/>
            <w:r>
              <w:t xml:space="preserve">II.3. WYMAGANIA TECHNICZNE DLA URZĄDZEŃ WYTWÓRCZYCH, SIECI, URZĄDZEŃ ODBIORCÓW, LINII BEZPOŚREDNICH ORAZ UKŁADÓW </w:t>
            </w:r>
            <w:r>
              <w:br/>
              <w:t>I SYSTEMÓW POMIAROWO-ROZLICZENIOWYCH</w:t>
            </w:r>
            <w:bookmarkEnd w:id="19"/>
          </w:p>
        </w:tc>
      </w:tr>
      <w:tr w:rsidR="00572BA3" w14:paraId="3D9D21E4" w14:textId="77777777" w:rsidTr="00E03D0F">
        <w:trPr>
          <w:trHeight w:val="441"/>
        </w:trPr>
        <w:tc>
          <w:tcPr>
            <w:tcW w:w="880" w:type="dxa"/>
            <w:shd w:val="clear" w:color="auto" w:fill="auto"/>
          </w:tcPr>
          <w:p w14:paraId="4F23E73F" w14:textId="77777777" w:rsidR="00572BA3" w:rsidRPr="004847F9" w:rsidRDefault="00572BA3" w:rsidP="00D51456">
            <w:pPr>
              <w:rPr>
                <w:b/>
              </w:rPr>
            </w:pPr>
            <w:r w:rsidRPr="004847F9">
              <w:rPr>
                <w:b/>
              </w:rPr>
              <w:t>II.</w:t>
            </w:r>
            <w:r w:rsidR="00596CD0" w:rsidRPr="004847F9">
              <w:rPr>
                <w:b/>
              </w:rPr>
              <w:t>3</w:t>
            </w:r>
            <w:r w:rsidRPr="004847F9">
              <w:rPr>
                <w:b/>
              </w:rPr>
              <w:t>.1.</w:t>
            </w:r>
          </w:p>
        </w:tc>
        <w:tc>
          <w:tcPr>
            <w:tcW w:w="8380" w:type="dxa"/>
            <w:shd w:val="clear" w:color="auto" w:fill="auto"/>
          </w:tcPr>
          <w:p w14:paraId="2F6B2CA9" w14:textId="77777777" w:rsidR="00572BA3" w:rsidRPr="004847F9" w:rsidRDefault="00572BA3" w:rsidP="00D51456">
            <w:pPr>
              <w:rPr>
                <w:b/>
              </w:rPr>
            </w:pPr>
            <w:r w:rsidRPr="004847F9">
              <w:rPr>
                <w:b/>
              </w:rPr>
              <w:t>Wymagania ogólne</w:t>
            </w:r>
          </w:p>
        </w:tc>
      </w:tr>
      <w:tr w:rsidR="00572BA3" w14:paraId="5BB335E6" w14:textId="77777777" w:rsidTr="00E03D0F">
        <w:trPr>
          <w:trHeight w:val="391"/>
        </w:trPr>
        <w:tc>
          <w:tcPr>
            <w:tcW w:w="880" w:type="dxa"/>
            <w:shd w:val="clear" w:color="auto" w:fill="auto"/>
          </w:tcPr>
          <w:p w14:paraId="502A0124" w14:textId="77777777" w:rsidR="00572BA3" w:rsidRDefault="00572BA3">
            <w:pPr>
              <w:numPr>
                <w:ilvl w:val="0"/>
                <w:numId w:val="61"/>
              </w:numPr>
              <w:spacing w:line="0" w:lineRule="atLeast"/>
              <w:ind w:hanging="720"/>
              <w:rPr>
                <w:rFonts w:eastAsia="Times New Roman"/>
              </w:rPr>
            </w:pPr>
            <w:r>
              <w:rPr>
                <w:rFonts w:eastAsia="Times New Roman"/>
              </w:rPr>
              <w:t>I</w:t>
            </w:r>
          </w:p>
        </w:tc>
        <w:tc>
          <w:tcPr>
            <w:tcW w:w="8380" w:type="dxa"/>
            <w:shd w:val="clear" w:color="auto" w:fill="auto"/>
            <w:vAlign w:val="bottom"/>
          </w:tcPr>
          <w:p w14:paraId="767AAFB2" w14:textId="77777777" w:rsidR="00572BA3" w:rsidRDefault="00572BA3" w:rsidP="002B50D3">
            <w:pPr>
              <w:spacing w:line="0" w:lineRule="atLeast"/>
              <w:ind w:left="117"/>
              <w:jc w:val="both"/>
              <w:rPr>
                <w:rFonts w:eastAsia="Times New Roman"/>
              </w:rPr>
            </w:pPr>
            <w:r>
              <w:rPr>
                <w:rFonts w:eastAsia="Times New Roman"/>
              </w:rPr>
              <w:t xml:space="preserve">Przyłączane do sieci dystrybucyjnej </w:t>
            </w:r>
            <w:r w:rsidR="00373C9E">
              <w:rPr>
                <w:rFonts w:eastAsia="Times New Roman"/>
              </w:rPr>
              <w:t>OSDn</w:t>
            </w:r>
            <w:r>
              <w:rPr>
                <w:rFonts w:eastAsia="Times New Roman"/>
              </w:rPr>
              <w:t xml:space="preserve"> urządzenia, instalacje</w:t>
            </w:r>
            <w:r w:rsidR="00373C9E">
              <w:rPr>
                <w:rFonts w:eastAsia="Times New Roman"/>
              </w:rPr>
              <w:t xml:space="preserve"> i sieci podmiotów ubiegających się o przyłączenie, muszą spełniać wymagania techniczne </w:t>
            </w:r>
            <w:r w:rsidR="00CA0EDE">
              <w:rPr>
                <w:rFonts w:eastAsia="Times New Roman"/>
              </w:rPr>
              <w:br/>
            </w:r>
            <w:r w:rsidR="00373C9E">
              <w:rPr>
                <w:rFonts w:eastAsia="Times New Roman"/>
              </w:rPr>
              <w:t>i eksploatacyjne zapewniające:</w:t>
            </w:r>
          </w:p>
        </w:tc>
      </w:tr>
    </w:tbl>
    <w:p w14:paraId="0527AAAD" w14:textId="77777777" w:rsidR="00572BA3" w:rsidRDefault="00572BA3">
      <w:pPr>
        <w:spacing w:line="120" w:lineRule="exact"/>
        <w:rPr>
          <w:rFonts w:eastAsia="Times New Roman"/>
        </w:rPr>
      </w:pPr>
    </w:p>
    <w:p w14:paraId="5DCB5476" w14:textId="77777777" w:rsidR="00572BA3" w:rsidRDefault="00572BA3" w:rsidP="002B50D3">
      <w:pPr>
        <w:numPr>
          <w:ilvl w:val="0"/>
          <w:numId w:val="12"/>
        </w:numPr>
        <w:spacing w:line="0" w:lineRule="atLeast"/>
        <w:ind w:left="1276" w:hanging="283"/>
        <w:jc w:val="both"/>
        <w:rPr>
          <w:rFonts w:eastAsia="Times New Roman"/>
        </w:rPr>
      </w:pPr>
      <w:r>
        <w:rPr>
          <w:rFonts w:eastAsia="Times New Roman"/>
        </w:rPr>
        <w:t>bezpieczeństwo funkcjonowania systemu elektroenergetycznego,</w:t>
      </w:r>
    </w:p>
    <w:p w14:paraId="5C7413C0" w14:textId="77777777" w:rsidR="00572BA3" w:rsidRDefault="00572BA3" w:rsidP="002B50D3">
      <w:pPr>
        <w:numPr>
          <w:ilvl w:val="0"/>
          <w:numId w:val="12"/>
        </w:numPr>
        <w:spacing w:line="234" w:lineRule="auto"/>
        <w:ind w:left="1276" w:right="40" w:hanging="283"/>
        <w:jc w:val="both"/>
        <w:rPr>
          <w:rFonts w:eastAsia="Times New Roman"/>
        </w:rPr>
      </w:pPr>
      <w:r>
        <w:rPr>
          <w:rFonts w:eastAsia="Times New Roman"/>
        </w:rPr>
        <w:t>zabezpieczenie systemu elektroenergetycznego przed uszkodzeniami spowodowanymi niewłaściwą pracą przyłączonych urządzeń, instalacji i sieci,</w:t>
      </w:r>
    </w:p>
    <w:p w14:paraId="6C268144" w14:textId="77777777" w:rsidR="00572BA3" w:rsidRDefault="00572BA3" w:rsidP="002B50D3">
      <w:pPr>
        <w:numPr>
          <w:ilvl w:val="0"/>
          <w:numId w:val="12"/>
        </w:numPr>
        <w:spacing w:line="236" w:lineRule="auto"/>
        <w:ind w:left="1276" w:right="40" w:hanging="283"/>
        <w:jc w:val="both"/>
        <w:rPr>
          <w:rFonts w:eastAsia="Times New Roman"/>
        </w:rPr>
      </w:pPr>
      <w:r>
        <w:rPr>
          <w:rFonts w:eastAsia="Times New Roman"/>
        </w:rPr>
        <w:t xml:space="preserve">zabezpieczenie przyłączonych urządzeń, instalacji i sieci przed uszkodzeniami </w:t>
      </w:r>
      <w:r w:rsidR="002B50D3">
        <w:rPr>
          <w:rFonts w:eastAsia="Times New Roman"/>
        </w:rPr>
        <w:br/>
      </w:r>
      <w:r>
        <w:rPr>
          <w:rFonts w:eastAsia="Times New Roman"/>
        </w:rPr>
        <w:t>w przypadku awarii lub wprowadzenia ograniczeń w poborze lub dostarczaniu energii,</w:t>
      </w:r>
    </w:p>
    <w:p w14:paraId="1C3A09B6" w14:textId="77777777" w:rsidR="00572BA3" w:rsidRDefault="00572BA3" w:rsidP="002B50D3">
      <w:pPr>
        <w:numPr>
          <w:ilvl w:val="0"/>
          <w:numId w:val="12"/>
        </w:numPr>
        <w:spacing w:line="234" w:lineRule="auto"/>
        <w:ind w:left="1276" w:right="40" w:hanging="283"/>
        <w:jc w:val="both"/>
        <w:rPr>
          <w:rFonts w:eastAsia="Times New Roman"/>
        </w:rPr>
      </w:pPr>
      <w:r>
        <w:rPr>
          <w:rFonts w:eastAsia="Times New Roman"/>
        </w:rPr>
        <w:t>dotrzymanie w miejscu przyłączenia urządzeń, instalacji i sieci parametrów jakościowych energii,</w:t>
      </w:r>
    </w:p>
    <w:p w14:paraId="79935644" w14:textId="77777777" w:rsidR="00572BA3" w:rsidRPr="00341253" w:rsidRDefault="00572BA3" w:rsidP="002B50D3">
      <w:pPr>
        <w:numPr>
          <w:ilvl w:val="0"/>
          <w:numId w:val="12"/>
        </w:numPr>
        <w:spacing w:line="341" w:lineRule="exact"/>
        <w:ind w:left="1276" w:right="40" w:hanging="283"/>
        <w:jc w:val="both"/>
        <w:rPr>
          <w:rFonts w:eastAsia="Times New Roman"/>
        </w:rPr>
      </w:pPr>
      <w:r w:rsidRPr="00341253">
        <w:rPr>
          <w:rFonts w:eastAsia="Times New Roman"/>
        </w:rPr>
        <w:t>spełnianie wymagań w zakresie ochrony środowiska, określonych w odrębnych przepisach,</w:t>
      </w:r>
      <w:bookmarkStart w:id="20" w:name="page33"/>
      <w:bookmarkEnd w:id="20"/>
    </w:p>
    <w:p w14:paraId="24617607" w14:textId="68A9A519" w:rsidR="00572BA3" w:rsidRDefault="00572BA3" w:rsidP="002B50D3">
      <w:pPr>
        <w:numPr>
          <w:ilvl w:val="0"/>
          <w:numId w:val="12"/>
        </w:numPr>
        <w:spacing w:line="234" w:lineRule="auto"/>
        <w:ind w:left="1276" w:right="20" w:hanging="283"/>
        <w:jc w:val="both"/>
        <w:rPr>
          <w:rFonts w:eastAsia="Times New Roman"/>
        </w:rPr>
      </w:pPr>
      <w:r>
        <w:rPr>
          <w:rFonts w:eastAsia="Times New Roman"/>
        </w:rPr>
        <w:t>możliwość dokonywania pomiarów wielkości i parametrów</w:t>
      </w:r>
      <w:r w:rsidR="00B835CA">
        <w:rPr>
          <w:rFonts w:eastAsia="Times New Roman"/>
        </w:rPr>
        <w:t>, w tym</w:t>
      </w:r>
      <w:r>
        <w:rPr>
          <w:rFonts w:eastAsia="Times New Roman"/>
        </w:rPr>
        <w:t xml:space="preserve"> niezbędnych do prowadzenia ruchu sieci oraz rozliczeń.</w:t>
      </w:r>
    </w:p>
    <w:p w14:paraId="49F99FD1" w14:textId="77777777" w:rsidR="00572BA3" w:rsidRDefault="00572BA3">
      <w:pPr>
        <w:numPr>
          <w:ilvl w:val="0"/>
          <w:numId w:val="61"/>
        </w:numPr>
        <w:spacing w:line="237" w:lineRule="auto"/>
        <w:ind w:left="993" w:hanging="993"/>
        <w:jc w:val="both"/>
        <w:rPr>
          <w:rFonts w:eastAsia="Times New Roman"/>
        </w:rPr>
      </w:pPr>
      <w:r>
        <w:rPr>
          <w:rFonts w:eastAsia="Times New Roman"/>
        </w:rPr>
        <w:t>Urządzenia, instalacje i sieci, o których mowa w pkt.II.</w:t>
      </w:r>
      <w:r w:rsidR="003802D6">
        <w:rPr>
          <w:rFonts w:eastAsia="Times New Roman"/>
        </w:rPr>
        <w:t>3</w:t>
      </w:r>
      <w:r>
        <w:rPr>
          <w:rFonts w:eastAsia="Times New Roman"/>
        </w:rPr>
        <w:t xml:space="preserve">.1.1., muszą spełniać także wymagania określone w odrębnych przepisach, w szczególności przepisach: prawa budowlanego, o ochronie przeciwporażeniowej, o ochronie przeciwprzepięciowej, </w:t>
      </w:r>
      <w:r w:rsidR="00E9191E">
        <w:rPr>
          <w:rFonts w:eastAsia="Times New Roman"/>
        </w:rPr>
        <w:br/>
      </w:r>
      <w:r>
        <w:rPr>
          <w:rFonts w:eastAsia="Times New Roman"/>
        </w:rPr>
        <w:t>o ochronie przeciwpożarowej, o systemie oceny zgodności oraz w przepisach dotyczących technologii wytwarzania energii.</w:t>
      </w:r>
    </w:p>
    <w:p w14:paraId="0874F463" w14:textId="77777777" w:rsidR="00572BA3" w:rsidRDefault="00572BA3">
      <w:pPr>
        <w:numPr>
          <w:ilvl w:val="0"/>
          <w:numId w:val="61"/>
        </w:numPr>
        <w:spacing w:line="236" w:lineRule="auto"/>
        <w:ind w:left="993" w:right="20" w:hanging="993"/>
        <w:jc w:val="both"/>
        <w:rPr>
          <w:rFonts w:eastAsia="Times New Roman"/>
        </w:rPr>
      </w:pPr>
      <w:r>
        <w:rPr>
          <w:rFonts w:eastAsia="Times New Roman"/>
        </w:rPr>
        <w:t>Budowa linii bezpośredniej wymaga, przed wydaniem decyzji o pozwoleniu na budowę w rozumieniu przepisów prawa budowlanego, uzyskania zgody Prezesa Urzędu Regulacji Energetyki; zgoda jest udzielana w drodze decyzji.</w:t>
      </w:r>
    </w:p>
    <w:p w14:paraId="09D03D2E" w14:textId="77777777" w:rsidR="00572BA3" w:rsidRDefault="00572BA3">
      <w:pPr>
        <w:numPr>
          <w:ilvl w:val="0"/>
          <w:numId w:val="61"/>
        </w:numPr>
        <w:spacing w:line="238" w:lineRule="auto"/>
        <w:ind w:left="993" w:hanging="993"/>
        <w:jc w:val="both"/>
        <w:rPr>
          <w:rFonts w:eastAsia="Times New Roman"/>
        </w:rPr>
      </w:pPr>
      <w:r>
        <w:rPr>
          <w:rFonts w:eastAsia="Times New Roman"/>
        </w:rPr>
        <w:t xml:space="preserve">Urządzenia, instalacje i sieci podmiotów ubiegających się o przyłączenie oraz podmiotów przyłączonych do sieci dystrybucyjnej </w:t>
      </w:r>
      <w:r w:rsidR="00F60629">
        <w:rPr>
          <w:rFonts w:eastAsia="Times New Roman"/>
        </w:rPr>
        <w:t>OSDn</w:t>
      </w:r>
      <w:r>
        <w:rPr>
          <w:rFonts w:eastAsia="Times New Roman"/>
        </w:rPr>
        <w:t xml:space="preserve"> nie mogą wprowadzać do sieci zaburzeń parametrów technicznych energii elektrycznej powyżej dopuszczalnych poziomów określonych w warunkach </w:t>
      </w:r>
      <w:r w:rsidRPr="00756E71">
        <w:rPr>
          <w:rFonts w:eastAsia="Times New Roman"/>
        </w:rPr>
        <w:t>przyłączenia i/lub pkt.VIII.3.,</w:t>
      </w:r>
      <w:r>
        <w:rPr>
          <w:rFonts w:eastAsia="Times New Roman"/>
        </w:rPr>
        <w:t xml:space="preserve"> powodujących pogorszenie parametrów jakościowych energii elektrycznej określonych odpowiednio w rozporządzeniu wydanym na podstawie delegacji zawartej w ustawie Prawo energetyczne lub w </w:t>
      </w:r>
      <w:r w:rsidRPr="00416C4B">
        <w:rPr>
          <w:rFonts w:eastAsia="Times New Roman"/>
        </w:rPr>
        <w:t>umowie o świadczenie usług dystrybucji lub umowie kompleksowej lub zawartych w pkt.VIII.1.</w:t>
      </w:r>
      <w:r>
        <w:rPr>
          <w:rFonts w:eastAsia="Times New Roman"/>
        </w:rPr>
        <w:t xml:space="preserve"> niniejszej IRiESD.</w:t>
      </w:r>
    </w:p>
    <w:p w14:paraId="14C7BE91" w14:textId="77777777" w:rsidR="00572BA3" w:rsidRDefault="00572BA3">
      <w:pPr>
        <w:numPr>
          <w:ilvl w:val="0"/>
          <w:numId w:val="61"/>
        </w:numPr>
        <w:spacing w:line="238" w:lineRule="auto"/>
        <w:ind w:left="993" w:hanging="993"/>
        <w:jc w:val="both"/>
        <w:rPr>
          <w:rFonts w:eastAsia="Times New Roman"/>
        </w:rPr>
      </w:pPr>
      <w:r>
        <w:rPr>
          <w:rFonts w:eastAsia="Times New Roman"/>
        </w:rPr>
        <w:lastRenderedPageBreak/>
        <w:t xml:space="preserve">Jeżeli w dacie wejścia w życie niniejszej IRiESD urządzenia, instalacje lub sieci przyłączone do sieci dystrybucyjnej </w:t>
      </w:r>
      <w:r w:rsidR="00F60629">
        <w:rPr>
          <w:rFonts w:eastAsia="Times New Roman"/>
        </w:rPr>
        <w:t>OSDn</w:t>
      </w:r>
      <w:r>
        <w:rPr>
          <w:rFonts w:eastAsia="Times New Roman"/>
        </w:rPr>
        <w:t xml:space="preserve"> nie spełniają wymagań technicznych, </w:t>
      </w:r>
      <w:r w:rsidR="00F60629">
        <w:rPr>
          <w:rFonts w:eastAsia="Times New Roman"/>
        </w:rPr>
        <w:br/>
      </w:r>
      <w:r>
        <w:rPr>
          <w:rFonts w:eastAsia="Times New Roman"/>
        </w:rPr>
        <w:t>o których mowa w niniejszej IRiESD, wówczas wymagania techniczne stawiane tym urządzeniom, instalacjom lub sieciom, muszą zostać spełnione po przeprowadzonej modernizacji, której zakres obejmuje również urządzenia, instalacje lub sieci nie spełniające wymagań.</w:t>
      </w:r>
    </w:p>
    <w:p w14:paraId="4DE684A3" w14:textId="77777777" w:rsidR="00572BA3" w:rsidRDefault="00572BA3">
      <w:pPr>
        <w:numPr>
          <w:ilvl w:val="0"/>
          <w:numId w:val="61"/>
        </w:numPr>
        <w:spacing w:line="238" w:lineRule="auto"/>
        <w:ind w:left="993" w:hanging="993"/>
        <w:jc w:val="both"/>
        <w:rPr>
          <w:rFonts w:eastAsia="Times New Roman"/>
        </w:rPr>
      </w:pPr>
      <w:r>
        <w:rPr>
          <w:rFonts w:eastAsia="Times New Roman"/>
        </w:rPr>
        <w:t xml:space="preserve">Jeżeli ograniczenia techniczne, w tym zastosowana technologia urządzeń, instalacji lub sieci, pomimo planowanej do przeprowadzenia modernizacji, uniemożliwia spełnienie wymagań technicznych, o których mowa w niniejszej IRiESD, wówczas podmiot posiadający ww. urządzenia, instalacje lub sieci, na etapie opracowywania założeń do planowanej modernizacji przekazuje </w:t>
      </w:r>
      <w:r w:rsidR="00802E84">
        <w:rPr>
          <w:rFonts w:eastAsia="Times New Roman"/>
        </w:rPr>
        <w:t xml:space="preserve">OSDn </w:t>
      </w:r>
      <w:r>
        <w:rPr>
          <w:rFonts w:eastAsia="Times New Roman"/>
        </w:rPr>
        <w:t xml:space="preserve">opinię o braku możliwości spełniania tych wymagań. Jeżeli </w:t>
      </w:r>
      <w:r w:rsidR="00802E84">
        <w:rPr>
          <w:rFonts w:eastAsia="Times New Roman"/>
        </w:rPr>
        <w:t>OSDn</w:t>
      </w:r>
      <w:r>
        <w:rPr>
          <w:rFonts w:eastAsia="Times New Roman"/>
        </w:rPr>
        <w:t xml:space="preserve"> zgłosi uzasadnione wątpliwości dotyczące ww. opinii, wówczas podmiot przedkładający tę opinię ma obowiązek przedłożyć </w:t>
      </w:r>
      <w:r w:rsidR="00802E84">
        <w:rPr>
          <w:rFonts w:eastAsia="Times New Roman"/>
        </w:rPr>
        <w:t>OSDn</w:t>
      </w:r>
      <w:r>
        <w:rPr>
          <w:rFonts w:eastAsia="Times New Roman"/>
        </w:rPr>
        <w:t xml:space="preserve"> opinię w tym zakresie sporządzoną przez niezależną firmę ekspercką.</w:t>
      </w:r>
    </w:p>
    <w:p w14:paraId="1F7B3164" w14:textId="77777777" w:rsidR="00572BA3" w:rsidRDefault="00802E84">
      <w:pPr>
        <w:numPr>
          <w:ilvl w:val="0"/>
          <w:numId w:val="61"/>
        </w:numPr>
        <w:spacing w:line="234" w:lineRule="auto"/>
        <w:ind w:left="993" w:right="20" w:hanging="993"/>
        <w:jc w:val="both"/>
        <w:rPr>
          <w:rFonts w:eastAsia="Times New Roman"/>
        </w:rPr>
      </w:pPr>
      <w:r>
        <w:rPr>
          <w:rFonts w:eastAsia="Times New Roman"/>
        </w:rPr>
        <w:t>Z</w:t>
      </w:r>
      <w:r w:rsidR="00572BA3">
        <w:rPr>
          <w:rFonts w:eastAsia="Times New Roman"/>
        </w:rPr>
        <w:t>apisy pkt. II.</w:t>
      </w:r>
      <w:r w:rsidR="00754DF7">
        <w:rPr>
          <w:rFonts w:eastAsia="Times New Roman"/>
        </w:rPr>
        <w:t>3</w:t>
      </w:r>
      <w:r w:rsidR="00572BA3">
        <w:rPr>
          <w:rFonts w:eastAsia="Times New Roman"/>
        </w:rPr>
        <w:t>.1.5. oraz II.</w:t>
      </w:r>
      <w:r w:rsidR="00754DF7">
        <w:rPr>
          <w:rFonts w:eastAsia="Times New Roman"/>
        </w:rPr>
        <w:t>3</w:t>
      </w:r>
      <w:r w:rsidR="00572BA3">
        <w:rPr>
          <w:rFonts w:eastAsia="Times New Roman"/>
        </w:rPr>
        <w:t>.1.6. nie dotyczą układów pomiarowo-rozliczeniowych energii elektrycznej.</w:t>
      </w:r>
    </w:p>
    <w:p w14:paraId="3C624763" w14:textId="3E8AF6A0" w:rsidR="00772958" w:rsidRPr="00772958" w:rsidRDefault="00772958">
      <w:pPr>
        <w:numPr>
          <w:ilvl w:val="0"/>
          <w:numId w:val="61"/>
        </w:numPr>
        <w:spacing w:line="234" w:lineRule="auto"/>
        <w:ind w:left="993" w:right="20" w:hanging="993"/>
        <w:jc w:val="both"/>
        <w:rPr>
          <w:rFonts w:eastAsia="Times New Roman"/>
          <w:color w:val="000000" w:themeColor="text1"/>
        </w:rPr>
      </w:pPr>
      <w:r w:rsidRPr="00772958">
        <w:rPr>
          <w:color w:val="000000" w:themeColor="text1"/>
        </w:rPr>
        <w:t>Wymagania techniczne w zakresie przyłączania do sieci jednostek wytwórczych, urządzeń odbiorców końcowych, linii bezpośrednich lub połączeń z siecią sieci dystrybucyjnych elektroenergetycznych lub połączeń  międzysystemowych  określają przepisy rozporządzenia 943, przepisy wydane na podstawie art. 59, art. 60 i art. 61 rozporządzenia 943, w tym TCM dotyczące wymagań  technicznych  w  zakresie przyłączania do sieci jednostek wytwórczych, urządzeń odbiorców końcowych, linii bezpośrednich lub połączeń z siecią sieci dystrybucyjnych elektroenergetycznych lub połączeń międzysystemowych, ustanowione na podstawie rozporządzeń</w:t>
      </w:r>
      <w:r w:rsidRPr="00772958">
        <w:rPr>
          <w:color w:val="000000" w:themeColor="text1"/>
          <w:spacing w:val="13"/>
        </w:rPr>
        <w:t xml:space="preserve"> </w:t>
      </w:r>
      <w:r w:rsidRPr="00772958">
        <w:rPr>
          <w:color w:val="000000" w:themeColor="text1"/>
        </w:rPr>
        <w:t xml:space="preserve">Komisji </w:t>
      </w:r>
      <w:r w:rsidRPr="00772958">
        <w:rPr>
          <w:color w:val="000000" w:themeColor="text1"/>
          <w:w w:val="105"/>
        </w:rPr>
        <w:t>Europejskiej wydanych na podstawie art. 59, art. 60 i art. 61 rozporządzenia 943 oraz załącznik nr 1 do rozporządzenia systemowego</w:t>
      </w:r>
      <w:r>
        <w:rPr>
          <w:color w:val="000000" w:themeColor="text1"/>
          <w:w w:val="105"/>
        </w:rPr>
        <w:t>.</w:t>
      </w:r>
    </w:p>
    <w:p w14:paraId="54228A71" w14:textId="77777777" w:rsidR="004847F9" w:rsidRDefault="004847F9" w:rsidP="004847F9">
      <w:pPr>
        <w:tabs>
          <w:tab w:val="left" w:pos="1120"/>
        </w:tabs>
        <w:spacing w:line="234" w:lineRule="auto"/>
        <w:ind w:right="20"/>
        <w:jc w:val="both"/>
        <w:rPr>
          <w:rFonts w:eastAsia="Times New Roman"/>
        </w:rPr>
      </w:pPr>
    </w:p>
    <w:p w14:paraId="4C25E4F8" w14:textId="77777777" w:rsidR="00572BA3" w:rsidRPr="004847F9" w:rsidRDefault="00572BA3" w:rsidP="004847F9">
      <w:pPr>
        <w:rPr>
          <w:b/>
        </w:rPr>
      </w:pPr>
      <w:r w:rsidRPr="004847F9">
        <w:rPr>
          <w:b/>
        </w:rPr>
        <w:t>II.</w:t>
      </w:r>
      <w:r w:rsidR="00596CD0" w:rsidRPr="004847F9">
        <w:rPr>
          <w:b/>
        </w:rPr>
        <w:t>3</w:t>
      </w:r>
      <w:r w:rsidRPr="004847F9">
        <w:rPr>
          <w:b/>
        </w:rPr>
        <w:t>.2.</w:t>
      </w:r>
      <w:r w:rsidRPr="004847F9">
        <w:rPr>
          <w:b/>
        </w:rPr>
        <w:tab/>
        <w:t>Wymagania techniczne dla urządzeń, instalacji i sieci odbiorców</w:t>
      </w:r>
    </w:p>
    <w:p w14:paraId="64CDE8B7" w14:textId="77777777" w:rsidR="00572BA3" w:rsidRDefault="00572BA3">
      <w:pPr>
        <w:spacing w:line="127" w:lineRule="exact"/>
        <w:rPr>
          <w:rFonts w:eastAsia="Times New Roman"/>
        </w:rPr>
      </w:pPr>
    </w:p>
    <w:p w14:paraId="4A65A087" w14:textId="77777777" w:rsidR="00572BA3" w:rsidRPr="002B50D3" w:rsidRDefault="00DB0907">
      <w:pPr>
        <w:numPr>
          <w:ilvl w:val="0"/>
          <w:numId w:val="62"/>
        </w:numPr>
        <w:spacing w:line="236" w:lineRule="auto"/>
        <w:ind w:left="993" w:right="20" w:hanging="993"/>
        <w:jc w:val="both"/>
        <w:rPr>
          <w:rFonts w:eastAsia="Times New Roman"/>
          <w:szCs w:val="24"/>
        </w:rPr>
      </w:pPr>
      <w:r w:rsidRPr="002B50D3">
        <w:rPr>
          <w:rFonts w:eastAsia="Times New Roman"/>
          <w:szCs w:val="24"/>
        </w:rPr>
        <w:t>Urz</w:t>
      </w:r>
      <w:r w:rsidR="00572BA3" w:rsidRPr="002B50D3">
        <w:rPr>
          <w:rFonts w:eastAsia="Times New Roman"/>
          <w:szCs w:val="24"/>
        </w:rPr>
        <w:t xml:space="preserve">ądzenia, instalacje i sieci przyłączone do sieci SN i nN muszą być przystosowane do warunków zwarciowych w miejscu ich przyłączenia do sieci dystrybucyjnej </w:t>
      </w:r>
      <w:r w:rsidRPr="002B50D3">
        <w:rPr>
          <w:rFonts w:eastAsia="Times New Roman"/>
          <w:szCs w:val="24"/>
        </w:rPr>
        <w:t>OSDn</w:t>
      </w:r>
      <w:r w:rsidR="00572BA3" w:rsidRPr="002B50D3">
        <w:rPr>
          <w:rFonts w:eastAsia="Times New Roman"/>
          <w:szCs w:val="24"/>
        </w:rPr>
        <w:t>.</w:t>
      </w:r>
    </w:p>
    <w:p w14:paraId="37CC3209" w14:textId="77777777" w:rsidR="00572BA3" w:rsidRPr="002B50D3" w:rsidRDefault="00D3304E">
      <w:pPr>
        <w:numPr>
          <w:ilvl w:val="0"/>
          <w:numId w:val="62"/>
        </w:numPr>
        <w:spacing w:line="237" w:lineRule="auto"/>
        <w:ind w:left="993" w:hanging="993"/>
        <w:jc w:val="both"/>
        <w:rPr>
          <w:rFonts w:eastAsia="Times New Roman"/>
          <w:szCs w:val="24"/>
        </w:rPr>
      </w:pPr>
      <w:r w:rsidRPr="002B50D3">
        <w:rPr>
          <w:rFonts w:eastAsia="Times New Roman"/>
          <w:szCs w:val="24"/>
        </w:rPr>
        <w:t>OSDn</w:t>
      </w:r>
      <w:r w:rsidR="00572BA3" w:rsidRPr="002B50D3">
        <w:rPr>
          <w:rFonts w:eastAsia="Times New Roman"/>
          <w:szCs w:val="24"/>
        </w:rPr>
        <w:t xml:space="preserve"> określa warunki stosowania elektroenergetycznej automatyki zabezpieczeniowej przez podmioty przyłączone do sieci SN i nN</w:t>
      </w:r>
      <w:r w:rsidRPr="002B50D3">
        <w:rPr>
          <w:rFonts w:eastAsia="Times New Roman"/>
          <w:szCs w:val="24"/>
        </w:rPr>
        <w:t>.</w:t>
      </w:r>
    </w:p>
    <w:p w14:paraId="2FA858B0" w14:textId="77777777" w:rsidR="00572BA3" w:rsidRDefault="00572BA3">
      <w:pPr>
        <w:spacing w:line="200" w:lineRule="exact"/>
        <w:rPr>
          <w:rFonts w:eastAsia="Times New Roman"/>
        </w:rPr>
      </w:pPr>
    </w:p>
    <w:p w14:paraId="685F3479" w14:textId="77777777" w:rsidR="00572BA3" w:rsidRPr="004847F9" w:rsidRDefault="00572BA3" w:rsidP="004847F9">
      <w:pPr>
        <w:rPr>
          <w:b/>
        </w:rPr>
      </w:pPr>
      <w:r w:rsidRPr="004847F9">
        <w:rPr>
          <w:b/>
        </w:rPr>
        <w:t>II.</w:t>
      </w:r>
      <w:r w:rsidR="00596CD0" w:rsidRPr="004847F9">
        <w:rPr>
          <w:b/>
        </w:rPr>
        <w:t>3</w:t>
      </w:r>
      <w:r w:rsidRPr="004847F9">
        <w:rPr>
          <w:b/>
        </w:rPr>
        <w:t>.3.</w:t>
      </w:r>
      <w:r w:rsidRPr="004847F9">
        <w:rPr>
          <w:b/>
        </w:rPr>
        <w:tab/>
        <w:t>Wymagania techniczne dla jednostek wytwórczych</w:t>
      </w:r>
    </w:p>
    <w:p w14:paraId="276CEC50" w14:textId="77777777" w:rsidR="00572BA3" w:rsidRDefault="00572BA3" w:rsidP="002E4622">
      <w:pPr>
        <w:spacing w:line="127" w:lineRule="exact"/>
        <w:rPr>
          <w:rFonts w:eastAsia="Times New Roman"/>
        </w:rPr>
      </w:pPr>
    </w:p>
    <w:p w14:paraId="18B27130" w14:textId="77777777" w:rsidR="00034A12" w:rsidRDefault="004D40D0">
      <w:pPr>
        <w:numPr>
          <w:ilvl w:val="0"/>
          <w:numId w:val="63"/>
        </w:numPr>
        <w:spacing w:line="236" w:lineRule="auto"/>
        <w:ind w:left="993" w:hanging="993"/>
        <w:jc w:val="both"/>
        <w:rPr>
          <w:rFonts w:eastAsia="Times New Roman"/>
        </w:rPr>
      </w:pPr>
      <w:r>
        <w:rPr>
          <w:rFonts w:eastAsia="Times New Roman"/>
        </w:rPr>
        <w:t>W</w:t>
      </w:r>
      <w:r w:rsidR="00034A12">
        <w:rPr>
          <w:rFonts w:eastAsia="Times New Roman"/>
        </w:rPr>
        <w:t>ymagania techniczne dla jednostek innych niż o mocy osiągalnej równej 50 MW lub wyższej są ustalane indyw</w:t>
      </w:r>
      <w:r w:rsidR="009D6706">
        <w:rPr>
          <w:rFonts w:eastAsia="Times New Roman"/>
        </w:rPr>
        <w:t xml:space="preserve">idualnie pomiędzy wytwórcą, a OSDn </w:t>
      </w:r>
      <w:r w:rsidR="009D6706">
        <w:rPr>
          <w:rFonts w:eastAsia="Times New Roman"/>
        </w:rPr>
        <w:br/>
        <w:t xml:space="preserve">z uwzględnieniem szczegółowych wymagań technicznych dla jednostek wytwórczych przyłączanych do sieci dystrybucyjnej określonych w niniejszym rozdziale oraz </w:t>
      </w:r>
      <w:r w:rsidR="009D6706" w:rsidRPr="00471AA5">
        <w:rPr>
          <w:rFonts w:eastAsia="Times New Roman"/>
        </w:rPr>
        <w:t>Załączniku nr 1 do</w:t>
      </w:r>
      <w:r w:rsidR="009D6706">
        <w:rPr>
          <w:rFonts w:eastAsia="Times New Roman"/>
        </w:rPr>
        <w:t xml:space="preserve"> IRiESD.</w:t>
      </w:r>
    </w:p>
    <w:p w14:paraId="10ACF3CA" w14:textId="77777777" w:rsidR="005C43D7" w:rsidRDefault="008D5418">
      <w:pPr>
        <w:numPr>
          <w:ilvl w:val="0"/>
          <w:numId w:val="63"/>
        </w:numPr>
        <w:spacing w:line="236" w:lineRule="auto"/>
        <w:ind w:left="993" w:hanging="993"/>
        <w:jc w:val="both"/>
        <w:rPr>
          <w:rFonts w:eastAsia="Times New Roman"/>
        </w:rPr>
      </w:pPr>
      <w:r>
        <w:rPr>
          <w:rFonts w:eastAsia="Times New Roman"/>
        </w:rPr>
        <w:t xml:space="preserve">Wymagania techniczne dla jednostek wytwórczych, o których mowa </w:t>
      </w:r>
      <w:r>
        <w:rPr>
          <w:rFonts w:eastAsia="Times New Roman"/>
        </w:rPr>
        <w:br/>
        <w:t>w pktl.II.3.3.1. obejmują, w zależności od potrzeb, wymagania w zakresie:</w:t>
      </w:r>
    </w:p>
    <w:p w14:paraId="56114C72" w14:textId="77777777" w:rsidR="008D5418" w:rsidRDefault="008D5418">
      <w:pPr>
        <w:numPr>
          <w:ilvl w:val="0"/>
          <w:numId w:val="249"/>
        </w:numPr>
        <w:spacing w:line="236" w:lineRule="auto"/>
        <w:ind w:left="1418" w:hanging="425"/>
        <w:jc w:val="both"/>
        <w:rPr>
          <w:rFonts w:eastAsia="Times New Roman"/>
        </w:rPr>
      </w:pPr>
      <w:r>
        <w:rPr>
          <w:rFonts w:eastAsia="Times New Roman"/>
        </w:rPr>
        <w:t>układów wzbudzenia,</w:t>
      </w:r>
    </w:p>
    <w:p w14:paraId="70AE96DD" w14:textId="77777777" w:rsidR="008D5418" w:rsidRDefault="00B6386C">
      <w:pPr>
        <w:numPr>
          <w:ilvl w:val="0"/>
          <w:numId w:val="249"/>
        </w:numPr>
        <w:spacing w:line="236" w:lineRule="auto"/>
        <w:ind w:left="1418" w:hanging="425"/>
        <w:jc w:val="both"/>
        <w:rPr>
          <w:rFonts w:eastAsia="Times New Roman"/>
        </w:rPr>
      </w:pPr>
      <w:r>
        <w:rPr>
          <w:rFonts w:eastAsia="Times New Roman"/>
        </w:rPr>
        <w:t>układów regulacji napięcia,</w:t>
      </w:r>
    </w:p>
    <w:p w14:paraId="74DE9A3D" w14:textId="77777777" w:rsidR="00B6386C" w:rsidRDefault="00B6386C">
      <w:pPr>
        <w:numPr>
          <w:ilvl w:val="0"/>
          <w:numId w:val="249"/>
        </w:numPr>
        <w:spacing w:line="236" w:lineRule="auto"/>
        <w:ind w:left="1418" w:hanging="425"/>
        <w:jc w:val="both"/>
        <w:rPr>
          <w:rFonts w:eastAsia="Times New Roman"/>
        </w:rPr>
      </w:pPr>
      <w:r>
        <w:rPr>
          <w:rFonts w:eastAsia="Times New Roman"/>
        </w:rPr>
        <w:t>sposobów wykorzystania układów grupowej regulacji napięć jednostek wytwórczych (</w:t>
      </w:r>
      <w:r w:rsidR="009F1A8F">
        <w:rPr>
          <w:rFonts w:eastAsia="Times New Roman"/>
        </w:rPr>
        <w:t xml:space="preserve">Układ </w:t>
      </w:r>
      <w:r>
        <w:rPr>
          <w:rFonts w:eastAsia="Times New Roman"/>
        </w:rPr>
        <w:t>ARNE),</w:t>
      </w:r>
    </w:p>
    <w:p w14:paraId="1ACFFD0A" w14:textId="77777777" w:rsidR="00B6386C" w:rsidRDefault="00B6386C">
      <w:pPr>
        <w:numPr>
          <w:ilvl w:val="0"/>
          <w:numId w:val="249"/>
        </w:numPr>
        <w:spacing w:line="236" w:lineRule="auto"/>
        <w:ind w:left="1418" w:hanging="425"/>
        <w:jc w:val="both"/>
        <w:rPr>
          <w:rFonts w:eastAsia="Times New Roman"/>
        </w:rPr>
      </w:pPr>
      <w:r>
        <w:rPr>
          <w:rFonts w:eastAsia="Times New Roman"/>
        </w:rPr>
        <w:t>systemów elektroenergetycznej automatyki zabezpieczeniowej,</w:t>
      </w:r>
    </w:p>
    <w:p w14:paraId="382B2B3F" w14:textId="77777777" w:rsidR="00B6386C" w:rsidRDefault="00B6386C">
      <w:pPr>
        <w:numPr>
          <w:ilvl w:val="0"/>
          <w:numId w:val="249"/>
        </w:numPr>
        <w:spacing w:line="0" w:lineRule="atLeast"/>
        <w:ind w:left="1418" w:hanging="425"/>
        <w:jc w:val="both"/>
        <w:rPr>
          <w:rFonts w:eastAsia="Times New Roman"/>
        </w:rPr>
      </w:pPr>
      <w:r>
        <w:rPr>
          <w:rFonts w:eastAsia="Times New Roman"/>
        </w:rPr>
        <w:t>urządzeń regulacji pierwotnej,</w:t>
      </w:r>
    </w:p>
    <w:p w14:paraId="6B26D5B8" w14:textId="77777777" w:rsidR="00B6386C" w:rsidRDefault="00B6386C">
      <w:pPr>
        <w:numPr>
          <w:ilvl w:val="0"/>
          <w:numId w:val="249"/>
        </w:numPr>
        <w:spacing w:line="236" w:lineRule="auto"/>
        <w:ind w:left="1418" w:hanging="425"/>
        <w:jc w:val="both"/>
        <w:rPr>
          <w:rFonts w:eastAsia="Times New Roman"/>
        </w:rPr>
      </w:pPr>
      <w:r>
        <w:rPr>
          <w:rFonts w:eastAsia="Times New Roman"/>
        </w:rPr>
        <w:t>czasów rozruchu i minimalnej liczby rozruchów w ciągu roku,</w:t>
      </w:r>
    </w:p>
    <w:p w14:paraId="4BE1D8C6" w14:textId="77777777" w:rsidR="00B6386C" w:rsidRDefault="00B6386C">
      <w:pPr>
        <w:numPr>
          <w:ilvl w:val="0"/>
          <w:numId w:val="249"/>
        </w:numPr>
        <w:spacing w:line="236" w:lineRule="auto"/>
        <w:ind w:left="1418" w:hanging="425"/>
        <w:jc w:val="both"/>
        <w:rPr>
          <w:rFonts w:eastAsia="Times New Roman"/>
        </w:rPr>
      </w:pPr>
      <w:r>
        <w:rPr>
          <w:rFonts w:eastAsia="Times New Roman"/>
        </w:rPr>
        <w:t>ograniczników maksymalnych prądów stojana i wirnika,</w:t>
      </w:r>
    </w:p>
    <w:p w14:paraId="3245F12F" w14:textId="77777777" w:rsidR="00B6386C" w:rsidRDefault="00B6386C">
      <w:pPr>
        <w:numPr>
          <w:ilvl w:val="0"/>
          <w:numId w:val="249"/>
        </w:numPr>
        <w:spacing w:line="236" w:lineRule="auto"/>
        <w:ind w:left="1418" w:hanging="425"/>
        <w:jc w:val="both"/>
        <w:rPr>
          <w:rFonts w:eastAsia="Times New Roman"/>
        </w:rPr>
      </w:pPr>
      <w:r>
        <w:rPr>
          <w:rFonts w:eastAsia="Times New Roman"/>
        </w:rPr>
        <w:t>możliwości synchronizacji jednostki wytwórczej z siecią,</w:t>
      </w:r>
    </w:p>
    <w:p w14:paraId="404255F7" w14:textId="77777777" w:rsidR="00B6386C" w:rsidRDefault="00B6386C">
      <w:pPr>
        <w:numPr>
          <w:ilvl w:val="0"/>
          <w:numId w:val="249"/>
        </w:numPr>
        <w:spacing w:line="236" w:lineRule="auto"/>
        <w:ind w:left="1418" w:hanging="425"/>
        <w:jc w:val="both"/>
        <w:rPr>
          <w:rFonts w:eastAsia="Times New Roman"/>
        </w:rPr>
      </w:pPr>
      <w:r>
        <w:rPr>
          <w:rFonts w:eastAsia="Times New Roman"/>
        </w:rPr>
        <w:lastRenderedPageBreak/>
        <w:t>wytwarzanych mocy czynnych i biernych,</w:t>
      </w:r>
    </w:p>
    <w:p w14:paraId="4BE8BFEB" w14:textId="3564C2DB" w:rsidR="00B6386C" w:rsidRDefault="00B6386C">
      <w:pPr>
        <w:numPr>
          <w:ilvl w:val="0"/>
          <w:numId w:val="249"/>
        </w:numPr>
        <w:spacing w:line="236" w:lineRule="auto"/>
        <w:ind w:left="1418" w:hanging="425"/>
        <w:jc w:val="both"/>
        <w:rPr>
          <w:rFonts w:eastAsia="Times New Roman"/>
        </w:rPr>
      </w:pPr>
      <w:r>
        <w:rPr>
          <w:rFonts w:eastAsia="Times New Roman"/>
        </w:rPr>
        <w:t>wyposażenia linii blokowych w układy automatyki</w:t>
      </w:r>
      <w:r w:rsidR="00357224">
        <w:rPr>
          <w:rFonts w:eastAsia="Times New Roman"/>
        </w:rPr>
        <w:t>,</w:t>
      </w:r>
    </w:p>
    <w:p w14:paraId="4B5DDA6A" w14:textId="2720D3B4" w:rsidR="00357224" w:rsidRDefault="00357224">
      <w:pPr>
        <w:numPr>
          <w:ilvl w:val="0"/>
          <w:numId w:val="249"/>
        </w:numPr>
        <w:spacing w:line="236" w:lineRule="auto"/>
        <w:ind w:left="1418" w:hanging="425"/>
        <w:jc w:val="both"/>
        <w:rPr>
          <w:rFonts w:eastAsia="Times New Roman"/>
        </w:rPr>
      </w:pPr>
      <w:r>
        <w:rPr>
          <w:rFonts w:eastAsia="Times New Roman"/>
        </w:rPr>
        <w:t>magazynu energii elektrycznej, gdy jest częścią jednostki wytwórczej.</w:t>
      </w:r>
    </w:p>
    <w:p w14:paraId="3B177662" w14:textId="273A7516" w:rsidR="00572BA3" w:rsidRDefault="00572BA3" w:rsidP="003F1B65">
      <w:pPr>
        <w:spacing w:line="120" w:lineRule="exact"/>
        <w:jc w:val="both"/>
        <w:rPr>
          <w:rFonts w:eastAsia="Times New Roman"/>
        </w:rPr>
      </w:pPr>
    </w:p>
    <w:p w14:paraId="08AA857E" w14:textId="77777777" w:rsidR="00F13EFD" w:rsidRDefault="00F13EFD" w:rsidP="003F1B65">
      <w:pPr>
        <w:spacing w:line="120" w:lineRule="exact"/>
        <w:jc w:val="both"/>
        <w:rPr>
          <w:rFonts w:eastAsia="Times New Roman"/>
        </w:rPr>
      </w:pPr>
    </w:p>
    <w:p w14:paraId="0E25698B" w14:textId="77777777" w:rsidR="00572BA3" w:rsidRDefault="00572BA3">
      <w:pPr>
        <w:spacing w:line="200" w:lineRule="exact"/>
        <w:rPr>
          <w:rFonts w:eastAsia="Times New Roman"/>
        </w:rPr>
      </w:pPr>
    </w:p>
    <w:p w14:paraId="4C4EA81A" w14:textId="77777777" w:rsidR="00572BA3" w:rsidRPr="004847F9" w:rsidRDefault="00572BA3" w:rsidP="009E00FA">
      <w:pPr>
        <w:rPr>
          <w:b/>
        </w:rPr>
      </w:pPr>
      <w:r w:rsidRPr="004847F9">
        <w:rPr>
          <w:b/>
        </w:rPr>
        <w:t>II.</w:t>
      </w:r>
      <w:r w:rsidR="00C31BD8" w:rsidRPr="004847F9">
        <w:rPr>
          <w:b/>
        </w:rPr>
        <w:t>3</w:t>
      </w:r>
      <w:r w:rsidRPr="004847F9">
        <w:rPr>
          <w:b/>
        </w:rPr>
        <w:t>.4.</w:t>
      </w:r>
      <w:r w:rsidRPr="004847F9">
        <w:rPr>
          <w:b/>
        </w:rPr>
        <w:tab/>
        <w:t>Wymagania techniczne dla linii bezpośrednich</w:t>
      </w:r>
    </w:p>
    <w:p w14:paraId="0093C68A" w14:textId="77777777" w:rsidR="00572BA3" w:rsidRDefault="00572BA3" w:rsidP="009E00FA">
      <w:pPr>
        <w:spacing w:line="129" w:lineRule="exact"/>
        <w:jc w:val="both"/>
        <w:rPr>
          <w:rFonts w:eastAsia="Times New Roman"/>
        </w:rPr>
      </w:pPr>
    </w:p>
    <w:p w14:paraId="40344E7C" w14:textId="77777777" w:rsidR="00572BA3" w:rsidRDefault="00572BA3">
      <w:pPr>
        <w:numPr>
          <w:ilvl w:val="0"/>
          <w:numId w:val="64"/>
        </w:numPr>
        <w:spacing w:line="234" w:lineRule="auto"/>
        <w:ind w:left="993" w:hanging="993"/>
        <w:jc w:val="both"/>
        <w:rPr>
          <w:rFonts w:eastAsia="Times New Roman"/>
        </w:rPr>
      </w:pPr>
      <w:r>
        <w:rPr>
          <w:rFonts w:eastAsia="Times New Roman"/>
        </w:rPr>
        <w:t>Warunkiem przystąpienia do budowy linii bezpośrednich jest wcześniejsze spełnienie wymagań zawartych w ustawie Prawo energetyczne.</w:t>
      </w:r>
    </w:p>
    <w:p w14:paraId="31B3C749" w14:textId="77777777" w:rsidR="00572BA3" w:rsidRDefault="0023038C">
      <w:pPr>
        <w:numPr>
          <w:ilvl w:val="0"/>
          <w:numId w:val="64"/>
        </w:numPr>
        <w:spacing w:line="234" w:lineRule="auto"/>
        <w:ind w:left="993" w:right="20" w:hanging="993"/>
        <w:jc w:val="both"/>
        <w:rPr>
          <w:rFonts w:eastAsia="Times New Roman"/>
        </w:rPr>
      </w:pPr>
      <w:r>
        <w:rPr>
          <w:rFonts w:eastAsia="Times New Roman"/>
        </w:rPr>
        <w:t>B</w:t>
      </w:r>
      <w:r w:rsidR="00572BA3">
        <w:rPr>
          <w:rFonts w:eastAsia="Times New Roman"/>
        </w:rPr>
        <w:t>udowa i przyłączanie linii bezpośrednich winny odbywać się z zachowaniem zasad dotyczących przyłączania określonych w pkt.II.1.</w:t>
      </w:r>
    </w:p>
    <w:p w14:paraId="58F11176" w14:textId="77777777" w:rsidR="00572BA3" w:rsidRDefault="0023038C">
      <w:pPr>
        <w:numPr>
          <w:ilvl w:val="0"/>
          <w:numId w:val="64"/>
        </w:numPr>
        <w:spacing w:line="234" w:lineRule="auto"/>
        <w:ind w:left="993" w:right="20" w:hanging="993"/>
        <w:jc w:val="both"/>
        <w:rPr>
          <w:rFonts w:eastAsia="Times New Roman"/>
        </w:rPr>
      </w:pPr>
      <w:r>
        <w:rPr>
          <w:rFonts w:eastAsia="Times New Roman"/>
        </w:rPr>
        <w:t>OSDn</w:t>
      </w:r>
      <w:r w:rsidR="00572BA3">
        <w:rPr>
          <w:rFonts w:eastAsia="Times New Roman"/>
        </w:rPr>
        <w:t xml:space="preserve"> może podjąć decyzję o odstąpieniu od konieczności realizacji części lub całości zasad, o których mowa w pkt.II.</w:t>
      </w:r>
      <w:r w:rsidR="00C31BD8">
        <w:rPr>
          <w:rFonts w:eastAsia="Times New Roman"/>
        </w:rPr>
        <w:t>3</w:t>
      </w:r>
      <w:r w:rsidR="00572BA3">
        <w:rPr>
          <w:rFonts w:eastAsia="Times New Roman"/>
        </w:rPr>
        <w:t>.4.2.</w:t>
      </w:r>
    </w:p>
    <w:p w14:paraId="3337C2D2" w14:textId="77777777" w:rsidR="00963DDD" w:rsidRDefault="00963DDD">
      <w:pPr>
        <w:numPr>
          <w:ilvl w:val="0"/>
          <w:numId w:val="64"/>
        </w:numPr>
        <w:spacing w:line="234" w:lineRule="auto"/>
        <w:ind w:left="993" w:right="20" w:hanging="993"/>
        <w:jc w:val="both"/>
        <w:rPr>
          <w:rFonts w:eastAsia="Times New Roman"/>
        </w:rPr>
      </w:pPr>
      <w:r>
        <w:rPr>
          <w:rFonts w:eastAsia="Times New Roman"/>
        </w:rPr>
        <w:t xml:space="preserve">Linie bezpośrednie oraz łączone za ich pośrednictwem urządzenia, instalacje, sieci oraz jednostki wytwórcze, winny spełniać wymagania techniczne określone </w:t>
      </w:r>
      <w:r>
        <w:rPr>
          <w:rFonts w:eastAsia="Times New Roman"/>
        </w:rPr>
        <w:br/>
        <w:t>w pkt. II.3.2. oraz II.3.3.</w:t>
      </w:r>
    </w:p>
    <w:p w14:paraId="7D39BBCA" w14:textId="77777777" w:rsidR="00963DDD" w:rsidRDefault="00963DDD">
      <w:pPr>
        <w:numPr>
          <w:ilvl w:val="0"/>
          <w:numId w:val="64"/>
        </w:numPr>
        <w:spacing w:line="234" w:lineRule="auto"/>
        <w:ind w:left="993" w:right="20" w:hanging="993"/>
        <w:jc w:val="both"/>
        <w:rPr>
          <w:rFonts w:eastAsia="Times New Roman"/>
        </w:rPr>
      </w:pPr>
      <w:r w:rsidRPr="00B6096C">
        <w:rPr>
          <w:rFonts w:eastAsia="Times New Roman"/>
        </w:rPr>
        <w:t>Linie bezpośrednie należy wyposażać w układy i systemy pomiarowo-rozliczeniowe zgodnie z zapisami pkt.II.3.7.</w:t>
      </w:r>
    </w:p>
    <w:p w14:paraId="2AE63BDB" w14:textId="77777777" w:rsidR="00963DDD" w:rsidRDefault="00963DDD">
      <w:pPr>
        <w:numPr>
          <w:ilvl w:val="0"/>
          <w:numId w:val="64"/>
        </w:numPr>
        <w:spacing w:line="234" w:lineRule="auto"/>
        <w:ind w:left="993" w:right="20" w:hanging="993"/>
        <w:jc w:val="both"/>
        <w:rPr>
          <w:rFonts w:eastAsia="Times New Roman"/>
        </w:rPr>
      </w:pPr>
      <w:r>
        <w:rPr>
          <w:rFonts w:eastAsia="Times New Roman"/>
        </w:rPr>
        <w:t xml:space="preserve">W uzasadnionych przypadkach OSDn może określić w warunkach przyłączenia dodatkowe wymagania techniczne związane z przyłączaniem linii </w:t>
      </w:r>
      <w:r w:rsidRPr="00B6096C">
        <w:rPr>
          <w:rFonts w:eastAsia="Times New Roman"/>
        </w:rPr>
        <w:t>bezpośrednich</w:t>
      </w:r>
      <w:r>
        <w:rPr>
          <w:rFonts w:eastAsia="Times New Roman"/>
        </w:rPr>
        <w:t>.</w:t>
      </w:r>
    </w:p>
    <w:p w14:paraId="5D93039E" w14:textId="77777777" w:rsidR="00963DDD" w:rsidRDefault="00963DDD">
      <w:pPr>
        <w:numPr>
          <w:ilvl w:val="0"/>
          <w:numId w:val="64"/>
        </w:numPr>
        <w:spacing w:line="234" w:lineRule="auto"/>
        <w:ind w:left="993" w:right="20" w:hanging="993"/>
        <w:jc w:val="both"/>
        <w:rPr>
          <w:rFonts w:eastAsia="Times New Roman"/>
        </w:rPr>
      </w:pPr>
      <w:r>
        <w:rPr>
          <w:rFonts w:eastAsia="Times New Roman"/>
        </w:rPr>
        <w:t xml:space="preserve">OSDn może zdecydować o czasowym wyłączeniu lub załączeniu </w:t>
      </w:r>
      <w:r>
        <w:rPr>
          <w:rFonts w:eastAsia="Times New Roman"/>
          <w:w w:val="98"/>
        </w:rPr>
        <w:t xml:space="preserve">linii </w:t>
      </w:r>
      <w:r w:rsidRPr="007A60A5">
        <w:rPr>
          <w:rFonts w:eastAsia="Times New Roman"/>
          <w:w w:val="98"/>
        </w:rPr>
        <w:t>bezpośrednich w tym</w:t>
      </w:r>
      <w:r>
        <w:rPr>
          <w:rFonts w:eastAsia="Times New Roman"/>
          <w:w w:val="98"/>
        </w:rPr>
        <w:t xml:space="preserve"> także do pracy w układach innych niż normalny, jeżeli jest </w:t>
      </w:r>
      <w:r>
        <w:rPr>
          <w:rFonts w:eastAsia="Times New Roman"/>
        </w:rPr>
        <w:t>to podyktowane względami bezpieczeństwa pracy systemu elektroenergetycznego.</w:t>
      </w:r>
    </w:p>
    <w:p w14:paraId="6BFEB40A" w14:textId="77777777" w:rsidR="00963DDD" w:rsidRDefault="00963DDD">
      <w:pPr>
        <w:numPr>
          <w:ilvl w:val="0"/>
          <w:numId w:val="64"/>
        </w:numPr>
        <w:spacing w:line="234" w:lineRule="auto"/>
        <w:ind w:left="993" w:right="20" w:hanging="993"/>
        <w:jc w:val="both"/>
        <w:rPr>
          <w:rFonts w:eastAsia="Times New Roman"/>
        </w:rPr>
      </w:pPr>
      <w:r>
        <w:rPr>
          <w:rFonts w:eastAsia="Times New Roman"/>
        </w:rPr>
        <w:t xml:space="preserve">Czasowe wyłączenie lub załączenie linii odbywa się </w:t>
      </w:r>
      <w:r>
        <w:rPr>
          <w:rFonts w:ascii="Cambria" w:eastAsia="Cambria" w:hAnsi="Cambria"/>
        </w:rPr>
        <w:t xml:space="preserve">na zasadach określonych </w:t>
      </w:r>
      <w:r>
        <w:rPr>
          <w:rFonts w:ascii="Cambria" w:eastAsia="Cambria" w:hAnsi="Cambria"/>
        </w:rPr>
        <w:br/>
        <w:t xml:space="preserve">w </w:t>
      </w:r>
      <w:r>
        <w:rPr>
          <w:rFonts w:eastAsia="Times New Roman"/>
        </w:rPr>
        <w:t>instrukcji współpracy lub umowy o świadczenie usług dystrybucji.</w:t>
      </w:r>
    </w:p>
    <w:p w14:paraId="254DD633" w14:textId="77777777" w:rsidR="00963DDD" w:rsidRDefault="00963DDD">
      <w:pPr>
        <w:numPr>
          <w:ilvl w:val="0"/>
          <w:numId w:val="64"/>
        </w:numPr>
        <w:spacing w:line="234" w:lineRule="auto"/>
        <w:ind w:left="993" w:right="20" w:hanging="993"/>
        <w:jc w:val="both"/>
        <w:rPr>
          <w:rFonts w:eastAsia="Times New Roman"/>
        </w:rPr>
      </w:pPr>
      <w:r>
        <w:rPr>
          <w:rFonts w:eastAsia="Times New Roman"/>
        </w:rPr>
        <w:t>Przyłączanie i praca linii bezpośrednich nie może powodować negatywnych skutków dla pozostałych użytkowników sieci dystrybucyjnej np. spowodować pogorszenia parametrów jakościowych energii elektrycznej, pogorszenia niezawodności pracy sieci dystrybucyjnej OSDn.</w:t>
      </w:r>
    </w:p>
    <w:p w14:paraId="361F3207" w14:textId="77777777" w:rsidR="0093164D" w:rsidRDefault="0093164D" w:rsidP="009E00FA">
      <w:pPr>
        <w:spacing w:line="234" w:lineRule="auto"/>
        <w:ind w:right="20"/>
        <w:jc w:val="both"/>
        <w:rPr>
          <w:rFonts w:eastAsia="Times New Roman"/>
        </w:rPr>
      </w:pPr>
    </w:p>
    <w:p w14:paraId="65CF05AA" w14:textId="77777777" w:rsidR="0093164D" w:rsidRPr="00FA49B5" w:rsidRDefault="0093164D" w:rsidP="009E00FA">
      <w:pPr>
        <w:spacing w:line="234" w:lineRule="auto"/>
        <w:ind w:left="709" w:right="20" w:hanging="709"/>
        <w:jc w:val="both"/>
        <w:rPr>
          <w:b/>
          <w:color w:val="000000"/>
        </w:rPr>
      </w:pPr>
      <w:r>
        <w:rPr>
          <w:b/>
        </w:rPr>
        <w:t xml:space="preserve">II.3.5. </w:t>
      </w:r>
      <w:r w:rsidRPr="00FA49B5">
        <w:rPr>
          <w:b/>
          <w:color w:val="000000"/>
        </w:rPr>
        <w:t>Wymagania   techniczne   dla   układów   elektroenergetycznej   automatyki zabezpieczeniowej i urządzeń współpracujących.</w:t>
      </w:r>
    </w:p>
    <w:p w14:paraId="521943C4" w14:textId="77777777" w:rsidR="009E00FA" w:rsidRPr="00FA49B5" w:rsidRDefault="009E00FA" w:rsidP="009E00FA">
      <w:pPr>
        <w:spacing w:line="234" w:lineRule="auto"/>
        <w:ind w:left="709" w:right="20" w:hanging="709"/>
        <w:jc w:val="both"/>
        <w:rPr>
          <w:b/>
          <w:color w:val="000000"/>
        </w:rPr>
      </w:pPr>
    </w:p>
    <w:p w14:paraId="2E499D75" w14:textId="77777777" w:rsidR="009E00FA" w:rsidRPr="00FA49B5" w:rsidRDefault="009E00FA" w:rsidP="009E00FA">
      <w:pPr>
        <w:spacing w:line="234" w:lineRule="auto"/>
        <w:ind w:left="709" w:right="20" w:hanging="709"/>
        <w:jc w:val="both"/>
        <w:rPr>
          <w:b/>
          <w:color w:val="000000"/>
        </w:rPr>
      </w:pPr>
      <w:r>
        <w:rPr>
          <w:b/>
        </w:rPr>
        <w:t>II.</w:t>
      </w:r>
      <w:r w:rsidRPr="00FA49B5">
        <w:rPr>
          <w:b/>
          <w:color w:val="000000"/>
        </w:rPr>
        <w:t>3.5.1. Wymagania ogólne.</w:t>
      </w:r>
    </w:p>
    <w:p w14:paraId="592A5084" w14:textId="77777777" w:rsidR="009E00FA" w:rsidRDefault="009E00FA">
      <w:pPr>
        <w:numPr>
          <w:ilvl w:val="0"/>
          <w:numId w:val="250"/>
        </w:numPr>
        <w:spacing w:line="0" w:lineRule="atLeast"/>
        <w:ind w:left="1134" w:hanging="1134"/>
        <w:jc w:val="both"/>
        <w:rPr>
          <w:rFonts w:eastAsia="Times New Roman"/>
        </w:rPr>
      </w:pPr>
      <w:r>
        <w:rPr>
          <w:rFonts w:eastAsia="Times New Roman"/>
        </w:rPr>
        <w:t xml:space="preserve">Wymagania zawarte w niniejszym rozdziale dotyczą urządzeń i układów EAZ </w:t>
      </w:r>
      <w:r>
        <w:rPr>
          <w:rFonts w:eastAsia="Times New Roman"/>
        </w:rPr>
        <w:br/>
        <w:t>w obiektach nowobudowanych i modernizowanych.</w:t>
      </w:r>
    </w:p>
    <w:p w14:paraId="475FCEF0" w14:textId="77777777" w:rsidR="009E00FA" w:rsidRDefault="009E00FA" w:rsidP="00AD5A1B">
      <w:pPr>
        <w:spacing w:line="0" w:lineRule="atLeast"/>
        <w:ind w:left="1134" w:hanging="1134"/>
        <w:jc w:val="both"/>
        <w:rPr>
          <w:rFonts w:eastAsia="Times New Roman"/>
        </w:rPr>
      </w:pPr>
    </w:p>
    <w:p w14:paraId="4192B81C" w14:textId="77777777" w:rsidR="009E00FA" w:rsidRDefault="009E00FA" w:rsidP="00AD5A1B">
      <w:pPr>
        <w:spacing w:line="0" w:lineRule="atLeast"/>
        <w:ind w:left="1134"/>
        <w:jc w:val="both"/>
        <w:rPr>
          <w:rFonts w:eastAsia="Times New Roman"/>
        </w:rPr>
      </w:pPr>
      <w:r>
        <w:rPr>
          <w:rFonts w:eastAsia="Times New Roman"/>
        </w:rPr>
        <w:t>Jeżeli w dacie wejścia w życie IRiESD czynne urządzenia i układy EAZ nie spełniają wymagań, o których mowa w IRiESD, wówczas wymagania te muszą zostać spełnione po przeprowadzonej modernizacji, której zakres obejmował będzie również urządzenia i układy EAZ nie spełniające tych wymagań.</w:t>
      </w:r>
    </w:p>
    <w:p w14:paraId="34ADEBBB" w14:textId="77777777" w:rsidR="009E00FA" w:rsidRDefault="009E00FA" w:rsidP="00AD5A1B">
      <w:pPr>
        <w:spacing w:line="0" w:lineRule="atLeast"/>
        <w:ind w:left="1134" w:hanging="1134"/>
        <w:jc w:val="both"/>
        <w:rPr>
          <w:rFonts w:eastAsia="Times New Roman"/>
        </w:rPr>
      </w:pPr>
    </w:p>
    <w:p w14:paraId="0F392B72" w14:textId="2F80B3B1" w:rsidR="009E00FA" w:rsidRDefault="009E00FA" w:rsidP="00AD5A1B">
      <w:pPr>
        <w:spacing w:line="234" w:lineRule="auto"/>
        <w:ind w:left="1134" w:right="20"/>
        <w:jc w:val="both"/>
        <w:rPr>
          <w:rFonts w:eastAsia="Times New Roman"/>
        </w:rPr>
      </w:pPr>
      <w:r>
        <w:rPr>
          <w:rFonts w:eastAsia="Times New Roman"/>
        </w:rPr>
        <w:t xml:space="preserve">Jeżeli ograniczenia techniczne, w tym zastosowana technologia czynnych urządzeń </w:t>
      </w:r>
      <w:r w:rsidR="007504B7">
        <w:rPr>
          <w:rFonts w:eastAsia="Times New Roman"/>
        </w:rPr>
        <w:br/>
      </w:r>
      <w:r>
        <w:rPr>
          <w:rFonts w:eastAsia="Times New Roman"/>
        </w:rPr>
        <w:t xml:space="preserve">i układów EAZ, pomimo planowanej do przeprowadzenia modernizacji, uniemożliwia spełnienie wymagań określonych w IRiESD, wówczas podmiot będący właścicielem tych urządzeń i układów EAZ, na etapie opracowywania założeń do planowanej modernizacji, przekazuje do OSDn opinię </w:t>
      </w:r>
      <w:r>
        <w:rPr>
          <w:rFonts w:eastAsia="Times New Roman"/>
          <w:w w:val="99"/>
        </w:rPr>
        <w:t xml:space="preserve">o braku możliwości spełnienia tych wymagań. Jeżeli OSDn zgłosi </w:t>
      </w:r>
      <w:r>
        <w:rPr>
          <w:rFonts w:eastAsia="Times New Roman"/>
        </w:rPr>
        <w:t xml:space="preserve">uzasadnione wątpliwości dotyczące ww. opinii, wówczas podmiot przedkładający opinię ma obowiązek przedłożyć OSDn opinię </w:t>
      </w:r>
      <w:r w:rsidR="00EE0CD0">
        <w:rPr>
          <w:rFonts w:eastAsia="Times New Roman"/>
        </w:rPr>
        <w:br/>
      </w:r>
      <w:r>
        <w:rPr>
          <w:rFonts w:eastAsia="Times New Roman"/>
        </w:rPr>
        <w:t>w tym zakresie sporządzoną przez niezależną firmę ekspercką</w:t>
      </w:r>
    </w:p>
    <w:p w14:paraId="1F4464F8" w14:textId="777A57C7" w:rsidR="009E00FA" w:rsidRPr="00FA49B5" w:rsidRDefault="009E00FA">
      <w:pPr>
        <w:numPr>
          <w:ilvl w:val="0"/>
          <w:numId w:val="250"/>
        </w:numPr>
        <w:spacing w:line="234" w:lineRule="auto"/>
        <w:ind w:left="1134" w:right="20" w:hanging="1134"/>
        <w:jc w:val="both"/>
        <w:rPr>
          <w:b/>
          <w:color w:val="000000"/>
        </w:rPr>
      </w:pPr>
      <w:r>
        <w:rPr>
          <w:rFonts w:eastAsia="Times New Roman"/>
        </w:rPr>
        <w:t xml:space="preserve">Układy i urządzenia EAZ powinny spełniać szczegółowe wymagania określone przez OSDn. Układy i urządzenia EAZ powinny być na etapie projektów uzgadniane </w:t>
      </w:r>
      <w:r w:rsidR="00EE0CD0">
        <w:rPr>
          <w:rFonts w:eastAsia="Times New Roman"/>
        </w:rPr>
        <w:br/>
      </w:r>
      <w:r>
        <w:rPr>
          <w:rFonts w:eastAsia="Times New Roman"/>
        </w:rPr>
        <w:lastRenderedPageBreak/>
        <w:t xml:space="preserve">i zatwierdzane przez OSDn. Dotyczy to w szczególności doboru </w:t>
      </w:r>
      <w:r>
        <w:rPr>
          <w:rFonts w:eastAsia="Times New Roman"/>
        </w:rPr>
        <w:br/>
        <w:t xml:space="preserve">i nastaw funkcji zabezpieczeniowych, realizacji impulsów wyłączających oraz sposobu zasilania napięciem pomocniczym. </w:t>
      </w:r>
      <w:r>
        <w:rPr>
          <w:rFonts w:eastAsia="Times New Roman"/>
          <w:sz w:val="23"/>
        </w:rPr>
        <w:t xml:space="preserve">Urządzenia i elementy stosowane </w:t>
      </w:r>
      <w:r>
        <w:rPr>
          <w:rFonts w:eastAsia="Times New Roman"/>
          <w:sz w:val="23"/>
        </w:rPr>
        <w:br/>
        <w:t xml:space="preserve">w EAZ oraz urządzenia i układy współpracujące z EAZ powinny być wykonane zgodnie z aktualnymi normami, a jeśli w danym zakresie brak norm, należy korzystać </w:t>
      </w:r>
      <w:r>
        <w:rPr>
          <w:rFonts w:eastAsia="Times New Roman"/>
          <w:sz w:val="23"/>
        </w:rPr>
        <w:br/>
        <w:t>z aktualnej wiedzy technicznej. Zgodność ta powinna być potwierdzona odpowiednimi dokumentami.</w:t>
      </w:r>
    </w:p>
    <w:p w14:paraId="1DE24C8C"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t>Czasy działania układów EAZ muszą spełniać wymagania aktualnego rozporządzenia dotyczącego funkcjonowania systemu elektroenergetycznego.</w:t>
      </w:r>
    </w:p>
    <w:p w14:paraId="0D9F5128"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t>Warunki przyłączenia wydawane podmiotom przyłączanym do sieci powinny zawierać rodzaj i usytuowanie zabezpieczeń, dane znamionowe, warunki współpracy oraz inne niezbędne wymagania w zakresie elektroenergetycznej automatyki zabezpieczeniowej i systemowej.</w:t>
      </w:r>
    </w:p>
    <w:p w14:paraId="33F92B25"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t>OSDn określa warunki stosowania EAZ przez podmioty przyłączone do sieci dystrybucyjnej OSDn.</w:t>
      </w:r>
    </w:p>
    <w:p w14:paraId="78F90C72"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t>OSDn dokonuje koordynacji nastawień zabezpieczeń w stacjach podmiotów przyłączanych i przyłączonych, w tym OSDn. Podmioty te zobowiązane są do aktualizacji danych o wyposażeniu w układy EAZ w trakcie eksploatacji przyłączonego obiektu w przypadku każdorazowej ich zmiany.</w:t>
      </w:r>
    </w:p>
    <w:p w14:paraId="055F61BC"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t>EAZ powinna zapewniać odpowiednią szybkość działania, czułość w wykrywaniu zakłóceń, wybiórczość, selektywność oraz niezawodność.</w:t>
      </w:r>
    </w:p>
    <w:p w14:paraId="37352790"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t xml:space="preserve">Nastawy czasowe EAZ należy dobierać w taki sposób, aby były możliwie jak najkrótsze, przy zapewnieniu odpowiedniej wybiorczości i selektywności wyłączeń oraz aby ograniczały czasy trwania zakłóceń. Zabrania się wydłużania czasów działania zabezpieczeń działających na wyłączenie ponad wartości wynikające </w:t>
      </w:r>
      <w:r>
        <w:rPr>
          <w:rFonts w:eastAsia="Times New Roman"/>
        </w:rPr>
        <w:br/>
        <w:t>z potrzeb selektywności, wybiorczości i odstrojenia od stanów nieustalonych lub innych zjawisk grożących zbędnymi zadziałaniami. W celu zapewnienia selektywności zaleca się stopniowanie nastaw czasowych zabezpieczeń co 0,3 – 0,5 s. Przy stosowaniu zabezpieczeń cyfrowych zaleca się wartość 0,3 s.</w:t>
      </w:r>
    </w:p>
    <w:p w14:paraId="0D3B96FB"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t>Należy tak dobierać zabezpieczenia i ich nastawy, aby każde zabezpieczenie było rezerwowane przez zabezpieczenia sąsiednich elementów systemu elektroenergetycznego. Wymaganie obowiązuje także wówczas, gdy w danym punkcie jest zainstalowane zabezpieczenie podstawowe i rezerwowe.</w:t>
      </w:r>
    </w:p>
    <w:p w14:paraId="421BE297" w14:textId="2B865C43" w:rsidR="009E00FA" w:rsidRPr="00FA49B5" w:rsidRDefault="009E00FA">
      <w:pPr>
        <w:numPr>
          <w:ilvl w:val="0"/>
          <w:numId w:val="250"/>
        </w:numPr>
        <w:spacing w:line="234" w:lineRule="auto"/>
        <w:ind w:left="1134" w:right="20" w:hanging="1134"/>
        <w:jc w:val="both"/>
        <w:rPr>
          <w:b/>
          <w:color w:val="000000"/>
        </w:rPr>
      </w:pPr>
      <w:r>
        <w:rPr>
          <w:rFonts w:eastAsia="Times New Roman"/>
        </w:rPr>
        <w:t xml:space="preserve">Źródła napięcia pomocniczego (baterie akumulatorów) w obiektach wyposażonych w EAZ powinny przy braku innego zasilania zapewniać ich pracę w czasie nie krótszym niż 8 godzin w warunkach obciążenia akumulatorów wszystkimi odbiorami prądu stałego, czynnymi w warunkach braku zasilania zewnętrznego, oraz przy zachowaniu poziomu napięcia na szynach zbiorczych rozdzielnicy prądu stałego </w:t>
      </w:r>
      <w:r w:rsidR="00EE0CD0">
        <w:rPr>
          <w:rFonts w:eastAsia="Times New Roman"/>
        </w:rPr>
        <w:br/>
      </w:r>
      <w:r>
        <w:rPr>
          <w:rFonts w:eastAsia="Times New Roman"/>
        </w:rPr>
        <w:t>w wymaganych granicach.</w:t>
      </w:r>
    </w:p>
    <w:p w14:paraId="42D098AA" w14:textId="5C8E50A1" w:rsidR="009E00FA" w:rsidRPr="00FA49B5" w:rsidRDefault="009E00FA">
      <w:pPr>
        <w:numPr>
          <w:ilvl w:val="0"/>
          <w:numId w:val="250"/>
        </w:numPr>
        <w:spacing w:line="234" w:lineRule="auto"/>
        <w:ind w:left="1134" w:right="20" w:hanging="1134"/>
        <w:jc w:val="both"/>
        <w:rPr>
          <w:b/>
          <w:color w:val="000000"/>
        </w:rPr>
      </w:pPr>
      <w:r>
        <w:rPr>
          <w:rFonts w:eastAsia="Times New Roman"/>
        </w:rPr>
        <w:t xml:space="preserve">Źródła napięcia pomocniczego (baterie akumulatorów) w obiektach wyposażonych w EAZ powinny przy braku innego zasilania zapewniać ich pracę w czasie nie krótszym niż 8 godzin w warunkach obciążenia akumulatorów wszystkimi odbiorami prądu stałego, czynnymi w warunkach braku zasilania zewnętrznego, oraz przy zachowaniu poziomu napięcia na szynach zbiorczych rozdzielnicy prądu stałego </w:t>
      </w:r>
      <w:r w:rsidR="00EE0CD0">
        <w:rPr>
          <w:rFonts w:eastAsia="Times New Roman"/>
        </w:rPr>
        <w:br/>
      </w:r>
      <w:r>
        <w:rPr>
          <w:rFonts w:eastAsia="Times New Roman"/>
        </w:rPr>
        <w:t>w wymaganych granicach.</w:t>
      </w:r>
    </w:p>
    <w:p w14:paraId="577D9B7B"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t>Jeśli w niniejszym rozdziale wskazano, że zabezpieczenie działa na wyłączenie, należy rozumieć wyłączenie wszystkich trzech faz wyłącznika.</w:t>
      </w:r>
    </w:p>
    <w:p w14:paraId="08C2A2D7" w14:textId="77777777" w:rsidR="009E00FA" w:rsidRPr="00FA49B5" w:rsidRDefault="009E00FA">
      <w:pPr>
        <w:numPr>
          <w:ilvl w:val="0"/>
          <w:numId w:val="250"/>
        </w:numPr>
        <w:spacing w:line="234" w:lineRule="auto"/>
        <w:ind w:left="1134" w:right="20" w:hanging="1134"/>
        <w:jc w:val="both"/>
        <w:rPr>
          <w:b/>
          <w:color w:val="000000"/>
        </w:rPr>
      </w:pPr>
      <w:r>
        <w:rPr>
          <w:rFonts w:eastAsia="Times New Roman"/>
          <w:sz w:val="23"/>
        </w:rPr>
        <w:t>Należy stosować urządzenia realizujące funkcje ciągłej kontroli i samotestowania.</w:t>
      </w:r>
    </w:p>
    <w:p w14:paraId="2DEDCDD3"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t>Zaleca się wyposażenie obwodów wyłączających w układy kontroli ciągłości obwodów wyłączania.</w:t>
      </w:r>
    </w:p>
    <w:p w14:paraId="16FDE894"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lastRenderedPageBreak/>
        <w:t>W niniejszym rozdziale podano wymagania minimalne. W poszczególnych urządzeniach lub polach można stosować dodatkowe zabezpieczenia działające na wyłączenie lub sygnalizację, np. wynikające z konstrukcji rozdzielnicy lub innych zabezpieczanych elementów.</w:t>
      </w:r>
    </w:p>
    <w:p w14:paraId="25D02FD6" w14:textId="77777777" w:rsidR="009E00FA" w:rsidRPr="00FA49B5" w:rsidRDefault="009E00FA">
      <w:pPr>
        <w:numPr>
          <w:ilvl w:val="0"/>
          <w:numId w:val="250"/>
        </w:numPr>
        <w:spacing w:line="234" w:lineRule="auto"/>
        <w:ind w:left="1134" w:right="20" w:hanging="1134"/>
        <w:jc w:val="both"/>
        <w:rPr>
          <w:b/>
          <w:color w:val="000000"/>
        </w:rPr>
      </w:pPr>
      <w:r>
        <w:rPr>
          <w:rFonts w:eastAsia="Times New Roman"/>
        </w:rPr>
        <w:t xml:space="preserve">Rejestratory zdarzeń i zakłóceń przeznaczone do wykonywania analiz przebiegu zakłóceń i działania EAZ oraz łączników powinny być instalowane w stacjach </w:t>
      </w:r>
      <w:r>
        <w:rPr>
          <w:rFonts w:eastAsia="Times New Roman"/>
        </w:rPr>
        <w:br/>
        <w:t xml:space="preserve">i rozdzielniach sieci dystrybucyjnej OSDn zgodnie ze znaczeniem stacji </w:t>
      </w:r>
      <w:r>
        <w:rPr>
          <w:rFonts w:eastAsia="Times New Roman"/>
        </w:rPr>
        <w:br/>
        <w:t>w systemie. Zaleca się wyposażenie w rejestratory zdarzeń i zakłóceń pól SN. Wymaga się wyposażania w rejestratory zdarzeń i zakłóceń pól SN transformatorów zasilających, pól transformatorów potrzeb własnych oraz pól linii współpracujących z lokalnymi źródłami wytwórczymi. Rejestratory zakłóceń powinny rejestrować wielkości przed wystąpieniem zakłócenia oraz po jego wystąpieniu aż do wyłączenia.</w:t>
      </w:r>
    </w:p>
    <w:p w14:paraId="3EC7F5D1" w14:textId="77777777" w:rsidR="009E00FA" w:rsidRDefault="009E00FA">
      <w:pPr>
        <w:numPr>
          <w:ilvl w:val="0"/>
          <w:numId w:val="250"/>
        </w:numPr>
        <w:spacing w:line="0" w:lineRule="atLeast"/>
        <w:ind w:left="1134" w:hanging="1134"/>
        <w:rPr>
          <w:rFonts w:eastAsia="Times New Roman"/>
        </w:rPr>
      </w:pPr>
      <w:r>
        <w:rPr>
          <w:rFonts w:eastAsia="Times New Roman"/>
        </w:rPr>
        <w:t>Stosuje się następujące sygnalizacje:</w:t>
      </w:r>
    </w:p>
    <w:p w14:paraId="182E1AEF" w14:textId="77777777" w:rsidR="009E00FA" w:rsidRDefault="009E00FA" w:rsidP="00FA49B5">
      <w:pPr>
        <w:numPr>
          <w:ilvl w:val="0"/>
          <w:numId w:val="13"/>
        </w:numPr>
        <w:spacing w:line="234" w:lineRule="auto"/>
        <w:ind w:left="1418" w:hanging="284"/>
        <w:rPr>
          <w:rFonts w:eastAsia="Times New Roman"/>
        </w:rPr>
      </w:pPr>
      <w:r>
        <w:rPr>
          <w:rFonts w:eastAsia="Times New Roman"/>
        </w:rPr>
        <w:t>Al (alarm), która jest pobudzana przy zaniku i obniżeniu napięcia pomocniczego lub uszkodzeniu układu EAZ,</w:t>
      </w:r>
    </w:p>
    <w:p w14:paraId="3BCC0BA8" w14:textId="77777777" w:rsidR="009E00FA" w:rsidRDefault="009E00FA" w:rsidP="00FA49B5">
      <w:pPr>
        <w:numPr>
          <w:ilvl w:val="0"/>
          <w:numId w:val="13"/>
        </w:numPr>
        <w:spacing w:line="236" w:lineRule="auto"/>
        <w:ind w:left="1418" w:hanging="284"/>
        <w:jc w:val="both"/>
        <w:rPr>
          <w:rFonts w:eastAsia="Times New Roman"/>
        </w:rPr>
      </w:pPr>
      <w:r>
        <w:rPr>
          <w:rFonts w:eastAsia="Times New Roman"/>
        </w:rPr>
        <w:t>Aw (awaria), która jest pobudzana po otwarciu wyłącznika w polu przez dowolne zabezpieczenie. Jeśli w polu jest czynna automatyka SPZ, pobudzenie powinno nastąpić dopiero po definitywnym wyłączeniu,</w:t>
      </w:r>
    </w:p>
    <w:p w14:paraId="1DE7F4CA" w14:textId="77777777" w:rsidR="009E00FA" w:rsidRDefault="009E00FA" w:rsidP="009E00FA">
      <w:pPr>
        <w:spacing w:line="236" w:lineRule="auto"/>
        <w:ind w:left="1418" w:hanging="284"/>
        <w:jc w:val="both"/>
        <w:rPr>
          <w:rFonts w:eastAsia="Times New Roman"/>
        </w:rPr>
      </w:pPr>
      <w:r>
        <w:rPr>
          <w:rFonts w:eastAsia="Times New Roman"/>
        </w:rPr>
        <w:t>3)</w:t>
      </w:r>
      <w:r>
        <w:rPr>
          <w:rFonts w:eastAsia="Times New Roman"/>
        </w:rPr>
        <w:tab/>
        <w:t xml:space="preserve">Up (uszkodzenie pola), która jest pobudzana przez różne zakłócenia </w:t>
      </w:r>
      <w:r>
        <w:rPr>
          <w:rFonts w:eastAsia="Times New Roman"/>
        </w:rPr>
        <w:br/>
        <w:t>w działaniu urządzeń pola nie wymagającego natychmiastowego wyłączenia wyłącznika.</w:t>
      </w:r>
    </w:p>
    <w:p w14:paraId="66A6AB2B" w14:textId="77777777" w:rsidR="009E00FA" w:rsidRPr="00FA49B5" w:rsidRDefault="007F75E9">
      <w:pPr>
        <w:numPr>
          <w:ilvl w:val="0"/>
          <w:numId w:val="250"/>
        </w:numPr>
        <w:spacing w:line="234" w:lineRule="auto"/>
        <w:ind w:left="1134" w:right="20" w:hanging="1134"/>
        <w:jc w:val="both"/>
        <w:rPr>
          <w:b/>
          <w:color w:val="000000"/>
        </w:rPr>
      </w:pPr>
      <w:r>
        <w:rPr>
          <w:rFonts w:eastAsia="Times New Roman"/>
        </w:rPr>
        <w:t>Dla potrzeb elementów EAZ współpracujących współbieżnie lub realizacji bezwarunkowych wyłączeń drugiego końca linii, wymaga się stosowania łączy niezależnych. Czas przekazywania sygnałów nie powinien przekraczać 20 ms dla sygnałów binarnych oraz 5 ms dla sygnałów analogowych.</w:t>
      </w:r>
    </w:p>
    <w:p w14:paraId="23017CE5" w14:textId="77777777" w:rsidR="0064533F" w:rsidRDefault="0064533F" w:rsidP="0064533F">
      <w:pPr>
        <w:spacing w:line="234" w:lineRule="auto"/>
        <w:ind w:right="20"/>
        <w:jc w:val="both"/>
        <w:rPr>
          <w:rFonts w:eastAsia="Times New Roman"/>
        </w:rPr>
      </w:pPr>
    </w:p>
    <w:p w14:paraId="0B2122BA" w14:textId="77777777" w:rsidR="0064533F" w:rsidRDefault="0064533F" w:rsidP="0064533F">
      <w:pPr>
        <w:spacing w:line="234" w:lineRule="auto"/>
        <w:ind w:right="20"/>
        <w:jc w:val="both"/>
        <w:rPr>
          <w:rFonts w:eastAsia="Times New Roman"/>
          <w:b/>
          <w:bCs/>
        </w:rPr>
      </w:pPr>
      <w:r w:rsidRPr="0064533F">
        <w:rPr>
          <w:rFonts w:eastAsia="Times New Roman"/>
          <w:b/>
          <w:bCs/>
        </w:rPr>
        <w:t>II.3.5.2. Wymagania dla transformatorów</w:t>
      </w:r>
    </w:p>
    <w:p w14:paraId="113E02A1" w14:textId="77777777" w:rsidR="0064533F" w:rsidRDefault="0064533F" w:rsidP="0064533F">
      <w:pPr>
        <w:spacing w:line="234" w:lineRule="auto"/>
        <w:ind w:right="20"/>
        <w:jc w:val="both"/>
        <w:rPr>
          <w:rFonts w:eastAsia="Times New Roman"/>
          <w:b/>
          <w:bCs/>
        </w:rPr>
      </w:pPr>
    </w:p>
    <w:p w14:paraId="12F791CA" w14:textId="77777777" w:rsidR="0064533F" w:rsidRPr="0022488C" w:rsidRDefault="0064533F">
      <w:pPr>
        <w:numPr>
          <w:ilvl w:val="0"/>
          <w:numId w:val="251"/>
        </w:numPr>
        <w:spacing w:line="0" w:lineRule="atLeast"/>
        <w:ind w:left="993" w:hanging="993"/>
        <w:jc w:val="both"/>
        <w:rPr>
          <w:rFonts w:eastAsia="Times New Roman"/>
          <w:szCs w:val="24"/>
        </w:rPr>
      </w:pPr>
      <w:r w:rsidRPr="0022488C">
        <w:rPr>
          <w:rFonts w:eastAsia="Times New Roman"/>
          <w:szCs w:val="24"/>
        </w:rPr>
        <w:t>Transformatory mocy dwu- i wielouzwojeniowe SN/SN powinny być wyposażone w:</w:t>
      </w:r>
    </w:p>
    <w:p w14:paraId="3EA0A7CF" w14:textId="77777777" w:rsidR="0064533F" w:rsidRPr="0022488C" w:rsidRDefault="0064533F">
      <w:pPr>
        <w:numPr>
          <w:ilvl w:val="0"/>
          <w:numId w:val="65"/>
        </w:numPr>
        <w:spacing w:line="0" w:lineRule="atLeast"/>
        <w:ind w:left="1276" w:hanging="283"/>
        <w:jc w:val="both"/>
        <w:rPr>
          <w:rFonts w:eastAsia="Times New Roman"/>
          <w:szCs w:val="24"/>
        </w:rPr>
      </w:pPr>
      <w:r w:rsidRPr="0022488C">
        <w:rPr>
          <w:rFonts w:eastAsia="Times New Roman"/>
          <w:szCs w:val="24"/>
        </w:rPr>
        <w:t>zabezpieczenia od skutków zwarć wewnętrznych w transformatorze i na wyprowadzeniach (nadprądowe zwarciowe, a dla transformatorów o mocy powyżej 5 MVA różnicowe),</w:t>
      </w:r>
    </w:p>
    <w:p w14:paraId="3452773B" w14:textId="77777777" w:rsidR="0064533F" w:rsidRPr="0022488C" w:rsidRDefault="0064533F">
      <w:pPr>
        <w:numPr>
          <w:ilvl w:val="0"/>
          <w:numId w:val="65"/>
        </w:numPr>
        <w:spacing w:line="0" w:lineRule="atLeast"/>
        <w:ind w:left="1276" w:hanging="283"/>
        <w:jc w:val="both"/>
        <w:rPr>
          <w:rFonts w:eastAsia="Times New Roman"/>
          <w:szCs w:val="24"/>
        </w:rPr>
      </w:pPr>
      <w:r w:rsidRPr="0022488C">
        <w:rPr>
          <w:rFonts w:eastAsia="Times New Roman"/>
          <w:szCs w:val="24"/>
        </w:rPr>
        <w:t>zabezpieczenia od skutków zwarć zewnętrznych nadprądowe zwłoczne po każdej stronie,</w:t>
      </w:r>
    </w:p>
    <w:p w14:paraId="5AB4F3C4" w14:textId="77777777" w:rsidR="0064533F" w:rsidRPr="0022488C" w:rsidRDefault="0064533F">
      <w:pPr>
        <w:numPr>
          <w:ilvl w:val="0"/>
          <w:numId w:val="65"/>
        </w:numPr>
        <w:spacing w:line="0" w:lineRule="atLeast"/>
        <w:ind w:left="1276" w:hanging="283"/>
        <w:jc w:val="both"/>
        <w:rPr>
          <w:rFonts w:eastAsia="Times New Roman"/>
          <w:szCs w:val="24"/>
        </w:rPr>
      </w:pPr>
      <w:r w:rsidRPr="0022488C">
        <w:rPr>
          <w:rFonts w:eastAsia="Times New Roman"/>
          <w:szCs w:val="24"/>
        </w:rPr>
        <w:t>zabezpieczenia przeciążeniowe po każdej stronie (transformatory dwuuzwojeniowe można zabezpieczać tylko po jednej stronie),</w:t>
      </w:r>
    </w:p>
    <w:p w14:paraId="6AF87E2B" w14:textId="77777777" w:rsidR="0064533F" w:rsidRPr="0022488C" w:rsidRDefault="0064533F">
      <w:pPr>
        <w:numPr>
          <w:ilvl w:val="0"/>
          <w:numId w:val="65"/>
        </w:numPr>
        <w:spacing w:line="0" w:lineRule="atLeast"/>
        <w:ind w:left="1276" w:hanging="283"/>
        <w:jc w:val="both"/>
        <w:rPr>
          <w:rFonts w:eastAsia="Times New Roman"/>
          <w:szCs w:val="24"/>
        </w:rPr>
      </w:pPr>
      <w:r w:rsidRPr="0022488C">
        <w:rPr>
          <w:rFonts w:eastAsia="Times New Roman"/>
          <w:szCs w:val="24"/>
        </w:rPr>
        <w:t>zabezpieczenia fabryczne transformatorów: dwustopniowe temperaturowe gazowo-przepływowe kadzi oraz gazowo-podmuchowe przełącznika zaczepów,</w:t>
      </w:r>
    </w:p>
    <w:p w14:paraId="5A0D1AE6" w14:textId="77777777" w:rsidR="0064533F" w:rsidRPr="0022488C" w:rsidRDefault="0064533F">
      <w:pPr>
        <w:pStyle w:val="Default"/>
        <w:numPr>
          <w:ilvl w:val="0"/>
          <w:numId w:val="65"/>
        </w:numPr>
        <w:ind w:left="1276" w:hanging="283"/>
        <w:jc w:val="both"/>
      </w:pPr>
      <w:r w:rsidRPr="0022488C">
        <w:t xml:space="preserve">Układ automatycznej regulacji napięcia. </w:t>
      </w:r>
    </w:p>
    <w:p w14:paraId="43CDDD52" w14:textId="77777777" w:rsidR="0064533F" w:rsidRDefault="0064533F" w:rsidP="0064533F">
      <w:pPr>
        <w:pStyle w:val="Default"/>
        <w:ind w:left="236"/>
        <w:jc w:val="both"/>
      </w:pPr>
    </w:p>
    <w:p w14:paraId="4BB05E9E" w14:textId="77777777" w:rsidR="0064533F" w:rsidRPr="0022488C" w:rsidRDefault="0064533F" w:rsidP="0064533F">
      <w:pPr>
        <w:pStyle w:val="Default"/>
        <w:ind w:left="993"/>
        <w:jc w:val="both"/>
      </w:pPr>
      <w:r w:rsidRPr="0022488C">
        <w:t>Automatyczna regulacja napięcia transformatora winna realizować następujące funkcje:</w:t>
      </w:r>
    </w:p>
    <w:p w14:paraId="482AA658" w14:textId="77777777" w:rsidR="0064533F" w:rsidRPr="0022488C" w:rsidRDefault="0064533F">
      <w:pPr>
        <w:pStyle w:val="Default"/>
        <w:numPr>
          <w:ilvl w:val="0"/>
          <w:numId w:val="66"/>
        </w:numPr>
        <w:ind w:left="1276" w:hanging="294"/>
        <w:jc w:val="both"/>
      </w:pPr>
      <w:r w:rsidRPr="0022488C">
        <w:t xml:space="preserve">Utrzymanie zadanego poziomu napięcia na szynach rozdzielni SN poprzez sterowanie napędem przełącznika zaczepów, </w:t>
      </w:r>
    </w:p>
    <w:p w14:paraId="273C5ABB" w14:textId="77777777" w:rsidR="0064533F" w:rsidRPr="0022488C" w:rsidRDefault="0064533F">
      <w:pPr>
        <w:pStyle w:val="Default"/>
        <w:numPr>
          <w:ilvl w:val="0"/>
          <w:numId w:val="66"/>
        </w:numPr>
        <w:ind w:left="1276" w:hanging="294"/>
        <w:jc w:val="both"/>
      </w:pPr>
      <w:r w:rsidRPr="0022488C">
        <w:t>Kontrola prawidłowości utrzymania napięcia w ramach dopuszczalnego zakresu.</w:t>
      </w:r>
    </w:p>
    <w:p w14:paraId="51718CD4" w14:textId="77777777" w:rsidR="0064533F" w:rsidRPr="0022488C" w:rsidRDefault="0064533F" w:rsidP="0064533F">
      <w:pPr>
        <w:pStyle w:val="Default"/>
        <w:jc w:val="both"/>
      </w:pPr>
    </w:p>
    <w:p w14:paraId="0C347324" w14:textId="77777777" w:rsidR="0064533F" w:rsidRPr="0022488C" w:rsidRDefault="0064533F" w:rsidP="0064533F">
      <w:pPr>
        <w:pStyle w:val="Default"/>
        <w:ind w:left="993"/>
        <w:jc w:val="both"/>
      </w:pPr>
      <w:r w:rsidRPr="0022488C">
        <w:t xml:space="preserve">W stosunku do zabezpieczenia różnicowego obowiązuje zapis </w:t>
      </w:r>
      <w:r w:rsidRPr="0009261A">
        <w:t>punktu II.3.5.1.10.</w:t>
      </w:r>
      <w:r w:rsidRPr="0022488C">
        <w:t xml:space="preserve"> </w:t>
      </w:r>
    </w:p>
    <w:p w14:paraId="5331E28D" w14:textId="77777777" w:rsidR="0064533F" w:rsidRPr="0022488C" w:rsidRDefault="0064533F" w:rsidP="0064533F">
      <w:pPr>
        <w:pStyle w:val="Default"/>
        <w:ind w:left="993"/>
        <w:jc w:val="both"/>
      </w:pPr>
      <w:r w:rsidRPr="0022488C">
        <w:t xml:space="preserve">Zabezpieczenia transformatora reagujące na zwarcia wewnętrzne powinny działać na wyłączenie wszystkich stron transformatora. Wymaga się, aby na wyłączenie działały </w:t>
      </w:r>
      <w:r w:rsidRPr="0022488C">
        <w:lastRenderedPageBreak/>
        <w:t xml:space="preserve">również wybrane zabezpieczenia fabryczne. Zabezpieczenie przeciążeniowe może działać na sygnalizację. </w:t>
      </w:r>
    </w:p>
    <w:p w14:paraId="3BCD1716" w14:textId="77777777" w:rsidR="0064533F" w:rsidRDefault="0064533F" w:rsidP="0064533F">
      <w:pPr>
        <w:spacing w:line="234" w:lineRule="auto"/>
        <w:ind w:left="993" w:right="20"/>
        <w:jc w:val="both"/>
      </w:pPr>
      <w:r w:rsidRPr="0022488C">
        <w:t>W sieciach z punktem neutralnym uziemionym przez rezystor można strony SN tych transformatorów wyposażać w zerowoprądowe zabezpieczenie od skutków zwarć doziemnych działające na wyłączenie wyłącznika własnego</w:t>
      </w:r>
      <w:r>
        <w:t xml:space="preserve"> pola.</w:t>
      </w:r>
    </w:p>
    <w:p w14:paraId="45FB74FE" w14:textId="05B7C62E" w:rsidR="0064533F" w:rsidRPr="0022488C" w:rsidRDefault="0064533F">
      <w:pPr>
        <w:pStyle w:val="Default"/>
        <w:numPr>
          <w:ilvl w:val="0"/>
          <w:numId w:val="251"/>
        </w:numPr>
        <w:ind w:left="993" w:hanging="993"/>
        <w:jc w:val="both"/>
      </w:pPr>
      <w:r w:rsidRPr="0022488C">
        <w:t>Transformatory SN/SN i SN</w:t>
      </w:r>
      <w:r w:rsidR="00456B27">
        <w:t>/nN</w:t>
      </w:r>
      <w:r w:rsidRPr="0022488C">
        <w:t xml:space="preserve"> o mocy większej niż 1000 kVA posiadające wyłącznik przynajmniej po stronie wyższego napięcia wyposaża się w (zapisy nie dotyczą transformatorów współpracujących z jednostkami wytwórczymi): </w:t>
      </w:r>
    </w:p>
    <w:p w14:paraId="5AC4117C" w14:textId="77777777" w:rsidR="0064533F" w:rsidRPr="0022488C" w:rsidRDefault="0064533F">
      <w:pPr>
        <w:pStyle w:val="Default"/>
        <w:numPr>
          <w:ilvl w:val="0"/>
          <w:numId w:val="252"/>
        </w:numPr>
        <w:ind w:left="1276" w:hanging="283"/>
        <w:jc w:val="both"/>
      </w:pPr>
      <w:r w:rsidRPr="0022488C">
        <w:t xml:space="preserve">zabezpieczenia od skutków zwarć wewnętrznych w transformatorze i na wyprowadzeniach (nadprądowe zwarciowe, a dla transformatorów o mocy powyżej 5 MVA różnicowe), </w:t>
      </w:r>
    </w:p>
    <w:p w14:paraId="2EDF9A64" w14:textId="77777777" w:rsidR="0064533F" w:rsidRPr="0022488C" w:rsidRDefault="0064533F">
      <w:pPr>
        <w:pStyle w:val="Default"/>
        <w:numPr>
          <w:ilvl w:val="0"/>
          <w:numId w:val="252"/>
        </w:numPr>
        <w:ind w:left="1276" w:hanging="283"/>
        <w:jc w:val="both"/>
      </w:pPr>
      <w:r w:rsidRPr="0022488C">
        <w:t xml:space="preserve">zabezpieczenia od skutków zwarć zewnętrznych nadprądowe zwłoczne po każdej stronie, </w:t>
      </w:r>
    </w:p>
    <w:p w14:paraId="5332A7B9" w14:textId="77777777" w:rsidR="0064533F" w:rsidRPr="0022488C" w:rsidRDefault="0064533F">
      <w:pPr>
        <w:pStyle w:val="Default"/>
        <w:numPr>
          <w:ilvl w:val="0"/>
          <w:numId w:val="252"/>
        </w:numPr>
        <w:ind w:left="1276" w:hanging="283"/>
        <w:jc w:val="both"/>
      </w:pPr>
      <w:r w:rsidRPr="0022488C">
        <w:t xml:space="preserve">zabezpieczenia przeciążeniowe po każdej stronie (transformatory dwuuzwojeniowe można zabezpieczać tylko po jednej stronie), </w:t>
      </w:r>
    </w:p>
    <w:p w14:paraId="5959434A" w14:textId="77777777" w:rsidR="0064533F" w:rsidRPr="0022488C" w:rsidRDefault="0064533F">
      <w:pPr>
        <w:pStyle w:val="Default"/>
        <w:numPr>
          <w:ilvl w:val="0"/>
          <w:numId w:val="252"/>
        </w:numPr>
        <w:ind w:left="1276" w:hanging="283"/>
        <w:jc w:val="both"/>
      </w:pPr>
      <w:r w:rsidRPr="0022488C">
        <w:t xml:space="preserve">zabezpieczenia fabryczne transformatorów: dwustopniowe temperaturowe </w:t>
      </w:r>
      <w:r w:rsidRPr="0022488C">
        <w:br/>
        <w:t xml:space="preserve">i gazowo-przepływowe kadzi oraz gazowo-przepływowe przełącznika zaczepów. </w:t>
      </w:r>
    </w:p>
    <w:p w14:paraId="50775AFA" w14:textId="77777777" w:rsidR="0064533F" w:rsidRPr="0022488C" w:rsidRDefault="0064533F" w:rsidP="0064533F">
      <w:pPr>
        <w:pStyle w:val="Default"/>
        <w:ind w:left="236"/>
        <w:jc w:val="both"/>
      </w:pPr>
    </w:p>
    <w:p w14:paraId="0DEA14A5" w14:textId="77777777" w:rsidR="0064533F" w:rsidRPr="00FA49B5" w:rsidRDefault="0064533F" w:rsidP="0064533F">
      <w:pPr>
        <w:spacing w:line="234" w:lineRule="auto"/>
        <w:ind w:left="993" w:right="20"/>
        <w:jc w:val="both"/>
        <w:rPr>
          <w:b/>
          <w:bCs/>
          <w:color w:val="000000"/>
        </w:rPr>
      </w:pPr>
      <w:r w:rsidRPr="0022488C">
        <w:rPr>
          <w:szCs w:val="24"/>
        </w:rPr>
        <w:t>Zaleca się, aby na wyłączenie działały również wybrane zabezpieczenia fabryczne. Zabezpieczenie przeciążeniowe może działać na sygnalizację.</w:t>
      </w:r>
    </w:p>
    <w:p w14:paraId="6826C007" w14:textId="77777777" w:rsidR="009E00FA" w:rsidRDefault="009E00FA" w:rsidP="009E00FA">
      <w:pPr>
        <w:spacing w:line="234" w:lineRule="auto"/>
        <w:ind w:left="709" w:right="20" w:hanging="709"/>
        <w:jc w:val="both"/>
        <w:rPr>
          <w:rFonts w:eastAsia="Times New Roman"/>
        </w:rPr>
      </w:pPr>
    </w:p>
    <w:p w14:paraId="31A1AE53" w14:textId="77777777" w:rsidR="00572BA3" w:rsidRPr="004847F9" w:rsidRDefault="00572BA3" w:rsidP="003A7CD5">
      <w:pPr>
        <w:ind w:left="1134" w:hanging="1134"/>
        <w:rPr>
          <w:b/>
        </w:rPr>
      </w:pPr>
      <w:r w:rsidRPr="004847F9">
        <w:rPr>
          <w:b/>
        </w:rPr>
        <w:t>II.</w:t>
      </w:r>
      <w:r w:rsidR="00C31BD8" w:rsidRPr="004847F9">
        <w:rPr>
          <w:b/>
        </w:rPr>
        <w:t>3</w:t>
      </w:r>
      <w:r w:rsidRPr="004847F9">
        <w:rPr>
          <w:b/>
        </w:rPr>
        <w:t>.5.</w:t>
      </w:r>
      <w:r w:rsidR="0064533F">
        <w:rPr>
          <w:b/>
        </w:rPr>
        <w:t>3</w:t>
      </w:r>
      <w:r w:rsidRPr="004847F9">
        <w:rPr>
          <w:b/>
        </w:rPr>
        <w:t>.</w:t>
      </w:r>
      <w:r w:rsidRPr="004847F9">
        <w:rPr>
          <w:b/>
        </w:rPr>
        <w:tab/>
        <w:t>Wymagania dla sieci SN</w:t>
      </w:r>
    </w:p>
    <w:p w14:paraId="22A98191" w14:textId="77777777" w:rsidR="00572BA3" w:rsidRDefault="00572BA3" w:rsidP="003219CC">
      <w:pPr>
        <w:spacing w:line="120" w:lineRule="exact"/>
        <w:rPr>
          <w:rFonts w:eastAsia="Times New Roman"/>
        </w:rPr>
      </w:pPr>
    </w:p>
    <w:p w14:paraId="5BDC623A" w14:textId="77777777" w:rsidR="00572BA3" w:rsidRDefault="00572BA3" w:rsidP="003219CC">
      <w:pPr>
        <w:tabs>
          <w:tab w:val="left" w:pos="1260"/>
        </w:tabs>
        <w:spacing w:line="0" w:lineRule="atLeast"/>
        <w:rPr>
          <w:rFonts w:eastAsia="Times New Roman"/>
          <w:u w:val="single"/>
        </w:rPr>
      </w:pPr>
      <w:r>
        <w:rPr>
          <w:rFonts w:eastAsia="Times New Roman"/>
        </w:rPr>
        <w:t>II.</w:t>
      </w:r>
      <w:r w:rsidR="00C31BD8">
        <w:rPr>
          <w:rFonts w:eastAsia="Times New Roman"/>
        </w:rPr>
        <w:t>3</w:t>
      </w:r>
      <w:r>
        <w:rPr>
          <w:rFonts w:eastAsia="Times New Roman"/>
        </w:rPr>
        <w:t>.5.</w:t>
      </w:r>
      <w:r w:rsidR="0064533F">
        <w:rPr>
          <w:rFonts w:eastAsia="Times New Roman"/>
        </w:rPr>
        <w:t>3</w:t>
      </w:r>
      <w:r>
        <w:rPr>
          <w:rFonts w:eastAsia="Times New Roman"/>
        </w:rPr>
        <w:t>.1.</w:t>
      </w:r>
      <w:r>
        <w:rPr>
          <w:rFonts w:eastAsia="Times New Roman"/>
        </w:rPr>
        <w:tab/>
      </w:r>
      <w:r>
        <w:rPr>
          <w:rFonts w:eastAsia="Times New Roman"/>
          <w:u w:val="single"/>
        </w:rPr>
        <w:t>Wymagania ogólne</w:t>
      </w:r>
    </w:p>
    <w:p w14:paraId="30B14102" w14:textId="77777777" w:rsidR="00572BA3" w:rsidRDefault="00572BA3">
      <w:pPr>
        <w:numPr>
          <w:ilvl w:val="0"/>
          <w:numId w:val="67"/>
        </w:numPr>
        <w:spacing w:line="237" w:lineRule="auto"/>
        <w:ind w:left="1276" w:hanging="1276"/>
        <w:jc w:val="both"/>
        <w:rPr>
          <w:rFonts w:eastAsia="Times New Roman"/>
        </w:rPr>
      </w:pPr>
      <w:r>
        <w:rPr>
          <w:rFonts w:eastAsia="Times New Roman"/>
        </w:rPr>
        <w:t xml:space="preserve">Jeśli w IRiESD nie określono inaczej, zabezpieczenia w sieci SN działają na wyłączenie. Działanie na sygnalizację jest możliwe </w:t>
      </w:r>
      <w:r w:rsidRPr="0078709C">
        <w:rPr>
          <w:rFonts w:eastAsia="Times New Roman"/>
        </w:rPr>
        <w:t>tylko w przypadku zabezpieczeń ziemnozwarciowych w sytuacjach określonych w pkt. II.</w:t>
      </w:r>
      <w:r w:rsidR="00C31BD8" w:rsidRPr="0078709C">
        <w:rPr>
          <w:rFonts w:eastAsia="Times New Roman"/>
        </w:rPr>
        <w:t>3</w:t>
      </w:r>
      <w:r w:rsidRPr="0078709C">
        <w:rPr>
          <w:rFonts w:eastAsia="Times New Roman"/>
        </w:rPr>
        <w:t>.5.</w:t>
      </w:r>
      <w:r w:rsidR="0064533F">
        <w:rPr>
          <w:rFonts w:eastAsia="Times New Roman"/>
        </w:rPr>
        <w:t>3</w:t>
      </w:r>
      <w:r w:rsidRPr="0078709C">
        <w:rPr>
          <w:rFonts w:eastAsia="Times New Roman"/>
        </w:rPr>
        <w:t>.2.1. oraz zabezpieczeń napięciowych w polu pomiaru napięcia.</w:t>
      </w:r>
    </w:p>
    <w:p w14:paraId="1B17BFD2" w14:textId="77777777" w:rsidR="00572BA3" w:rsidRDefault="00572BA3">
      <w:pPr>
        <w:numPr>
          <w:ilvl w:val="0"/>
          <w:numId w:val="67"/>
        </w:numPr>
        <w:spacing w:line="237" w:lineRule="auto"/>
        <w:ind w:left="1276" w:hanging="1276"/>
        <w:jc w:val="both"/>
        <w:rPr>
          <w:rFonts w:eastAsia="Times New Roman"/>
        </w:rPr>
      </w:pPr>
      <w:r>
        <w:rPr>
          <w:rFonts w:eastAsia="Times New Roman"/>
        </w:rPr>
        <w:t>Dopuszcza się stosowanie blokady zabezpieczeń nadprądowych zwłocznych od pewnych zjawisk w liniach, np. pojawienia się drugiej harmonicznej, wzrostu prądu po zamknięciu wyłącznika. Zabrania się stosowania blokad do zabezpieczenia nadprądowego zwarciowego, z wyjątkiem blokady kierunkowej.</w:t>
      </w:r>
    </w:p>
    <w:p w14:paraId="7926A9D0" w14:textId="77777777" w:rsidR="00572BA3" w:rsidRDefault="0056495E">
      <w:pPr>
        <w:numPr>
          <w:ilvl w:val="0"/>
          <w:numId w:val="67"/>
        </w:numPr>
        <w:tabs>
          <w:tab w:val="left" w:pos="1276"/>
        </w:tabs>
        <w:spacing w:line="234" w:lineRule="auto"/>
        <w:ind w:left="1276" w:hanging="1289"/>
        <w:jc w:val="both"/>
        <w:rPr>
          <w:rFonts w:eastAsia="Times New Roman"/>
        </w:rPr>
      </w:pPr>
      <w:r>
        <w:rPr>
          <w:rFonts w:eastAsia="Times New Roman"/>
        </w:rPr>
        <w:t>Z</w:t>
      </w:r>
      <w:r w:rsidR="00572BA3">
        <w:rPr>
          <w:rFonts w:eastAsia="Times New Roman"/>
        </w:rPr>
        <w:t>aleca się stosowanie dla zabezpieczeń nadprądowych zwłocznych od skutków zwarć międzyfazowych następujących wartości współczynników czułości:</w:t>
      </w:r>
    </w:p>
    <w:p w14:paraId="5B4D7830" w14:textId="77777777" w:rsidR="00572BA3" w:rsidRDefault="00572BA3" w:rsidP="00FA49B5">
      <w:pPr>
        <w:numPr>
          <w:ilvl w:val="0"/>
          <w:numId w:val="14"/>
        </w:numPr>
        <w:tabs>
          <w:tab w:val="left" w:pos="1620"/>
        </w:tabs>
        <w:spacing w:line="0" w:lineRule="atLeast"/>
        <w:ind w:left="1620" w:hanging="347"/>
        <w:jc w:val="both"/>
        <w:rPr>
          <w:rFonts w:eastAsia="Times New Roman"/>
        </w:rPr>
      </w:pPr>
      <w:r>
        <w:rPr>
          <w:rFonts w:eastAsia="Times New Roman"/>
        </w:rPr>
        <w:t>1,5 dla zabezpieczeń podstawowych,</w:t>
      </w:r>
    </w:p>
    <w:p w14:paraId="4608AB5E" w14:textId="77777777" w:rsidR="00572BA3" w:rsidRDefault="00572BA3" w:rsidP="00FA49B5">
      <w:pPr>
        <w:numPr>
          <w:ilvl w:val="0"/>
          <w:numId w:val="14"/>
        </w:numPr>
        <w:tabs>
          <w:tab w:val="left" w:pos="1620"/>
        </w:tabs>
        <w:spacing w:line="0" w:lineRule="atLeast"/>
        <w:ind w:left="1620" w:hanging="347"/>
        <w:jc w:val="both"/>
        <w:rPr>
          <w:rFonts w:eastAsia="Times New Roman"/>
        </w:rPr>
      </w:pPr>
      <w:r>
        <w:rPr>
          <w:rFonts w:eastAsia="Times New Roman"/>
        </w:rPr>
        <w:t>1,2 dla zabezpieczeń rezerwowych.</w:t>
      </w:r>
    </w:p>
    <w:p w14:paraId="55A31E7F" w14:textId="77777777" w:rsidR="00572BA3" w:rsidRDefault="00572BA3">
      <w:pPr>
        <w:numPr>
          <w:ilvl w:val="0"/>
          <w:numId w:val="67"/>
        </w:numPr>
        <w:tabs>
          <w:tab w:val="left" w:pos="1260"/>
        </w:tabs>
        <w:spacing w:line="234" w:lineRule="auto"/>
        <w:ind w:left="1276" w:hanging="1276"/>
        <w:jc w:val="both"/>
        <w:rPr>
          <w:rFonts w:eastAsia="Times New Roman"/>
        </w:rPr>
      </w:pPr>
      <w:r>
        <w:rPr>
          <w:rFonts w:eastAsia="Times New Roman"/>
        </w:rPr>
        <w:t>Zaleca się następujące wartości współczynników czułości dla zabezpieczeń ziemnozwarciowych w liniach SN:</w:t>
      </w:r>
    </w:p>
    <w:p w14:paraId="6DD5D6CF" w14:textId="77777777" w:rsidR="00572BA3" w:rsidRDefault="00572BA3" w:rsidP="00FA49B5">
      <w:pPr>
        <w:numPr>
          <w:ilvl w:val="0"/>
          <w:numId w:val="15"/>
        </w:numPr>
        <w:tabs>
          <w:tab w:val="left" w:pos="1635"/>
        </w:tabs>
        <w:spacing w:line="234" w:lineRule="auto"/>
        <w:ind w:left="1640" w:hanging="367"/>
        <w:jc w:val="both"/>
        <w:rPr>
          <w:rFonts w:eastAsia="Times New Roman"/>
        </w:rPr>
      </w:pPr>
      <w:r>
        <w:rPr>
          <w:rFonts w:eastAsia="Times New Roman"/>
        </w:rPr>
        <w:t>1,5 dla zabezpieczeń zerowoprądowych podczas zwarć bezoporowych, czyli jeśli składowa zerowa</w:t>
      </w:r>
      <w:r w:rsidR="00890914">
        <w:rPr>
          <w:rFonts w:eastAsia="Times New Roman"/>
        </w:rPr>
        <w:t xml:space="preserve"> </w:t>
      </w:r>
      <w:r>
        <w:rPr>
          <w:rFonts w:eastAsia="Times New Roman"/>
        </w:rPr>
        <w:t>napięcia jest równa napięciu fazowemu sieci,</w:t>
      </w:r>
    </w:p>
    <w:p w14:paraId="3F9EB9E3" w14:textId="77777777" w:rsidR="00572BA3" w:rsidRDefault="00572BA3" w:rsidP="00FA49B5">
      <w:pPr>
        <w:numPr>
          <w:ilvl w:val="0"/>
          <w:numId w:val="15"/>
        </w:numPr>
        <w:tabs>
          <w:tab w:val="left" w:pos="1635"/>
        </w:tabs>
        <w:spacing w:line="234" w:lineRule="auto"/>
        <w:ind w:left="1640" w:hanging="367"/>
        <w:jc w:val="both"/>
        <w:rPr>
          <w:rFonts w:eastAsia="Times New Roman"/>
        </w:rPr>
      </w:pPr>
      <w:r>
        <w:rPr>
          <w:rFonts w:eastAsia="Times New Roman"/>
        </w:rPr>
        <w:t>1,2 dla zabezpieczeń zerowoprądowych podczas zwarć oporowych, czyli jeśli składowa zerowa napięcia wynosi 50 % napięcia fazowego,</w:t>
      </w:r>
    </w:p>
    <w:p w14:paraId="474E0884" w14:textId="77777777" w:rsidR="00572BA3" w:rsidRDefault="00572BA3" w:rsidP="00FA49B5">
      <w:pPr>
        <w:numPr>
          <w:ilvl w:val="0"/>
          <w:numId w:val="15"/>
        </w:numPr>
        <w:tabs>
          <w:tab w:val="left" w:pos="1635"/>
        </w:tabs>
        <w:spacing w:line="234" w:lineRule="auto"/>
        <w:ind w:left="1640" w:hanging="367"/>
        <w:jc w:val="both"/>
        <w:rPr>
          <w:rFonts w:eastAsia="Times New Roman"/>
        </w:rPr>
      </w:pPr>
      <w:r>
        <w:rPr>
          <w:rFonts w:eastAsia="Times New Roman"/>
        </w:rPr>
        <w:t xml:space="preserve">2,0 dla zabezpieczeń admitancyjnych i konduktancyjnych w sieciach </w:t>
      </w:r>
      <w:r w:rsidR="00536355">
        <w:rPr>
          <w:rFonts w:eastAsia="Times New Roman"/>
        </w:rPr>
        <w:br/>
      </w:r>
      <w:r>
        <w:rPr>
          <w:rFonts w:eastAsia="Times New Roman"/>
        </w:rPr>
        <w:t>o punkcie neutralnym uziemionym przez rezystor,</w:t>
      </w:r>
    </w:p>
    <w:p w14:paraId="17A97BA2" w14:textId="77777777" w:rsidR="00572BA3" w:rsidRPr="00E26816" w:rsidRDefault="00572BA3" w:rsidP="00E26816">
      <w:pPr>
        <w:spacing w:line="0" w:lineRule="atLeast"/>
        <w:ind w:left="1701" w:hanging="421"/>
        <w:jc w:val="both"/>
        <w:rPr>
          <w:rFonts w:eastAsia="Times New Roman"/>
          <w:color w:val="FF0000"/>
          <w:sz w:val="23"/>
        </w:rPr>
      </w:pPr>
      <w:r w:rsidRPr="00FA49B5">
        <w:rPr>
          <w:rFonts w:eastAsia="Times New Roman"/>
          <w:color w:val="000000"/>
        </w:rPr>
        <w:t>4)</w:t>
      </w:r>
      <w:r w:rsidRPr="00FA49B5">
        <w:rPr>
          <w:rFonts w:eastAsia="Times New Roman"/>
          <w:color w:val="000000"/>
        </w:rPr>
        <w:tab/>
        <w:t>1,5</w:t>
      </w:r>
      <w:r w:rsidR="00E26816" w:rsidRPr="00FA49B5">
        <w:rPr>
          <w:rFonts w:eastAsia="Times New Roman"/>
          <w:color w:val="000000"/>
        </w:rPr>
        <w:t xml:space="preserve"> </w:t>
      </w:r>
      <w:r w:rsidRPr="00FA49B5">
        <w:rPr>
          <w:rFonts w:eastAsia="Times New Roman"/>
          <w:color w:val="000000"/>
        </w:rPr>
        <w:t>dla</w:t>
      </w:r>
      <w:r w:rsidR="00E26816" w:rsidRPr="00FA49B5">
        <w:rPr>
          <w:rFonts w:eastAsia="Times New Roman"/>
          <w:color w:val="000000"/>
        </w:rPr>
        <w:t xml:space="preserve"> </w:t>
      </w:r>
      <w:r w:rsidRPr="00FA49B5">
        <w:rPr>
          <w:rFonts w:eastAsia="Times New Roman"/>
          <w:color w:val="000000"/>
        </w:rPr>
        <w:t>zabezpieczeń</w:t>
      </w:r>
      <w:r w:rsidR="00E26816" w:rsidRPr="00FA49B5">
        <w:rPr>
          <w:rFonts w:eastAsia="Times New Roman"/>
          <w:color w:val="000000"/>
        </w:rPr>
        <w:t xml:space="preserve"> </w:t>
      </w:r>
      <w:r w:rsidRPr="00FA49B5">
        <w:rPr>
          <w:rFonts w:eastAsia="Times New Roman"/>
          <w:color w:val="000000"/>
        </w:rPr>
        <w:t>konduktancyjnych</w:t>
      </w:r>
      <w:r w:rsidR="00E26816" w:rsidRPr="00FA49B5">
        <w:rPr>
          <w:rFonts w:eastAsia="Times New Roman"/>
          <w:color w:val="000000"/>
        </w:rPr>
        <w:t xml:space="preserve"> </w:t>
      </w:r>
      <w:r w:rsidRPr="00FA49B5">
        <w:rPr>
          <w:rFonts w:eastAsia="Times New Roman"/>
          <w:color w:val="000000"/>
        </w:rPr>
        <w:t>w</w:t>
      </w:r>
      <w:r w:rsidR="00E26816" w:rsidRPr="00FA49B5">
        <w:rPr>
          <w:rFonts w:eastAsia="Times New Roman"/>
          <w:color w:val="000000"/>
        </w:rPr>
        <w:t xml:space="preserve"> </w:t>
      </w:r>
      <w:r w:rsidRPr="00FA49B5">
        <w:rPr>
          <w:rFonts w:eastAsia="Times New Roman"/>
          <w:color w:val="000000"/>
        </w:rPr>
        <w:t>sieciach</w:t>
      </w:r>
      <w:r w:rsidR="00E26816" w:rsidRPr="00FA49B5">
        <w:rPr>
          <w:rFonts w:eastAsia="Times New Roman"/>
          <w:color w:val="000000"/>
        </w:rPr>
        <w:t xml:space="preserve"> </w:t>
      </w:r>
      <w:r w:rsidRPr="00FA49B5">
        <w:rPr>
          <w:rFonts w:eastAsia="Times New Roman"/>
          <w:color w:val="000000"/>
          <w:sz w:val="23"/>
        </w:rPr>
        <w:t>skompensowanych</w:t>
      </w:r>
      <w:r w:rsidR="00E26816" w:rsidRPr="00FA49B5">
        <w:rPr>
          <w:rFonts w:eastAsia="Times New Roman"/>
          <w:color w:val="000000"/>
          <w:sz w:val="23"/>
        </w:rPr>
        <w:t xml:space="preserve"> </w:t>
      </w:r>
      <w:r w:rsidR="00E26816" w:rsidRPr="00FA49B5">
        <w:rPr>
          <w:rFonts w:eastAsia="Times New Roman"/>
          <w:color w:val="000000"/>
          <w:sz w:val="23"/>
        </w:rPr>
        <w:br/>
      </w:r>
      <w:r w:rsidRPr="00FA49B5">
        <w:rPr>
          <w:rFonts w:eastAsia="Times New Roman"/>
          <w:color w:val="000000"/>
        </w:rPr>
        <w:t>z AWSCz</w:t>
      </w:r>
      <w:r w:rsidRPr="005A05E9">
        <w:rPr>
          <w:rFonts w:eastAsia="Times New Roman"/>
          <w:color w:val="FF0000"/>
        </w:rPr>
        <w:t>,</w:t>
      </w:r>
    </w:p>
    <w:p w14:paraId="5BF8BADC" w14:textId="77777777" w:rsidR="00572BA3" w:rsidRDefault="00572BA3">
      <w:pPr>
        <w:numPr>
          <w:ilvl w:val="0"/>
          <w:numId w:val="68"/>
        </w:numPr>
        <w:tabs>
          <w:tab w:val="left" w:pos="1635"/>
        </w:tabs>
        <w:spacing w:line="234" w:lineRule="auto"/>
        <w:ind w:left="1560" w:hanging="284"/>
        <w:jc w:val="both"/>
        <w:rPr>
          <w:rFonts w:eastAsia="Times New Roman"/>
        </w:rPr>
      </w:pPr>
      <w:r>
        <w:rPr>
          <w:rFonts w:eastAsia="Times New Roman"/>
        </w:rPr>
        <w:t>1,2 dla zabezpieczeń admitancyjnych i susceptancyjnych w pozostałych przypadkach.</w:t>
      </w:r>
    </w:p>
    <w:p w14:paraId="70256EEC" w14:textId="77777777" w:rsidR="00572BA3" w:rsidRDefault="00572BA3">
      <w:pPr>
        <w:numPr>
          <w:ilvl w:val="0"/>
          <w:numId w:val="69"/>
        </w:numPr>
        <w:spacing w:line="237" w:lineRule="auto"/>
        <w:ind w:left="1276" w:hanging="1276"/>
        <w:jc w:val="both"/>
        <w:rPr>
          <w:rFonts w:eastAsia="Times New Roman"/>
        </w:rPr>
      </w:pPr>
      <w:r>
        <w:rPr>
          <w:rFonts w:eastAsia="Times New Roman"/>
        </w:rPr>
        <w:t xml:space="preserve">Zaleca się stosowanie następujących wartości nastawczych zabezpieczeń zerowonapięciowych działających samodzielnie lub jako człony rozruchowe innych </w:t>
      </w:r>
      <w:r>
        <w:rPr>
          <w:rFonts w:eastAsia="Times New Roman"/>
        </w:rPr>
        <w:lastRenderedPageBreak/>
        <w:t>kryteriów i automatyk wyrażonych w stosunku do składowej zerowej napięcia podczas zwarcia bezoporowego:</w:t>
      </w:r>
    </w:p>
    <w:p w14:paraId="671D4E3D" w14:textId="77777777" w:rsidR="00572BA3" w:rsidRDefault="00572BA3" w:rsidP="00FA49B5">
      <w:pPr>
        <w:numPr>
          <w:ilvl w:val="0"/>
          <w:numId w:val="16"/>
        </w:numPr>
        <w:tabs>
          <w:tab w:val="left" w:pos="1620"/>
        </w:tabs>
        <w:spacing w:line="0" w:lineRule="atLeast"/>
        <w:ind w:left="1620" w:hanging="347"/>
        <w:rPr>
          <w:rFonts w:eastAsia="Times New Roman"/>
        </w:rPr>
      </w:pPr>
      <w:r>
        <w:rPr>
          <w:rFonts w:eastAsia="Times New Roman"/>
        </w:rPr>
        <w:t>5 - 10 % w sieciach o punkcie neutralnym uziemionym przez rezystor,</w:t>
      </w:r>
    </w:p>
    <w:p w14:paraId="6A4F79C3" w14:textId="77777777" w:rsidR="00572BA3" w:rsidRDefault="00572BA3" w:rsidP="00FA49B5">
      <w:pPr>
        <w:numPr>
          <w:ilvl w:val="0"/>
          <w:numId w:val="16"/>
        </w:numPr>
        <w:tabs>
          <w:tab w:val="left" w:pos="1620"/>
        </w:tabs>
        <w:spacing w:line="0" w:lineRule="atLeast"/>
        <w:ind w:left="1620" w:hanging="347"/>
        <w:rPr>
          <w:rFonts w:eastAsia="Times New Roman"/>
        </w:rPr>
      </w:pPr>
      <w:r>
        <w:rPr>
          <w:rFonts w:eastAsia="Times New Roman"/>
        </w:rPr>
        <w:t>5 - 15 % w sieciach o punkcie neutralnym izolowanym,</w:t>
      </w:r>
    </w:p>
    <w:p w14:paraId="05FF147F" w14:textId="77777777" w:rsidR="00572BA3" w:rsidRDefault="00572BA3" w:rsidP="00FA49B5">
      <w:pPr>
        <w:numPr>
          <w:ilvl w:val="0"/>
          <w:numId w:val="16"/>
        </w:numPr>
        <w:tabs>
          <w:tab w:val="left" w:pos="1620"/>
        </w:tabs>
        <w:spacing w:line="0" w:lineRule="atLeast"/>
        <w:ind w:left="1620" w:hanging="347"/>
        <w:rPr>
          <w:rFonts w:eastAsia="Times New Roman"/>
        </w:rPr>
      </w:pPr>
      <w:r>
        <w:rPr>
          <w:rFonts w:eastAsia="Times New Roman"/>
        </w:rPr>
        <w:t>10 - 20 % w sieciach skompensowanych.</w:t>
      </w:r>
    </w:p>
    <w:p w14:paraId="25C1F9C5" w14:textId="77777777" w:rsidR="00572BA3" w:rsidRDefault="00572BA3" w:rsidP="003219CC">
      <w:pPr>
        <w:spacing w:line="132" w:lineRule="exact"/>
        <w:rPr>
          <w:rFonts w:eastAsia="Times New Roman"/>
        </w:rPr>
      </w:pPr>
    </w:p>
    <w:p w14:paraId="1D97C5CC" w14:textId="77777777" w:rsidR="00572BA3" w:rsidRDefault="00572BA3" w:rsidP="003219CC">
      <w:pPr>
        <w:spacing w:line="234" w:lineRule="auto"/>
        <w:ind w:left="1280"/>
        <w:rPr>
          <w:rFonts w:eastAsia="Times New Roman"/>
        </w:rPr>
      </w:pPr>
      <w:r>
        <w:rPr>
          <w:rFonts w:eastAsia="Times New Roman"/>
        </w:rPr>
        <w:t>Mniejsze wartości zaleca się stosować w sieciach z dużym udziałem linii kablowych.</w:t>
      </w:r>
    </w:p>
    <w:p w14:paraId="628BE4AB" w14:textId="77777777" w:rsidR="00572BA3" w:rsidRDefault="00572BA3">
      <w:pPr>
        <w:numPr>
          <w:ilvl w:val="0"/>
          <w:numId w:val="70"/>
        </w:numPr>
        <w:tabs>
          <w:tab w:val="left" w:pos="1260"/>
        </w:tabs>
        <w:spacing w:line="234" w:lineRule="auto"/>
        <w:ind w:left="1276" w:hanging="1276"/>
        <w:jc w:val="both"/>
        <w:rPr>
          <w:rFonts w:eastAsia="Times New Roman"/>
        </w:rPr>
      </w:pPr>
      <w:r>
        <w:rPr>
          <w:rFonts w:eastAsia="Times New Roman"/>
        </w:rPr>
        <w:t>W celu ograniczenia skutków zakłóceń w pracy sieci, zaleca się stosowanie w jej głębi automatyki EAZ.</w:t>
      </w:r>
    </w:p>
    <w:p w14:paraId="2BD071DA" w14:textId="77777777" w:rsidR="00572BA3" w:rsidRDefault="00572BA3">
      <w:pPr>
        <w:numPr>
          <w:ilvl w:val="0"/>
          <w:numId w:val="70"/>
        </w:numPr>
        <w:tabs>
          <w:tab w:val="left" w:pos="1276"/>
        </w:tabs>
        <w:spacing w:line="236" w:lineRule="auto"/>
        <w:ind w:left="1276" w:hanging="1276"/>
        <w:jc w:val="both"/>
        <w:rPr>
          <w:rFonts w:eastAsia="Times New Roman"/>
        </w:rPr>
      </w:pPr>
      <w:r>
        <w:rPr>
          <w:rFonts w:eastAsia="Times New Roman"/>
        </w:rPr>
        <w:t>Przyłączenie źródeł wytwórczych do sieci SN wymaga dostosowania automatyki LRW, SZR i zabezpieczenia szyn rozdzielni SN zasilającą tę sieć SN do nowych warunków pracy.</w:t>
      </w:r>
    </w:p>
    <w:p w14:paraId="76AC8A17" w14:textId="77777777" w:rsidR="00572BA3" w:rsidRDefault="00572BA3" w:rsidP="003219CC">
      <w:pPr>
        <w:spacing w:line="122" w:lineRule="exact"/>
        <w:rPr>
          <w:rFonts w:eastAsia="Times New Roman"/>
        </w:rPr>
      </w:pPr>
    </w:p>
    <w:p w14:paraId="543A82A6" w14:textId="77777777" w:rsidR="00572BA3" w:rsidRDefault="00572BA3" w:rsidP="003219CC">
      <w:pPr>
        <w:tabs>
          <w:tab w:val="left" w:pos="1260"/>
        </w:tabs>
        <w:spacing w:line="0" w:lineRule="atLeast"/>
        <w:rPr>
          <w:rFonts w:eastAsia="Times New Roman"/>
          <w:u w:val="single"/>
        </w:rPr>
      </w:pPr>
      <w:r>
        <w:rPr>
          <w:rFonts w:eastAsia="Times New Roman"/>
        </w:rPr>
        <w:t>II.</w:t>
      </w:r>
      <w:r w:rsidR="00C31BD8">
        <w:rPr>
          <w:rFonts w:eastAsia="Times New Roman"/>
        </w:rPr>
        <w:t>3</w:t>
      </w:r>
      <w:r>
        <w:rPr>
          <w:rFonts w:eastAsia="Times New Roman"/>
        </w:rPr>
        <w:t>.5.</w:t>
      </w:r>
      <w:r w:rsidR="00B53E0C">
        <w:rPr>
          <w:rFonts w:eastAsia="Times New Roman"/>
        </w:rPr>
        <w:t>3</w:t>
      </w:r>
      <w:r>
        <w:rPr>
          <w:rFonts w:eastAsia="Times New Roman"/>
        </w:rPr>
        <w:t>.2.</w:t>
      </w:r>
      <w:r>
        <w:rPr>
          <w:rFonts w:eastAsia="Times New Roman"/>
        </w:rPr>
        <w:tab/>
      </w:r>
      <w:r>
        <w:rPr>
          <w:rFonts w:eastAsia="Times New Roman"/>
          <w:u w:val="single"/>
        </w:rPr>
        <w:t>Wymagania dla linii SN</w:t>
      </w:r>
    </w:p>
    <w:p w14:paraId="63B30287" w14:textId="77777777" w:rsidR="00572BA3" w:rsidRDefault="00572BA3" w:rsidP="003219CC">
      <w:pPr>
        <w:spacing w:line="133" w:lineRule="exact"/>
        <w:rPr>
          <w:rFonts w:eastAsia="Times New Roman"/>
        </w:rPr>
      </w:pPr>
    </w:p>
    <w:p w14:paraId="6574E848" w14:textId="77777777" w:rsidR="00572BA3" w:rsidRDefault="00572BA3">
      <w:pPr>
        <w:numPr>
          <w:ilvl w:val="0"/>
          <w:numId w:val="71"/>
        </w:numPr>
        <w:tabs>
          <w:tab w:val="left" w:pos="1260"/>
        </w:tabs>
        <w:spacing w:line="234" w:lineRule="auto"/>
        <w:ind w:left="1276" w:hanging="1276"/>
        <w:jc w:val="both"/>
        <w:rPr>
          <w:rFonts w:eastAsia="Times New Roman"/>
        </w:rPr>
      </w:pPr>
      <w:r>
        <w:rPr>
          <w:rFonts w:eastAsia="Times New Roman"/>
        </w:rPr>
        <w:t>Pola linii SN, do których nie są przyłączone jednostki wytwórcze powinny być wyposażone w zabezpieczenia i automatyki:</w:t>
      </w:r>
    </w:p>
    <w:p w14:paraId="50FFF9EE" w14:textId="77777777" w:rsidR="00572BA3" w:rsidRDefault="00572BA3" w:rsidP="00FA49B5">
      <w:pPr>
        <w:numPr>
          <w:ilvl w:val="0"/>
          <w:numId w:val="17"/>
        </w:numPr>
        <w:tabs>
          <w:tab w:val="left" w:pos="1640"/>
        </w:tabs>
        <w:spacing w:line="234" w:lineRule="auto"/>
        <w:ind w:left="1640" w:hanging="367"/>
        <w:rPr>
          <w:rFonts w:eastAsia="Times New Roman"/>
        </w:rPr>
      </w:pPr>
      <w:r>
        <w:rPr>
          <w:rFonts w:eastAsia="Times New Roman"/>
        </w:rPr>
        <w:t>od skutków zwarć międzyfazowych, zalecane są zabezpieczenia nadprądowe zwłoczne i zwarciowe o charakterystykach niezależnych,</w:t>
      </w:r>
    </w:p>
    <w:p w14:paraId="07240F42" w14:textId="77777777" w:rsidR="00572BA3" w:rsidRDefault="00572BA3" w:rsidP="00FA49B5">
      <w:pPr>
        <w:numPr>
          <w:ilvl w:val="0"/>
          <w:numId w:val="17"/>
        </w:numPr>
        <w:tabs>
          <w:tab w:val="left" w:pos="1640"/>
        </w:tabs>
        <w:spacing w:line="238" w:lineRule="auto"/>
        <w:ind w:left="1640" w:hanging="367"/>
        <w:jc w:val="both"/>
        <w:rPr>
          <w:rFonts w:eastAsia="Times New Roman"/>
        </w:rPr>
      </w:pPr>
      <w:r>
        <w:rPr>
          <w:rFonts w:eastAsia="Times New Roman"/>
        </w:rPr>
        <w:t xml:space="preserve">od skutków zwarć doziemnych działające na wyłączenie lub na sygnalizację. Działanie zabezpieczeń ziemnozwarciowych na sygnalizację jest dopuszczalne (z wyjątkiem sieci z punktem neutralnym uziemionym przez rezystor) tylko w wypadku braku technicznej możliwości zapewnienia selektywnego wyłączania pod warunkiem zachowania wymogów ochrony przeciwporażeniowej </w:t>
      </w:r>
      <w:r w:rsidR="00A86277">
        <w:rPr>
          <w:rFonts w:eastAsia="Times New Roman"/>
        </w:rPr>
        <w:br/>
      </w:r>
      <w:r>
        <w:rPr>
          <w:rFonts w:eastAsia="Times New Roman"/>
        </w:rPr>
        <w:t>w zasilanej sieci,</w:t>
      </w:r>
    </w:p>
    <w:p w14:paraId="0D6A0AC1" w14:textId="77777777" w:rsidR="00572BA3" w:rsidRDefault="00572BA3" w:rsidP="00FA49B5">
      <w:pPr>
        <w:numPr>
          <w:ilvl w:val="0"/>
          <w:numId w:val="17"/>
        </w:numPr>
        <w:tabs>
          <w:tab w:val="left" w:pos="1640"/>
        </w:tabs>
        <w:spacing w:line="233" w:lineRule="auto"/>
        <w:ind w:left="1640" w:hanging="367"/>
        <w:jc w:val="both"/>
        <w:rPr>
          <w:rFonts w:eastAsia="Times New Roman"/>
        </w:rPr>
      </w:pPr>
      <w:r>
        <w:rPr>
          <w:rFonts w:eastAsia="Times New Roman"/>
        </w:rPr>
        <w:t>wielokrotnego SPZ z możliwością jej programowania i blokowania, jeśli przyłączona linia jest napowietrzna lub napowietrzno – kablowa,</w:t>
      </w:r>
    </w:p>
    <w:p w14:paraId="382B554C" w14:textId="77777777" w:rsidR="00572BA3" w:rsidRDefault="00572BA3" w:rsidP="00FA49B5">
      <w:pPr>
        <w:numPr>
          <w:ilvl w:val="0"/>
          <w:numId w:val="17"/>
        </w:numPr>
        <w:tabs>
          <w:tab w:val="left" w:pos="1640"/>
        </w:tabs>
        <w:spacing w:line="234" w:lineRule="auto"/>
        <w:ind w:left="1640" w:hanging="367"/>
        <w:jc w:val="both"/>
        <w:rPr>
          <w:rFonts w:eastAsia="Times New Roman"/>
        </w:rPr>
      </w:pPr>
      <w:r>
        <w:rPr>
          <w:rFonts w:eastAsia="Times New Roman"/>
        </w:rPr>
        <w:t>umożliwiające współpracę z zabezpieczeniem szyn zbiorczych i układem lokalnej rezerwy wyłącznikowej, jeśli jest taka potrzeba,</w:t>
      </w:r>
    </w:p>
    <w:p w14:paraId="71740D83" w14:textId="77777777" w:rsidR="00572BA3" w:rsidRDefault="00572BA3" w:rsidP="00FA49B5">
      <w:pPr>
        <w:numPr>
          <w:ilvl w:val="0"/>
          <w:numId w:val="17"/>
        </w:numPr>
        <w:tabs>
          <w:tab w:val="left" w:pos="1640"/>
        </w:tabs>
        <w:spacing w:line="234" w:lineRule="auto"/>
        <w:ind w:left="1640" w:hanging="367"/>
        <w:jc w:val="both"/>
        <w:rPr>
          <w:rFonts w:eastAsia="Times New Roman"/>
        </w:rPr>
      </w:pPr>
      <w:r>
        <w:rPr>
          <w:rFonts w:eastAsia="Times New Roman"/>
        </w:rPr>
        <w:t xml:space="preserve">umożliwiające współpracę ze stacyjną automatyką SCO lub być wyposażone </w:t>
      </w:r>
      <w:r w:rsidR="00A86277">
        <w:rPr>
          <w:rFonts w:eastAsia="Times New Roman"/>
        </w:rPr>
        <w:br/>
      </w:r>
      <w:r>
        <w:rPr>
          <w:rFonts w:eastAsia="Times New Roman"/>
        </w:rPr>
        <w:t>w zabezpieczenie podczęstotliwościowe,</w:t>
      </w:r>
    </w:p>
    <w:p w14:paraId="0C3750AE" w14:textId="77777777" w:rsidR="00572BA3" w:rsidRDefault="00572BA3" w:rsidP="00FA49B5">
      <w:pPr>
        <w:numPr>
          <w:ilvl w:val="0"/>
          <w:numId w:val="17"/>
        </w:numPr>
        <w:tabs>
          <w:tab w:val="left" w:pos="1635"/>
        </w:tabs>
        <w:spacing w:line="234" w:lineRule="auto"/>
        <w:ind w:left="1640" w:hanging="367"/>
        <w:jc w:val="both"/>
        <w:rPr>
          <w:rFonts w:eastAsia="Times New Roman"/>
          <w:szCs w:val="24"/>
        </w:rPr>
      </w:pPr>
      <w:r>
        <w:rPr>
          <w:rFonts w:eastAsia="Times New Roman"/>
        </w:rPr>
        <w:t xml:space="preserve">SPZ/SCO lub posiadać inny układ realizujący tą funkcję - jeśli </w:t>
      </w:r>
      <w:r w:rsidR="005C44BF">
        <w:rPr>
          <w:rFonts w:eastAsia="Times New Roman"/>
        </w:rPr>
        <w:t>OSDn</w:t>
      </w:r>
      <w:r>
        <w:rPr>
          <w:rFonts w:eastAsia="Times New Roman"/>
        </w:rPr>
        <w:t xml:space="preserve"> tego </w:t>
      </w:r>
      <w:r w:rsidRPr="00D43EF6">
        <w:rPr>
          <w:rFonts w:eastAsia="Times New Roman"/>
          <w:szCs w:val="24"/>
        </w:rPr>
        <w:t>wymaga.</w:t>
      </w:r>
    </w:p>
    <w:p w14:paraId="411EE0E1" w14:textId="77777777" w:rsidR="002912DC" w:rsidRDefault="002912DC">
      <w:pPr>
        <w:numPr>
          <w:ilvl w:val="0"/>
          <w:numId w:val="71"/>
        </w:numPr>
        <w:spacing w:line="234" w:lineRule="auto"/>
        <w:ind w:left="1276" w:hanging="1276"/>
        <w:jc w:val="both"/>
        <w:rPr>
          <w:rFonts w:eastAsia="Times New Roman"/>
          <w:szCs w:val="24"/>
        </w:rPr>
      </w:pPr>
      <w:r>
        <w:rPr>
          <w:rFonts w:eastAsia="Times New Roman"/>
          <w:szCs w:val="24"/>
        </w:rPr>
        <w:t xml:space="preserve">Pola linii SN, w których przyłączone są jednocześnie jednostki wytwórcze </w:t>
      </w:r>
      <w:r>
        <w:rPr>
          <w:rFonts w:eastAsia="Times New Roman"/>
          <w:szCs w:val="24"/>
        </w:rPr>
        <w:br/>
        <w:t>i odbiorcy, powinny być wyposażone w:</w:t>
      </w:r>
    </w:p>
    <w:p w14:paraId="58A5DE05" w14:textId="77777777" w:rsidR="002912DC" w:rsidRDefault="002912DC">
      <w:pPr>
        <w:numPr>
          <w:ilvl w:val="0"/>
          <w:numId w:val="253"/>
        </w:numPr>
        <w:spacing w:line="237" w:lineRule="auto"/>
        <w:ind w:left="1560" w:hanging="284"/>
        <w:jc w:val="both"/>
        <w:rPr>
          <w:rFonts w:eastAsia="Times New Roman"/>
          <w:szCs w:val="24"/>
        </w:rPr>
      </w:pPr>
      <w:r w:rsidRPr="00D43EF6">
        <w:rPr>
          <w:rFonts w:eastAsia="Times New Roman"/>
          <w:szCs w:val="24"/>
        </w:rPr>
        <w:t xml:space="preserve">zabezpieczenia od skutków zwarć międzyfazowych, zalecane są zabezpieczenia nadprądowe zwłoczne i zwarciowe o charakterystykach niezależnych, każde </w:t>
      </w:r>
      <w:r w:rsidR="00A86277">
        <w:rPr>
          <w:rFonts w:eastAsia="Times New Roman"/>
          <w:szCs w:val="24"/>
        </w:rPr>
        <w:br/>
      </w:r>
      <w:r w:rsidRPr="00D43EF6">
        <w:rPr>
          <w:rFonts w:eastAsia="Times New Roman"/>
          <w:szCs w:val="24"/>
        </w:rPr>
        <w:t>z nich powinno mieć możliwość wprowadzenia blokady kierunkowej. Zaleca się taki dobór nastaw, aby blokada kierunkowa konieczna była tylko dla zabezpieczenia nadprądowego zwłocznego,</w:t>
      </w:r>
    </w:p>
    <w:p w14:paraId="6E434E30" w14:textId="77777777" w:rsidR="00B0116B" w:rsidRPr="00D43EF6" w:rsidRDefault="00B0116B">
      <w:pPr>
        <w:numPr>
          <w:ilvl w:val="0"/>
          <w:numId w:val="253"/>
        </w:numPr>
        <w:spacing w:line="234" w:lineRule="auto"/>
        <w:ind w:left="1560" w:hanging="284"/>
        <w:jc w:val="both"/>
        <w:rPr>
          <w:rFonts w:eastAsia="Times New Roman"/>
          <w:szCs w:val="24"/>
        </w:rPr>
      </w:pPr>
      <w:r w:rsidRPr="00D43EF6">
        <w:rPr>
          <w:rFonts w:eastAsia="Times New Roman"/>
          <w:szCs w:val="24"/>
        </w:rPr>
        <w:t>zabezpieczenia od skutków zwarć doziemnych działające na wyłączenie lub na sygnalizację. Działanie zabezpieczeń ziemnozwarciowych na sygnalizację jest dopuszczalne (z wyjątkiem sieci z punktem neutralnym uziemionym przez rezystor) w wypadku braku technicznej możliwości zapewnienia selektywnego wyłączania pod warunkiem zachowania wymogów ochrony przeciwporażeniowej w zasilanej sieci,</w:t>
      </w:r>
    </w:p>
    <w:p w14:paraId="271B889E" w14:textId="77777777" w:rsidR="00B0116B" w:rsidRDefault="00B0116B">
      <w:pPr>
        <w:numPr>
          <w:ilvl w:val="0"/>
          <w:numId w:val="253"/>
        </w:numPr>
        <w:spacing w:line="236" w:lineRule="auto"/>
        <w:ind w:left="1560" w:hanging="284"/>
        <w:jc w:val="both"/>
        <w:rPr>
          <w:rFonts w:eastAsia="Times New Roman"/>
        </w:rPr>
      </w:pPr>
      <w:r>
        <w:rPr>
          <w:rFonts w:eastAsia="Times New Roman"/>
        </w:rPr>
        <w:t xml:space="preserve">układy automatyki wielokrotnego SPZ z możliwością jej programowania </w:t>
      </w:r>
      <w:r>
        <w:rPr>
          <w:rFonts w:eastAsia="Times New Roman"/>
        </w:rPr>
        <w:br/>
        <w:t>i blokowania, jeśli przyłączona linia jest napowietrzna lub napowietrzno – kablowa,</w:t>
      </w:r>
    </w:p>
    <w:p w14:paraId="6654CE91" w14:textId="77777777" w:rsidR="00B0116B" w:rsidRDefault="00B0116B">
      <w:pPr>
        <w:numPr>
          <w:ilvl w:val="0"/>
          <w:numId w:val="253"/>
        </w:numPr>
        <w:spacing w:line="234" w:lineRule="auto"/>
        <w:ind w:left="1560" w:hanging="284"/>
        <w:jc w:val="both"/>
        <w:rPr>
          <w:rFonts w:eastAsia="Times New Roman"/>
        </w:rPr>
      </w:pPr>
      <w:r>
        <w:rPr>
          <w:rFonts w:eastAsia="Times New Roman"/>
        </w:rPr>
        <w:t>zabezpieczenia nad- i pod-częstotliwościowe, zalecane są zabezpieczenia wyposażone w kryterium df/dt,</w:t>
      </w:r>
    </w:p>
    <w:p w14:paraId="5E858137" w14:textId="77777777" w:rsidR="00B0116B" w:rsidRDefault="00B0116B">
      <w:pPr>
        <w:numPr>
          <w:ilvl w:val="0"/>
          <w:numId w:val="253"/>
        </w:numPr>
        <w:spacing w:line="234" w:lineRule="auto"/>
        <w:ind w:left="1560" w:hanging="284"/>
        <w:jc w:val="both"/>
        <w:rPr>
          <w:rFonts w:eastAsia="Times New Roman"/>
        </w:rPr>
      </w:pPr>
      <w:r>
        <w:rPr>
          <w:rFonts w:eastAsia="Times New Roman"/>
        </w:rPr>
        <w:lastRenderedPageBreak/>
        <w:t>zabezpieczenia nad- i podnapięciowe zasilane z przekładników napięciowych umieszczonych za wyłącznikiem,</w:t>
      </w:r>
    </w:p>
    <w:p w14:paraId="42BB1470" w14:textId="77777777" w:rsidR="00B0116B" w:rsidRDefault="00B0116B">
      <w:pPr>
        <w:numPr>
          <w:ilvl w:val="0"/>
          <w:numId w:val="253"/>
        </w:numPr>
        <w:spacing w:line="238" w:lineRule="auto"/>
        <w:ind w:left="1560" w:hanging="284"/>
        <w:jc w:val="both"/>
        <w:rPr>
          <w:rFonts w:eastAsia="Times New Roman"/>
        </w:rPr>
      </w:pPr>
      <w:r>
        <w:rPr>
          <w:rFonts w:eastAsia="Times New Roman"/>
        </w:rPr>
        <w:t>blokadę załączenia w przypadku obecności napięcia w linii, jeśli istnieje prawdopodobieństwo utrzymania się elektrowni lokalnej w pracy wyspowej, każde ręczne, zdalne i automatyczne załączenie linii powinno być poprzedzone kontrolą napięcia i ewentualną blokadą w przypadku istnienia napięcia w linii, zabezpieczenie wymaga zainstalowania przekładników napięciowych za wyłącznikiem pola</w:t>
      </w:r>
    </w:p>
    <w:p w14:paraId="1E0BF763" w14:textId="77777777" w:rsidR="002912DC" w:rsidRPr="00D43EF6" w:rsidRDefault="00B0116B" w:rsidP="00176879">
      <w:pPr>
        <w:spacing w:line="234" w:lineRule="auto"/>
        <w:ind w:left="1276"/>
        <w:jc w:val="both"/>
        <w:rPr>
          <w:rFonts w:eastAsia="Times New Roman"/>
          <w:szCs w:val="24"/>
        </w:rPr>
      </w:pPr>
      <w:r>
        <w:rPr>
          <w:rFonts w:eastAsia="Times New Roman"/>
        </w:rPr>
        <w:t xml:space="preserve">oraz powinny mieć możliwość współpracy z zabezpieczeniem szyn zbiorczych </w:t>
      </w:r>
      <w:r>
        <w:rPr>
          <w:rFonts w:eastAsia="Times New Roman"/>
        </w:rPr>
        <w:br/>
        <w:t>i układem lokalnej rezerwy wyłącznikowej.</w:t>
      </w:r>
    </w:p>
    <w:p w14:paraId="4C1E5D9E" w14:textId="77777777" w:rsidR="00572BA3" w:rsidRDefault="00572BA3" w:rsidP="007A67A3">
      <w:pPr>
        <w:spacing w:line="134" w:lineRule="exact"/>
        <w:rPr>
          <w:rFonts w:eastAsia="Times New Roman"/>
        </w:rPr>
      </w:pPr>
    </w:p>
    <w:p w14:paraId="43FA4945" w14:textId="77777777" w:rsidR="00572BA3" w:rsidRPr="000F6237" w:rsidRDefault="00572BA3">
      <w:pPr>
        <w:numPr>
          <w:ilvl w:val="0"/>
          <w:numId w:val="71"/>
        </w:numPr>
        <w:spacing w:line="234" w:lineRule="auto"/>
        <w:ind w:left="1276" w:hanging="1276"/>
        <w:jc w:val="both"/>
        <w:rPr>
          <w:rFonts w:eastAsia="Times New Roman"/>
          <w:szCs w:val="24"/>
        </w:rPr>
      </w:pPr>
      <w:r w:rsidRPr="000F6237">
        <w:rPr>
          <w:rFonts w:eastAsia="Times New Roman"/>
          <w:szCs w:val="24"/>
        </w:rPr>
        <w:t>Pola linii współpracujące wyłącznie z jednostkami wytwórczymi powinny być wyposażone w:</w:t>
      </w:r>
    </w:p>
    <w:p w14:paraId="73D9B1DB" w14:textId="77777777" w:rsidR="00572BA3" w:rsidRPr="000F6237" w:rsidRDefault="00572BA3" w:rsidP="00FA49B5">
      <w:pPr>
        <w:numPr>
          <w:ilvl w:val="0"/>
          <w:numId w:val="18"/>
        </w:numPr>
        <w:tabs>
          <w:tab w:val="left" w:pos="1655"/>
        </w:tabs>
        <w:spacing w:line="237" w:lineRule="auto"/>
        <w:ind w:left="1660" w:hanging="367"/>
        <w:jc w:val="both"/>
        <w:rPr>
          <w:rFonts w:eastAsia="Times New Roman"/>
          <w:szCs w:val="24"/>
        </w:rPr>
      </w:pPr>
      <w:r w:rsidRPr="000F6237">
        <w:rPr>
          <w:rFonts w:eastAsia="Times New Roman"/>
          <w:szCs w:val="24"/>
        </w:rPr>
        <w:t>zabezpieczenia od skutków zwarć międzyfazowych, zalecane są zabezpieczenia nadprądowe zwłoczne i zwarciowe o charakterystykach niezależnych, każde z nich powinno mieć możliwość wprowadzenia blokady kierunkowej, zaleca się taki dobór nastaw, aby blokada kierunkowa konieczna była tylko dla zabezpieczenia nadprądowego zwłocznego,</w:t>
      </w:r>
    </w:p>
    <w:p w14:paraId="01891DF1" w14:textId="77777777" w:rsidR="007A67A3" w:rsidRPr="000F6237" w:rsidRDefault="00572BA3" w:rsidP="00FA49B5">
      <w:pPr>
        <w:numPr>
          <w:ilvl w:val="0"/>
          <w:numId w:val="18"/>
        </w:numPr>
        <w:spacing w:line="234" w:lineRule="auto"/>
        <w:ind w:left="1660" w:hanging="384"/>
        <w:jc w:val="both"/>
        <w:rPr>
          <w:rFonts w:eastAsia="Times New Roman"/>
          <w:szCs w:val="24"/>
        </w:rPr>
      </w:pPr>
      <w:r w:rsidRPr="000F6237">
        <w:rPr>
          <w:rFonts w:eastAsia="Times New Roman"/>
          <w:szCs w:val="24"/>
        </w:rPr>
        <w:t>zabezpieczenia od skutków zwarć doziemnych działające na wyłączenie lub na sygnalizację. Działanie zabezpieczeń ziemnozwarciowych na sygnalizację jest dopuszczalne (z wyjątkiem sieci z punktem neutralnym uziemionym przez rezystor) w wypadku braku technicznej możliwości zapewnienia selektywnego</w:t>
      </w:r>
      <w:r w:rsidR="007A67A3" w:rsidRPr="000F6237">
        <w:rPr>
          <w:rFonts w:eastAsia="Times New Roman"/>
          <w:szCs w:val="24"/>
        </w:rPr>
        <w:t xml:space="preserve"> wyłączania pod warunkiem zachowania wymagań ochrony przeciwporażeniowej w zasilanej sieci,</w:t>
      </w:r>
    </w:p>
    <w:p w14:paraId="044E51F0" w14:textId="77777777" w:rsidR="00572BA3" w:rsidRPr="000F6237" w:rsidRDefault="00572BA3" w:rsidP="00FA49B5">
      <w:pPr>
        <w:numPr>
          <w:ilvl w:val="0"/>
          <w:numId w:val="18"/>
        </w:numPr>
        <w:tabs>
          <w:tab w:val="left" w:pos="1635"/>
        </w:tabs>
        <w:spacing w:line="234" w:lineRule="auto"/>
        <w:ind w:left="1640" w:hanging="367"/>
        <w:jc w:val="both"/>
        <w:rPr>
          <w:rFonts w:eastAsia="Times New Roman"/>
          <w:szCs w:val="24"/>
        </w:rPr>
      </w:pPr>
      <w:r w:rsidRPr="000F6237">
        <w:rPr>
          <w:rFonts w:eastAsia="Times New Roman"/>
          <w:szCs w:val="24"/>
        </w:rPr>
        <w:t>zabezpieczenia nad- i podczęstotliwościowe, zalecane są zabezpieczenia wyposażone w kryterium df/dt,</w:t>
      </w:r>
    </w:p>
    <w:p w14:paraId="4BAA1E2F" w14:textId="77777777" w:rsidR="00572BA3" w:rsidRDefault="00572BA3" w:rsidP="00FA49B5">
      <w:pPr>
        <w:numPr>
          <w:ilvl w:val="0"/>
          <w:numId w:val="18"/>
        </w:numPr>
        <w:tabs>
          <w:tab w:val="left" w:pos="1640"/>
        </w:tabs>
        <w:spacing w:line="238" w:lineRule="auto"/>
        <w:ind w:left="1640" w:hanging="367"/>
        <w:jc w:val="both"/>
        <w:rPr>
          <w:rFonts w:eastAsia="Times New Roman"/>
        </w:rPr>
      </w:pPr>
      <w:r>
        <w:rPr>
          <w:rFonts w:eastAsia="Times New Roman"/>
        </w:rPr>
        <w:t>blokadę załączenia w przypadku obecności napięcia w linii, jeśli istnieje możliwość utrzymania się elektrowni lokalnej w pracy wyspowej, każde ręczne, zdalne i automatyczne załączenie linii powinno być poprzedzone kontrolą napięcia i ewentualną blokadą w przypadku istnienia napięcia w linii, zabezpieczenie wymaga zainstalowania przekładników napięciowych za wyłącznikiem pola,</w:t>
      </w:r>
    </w:p>
    <w:p w14:paraId="5854C6AD" w14:textId="77777777" w:rsidR="00572BA3" w:rsidRDefault="00572BA3" w:rsidP="00955C68">
      <w:pPr>
        <w:spacing w:line="234" w:lineRule="auto"/>
        <w:ind w:left="1280"/>
        <w:jc w:val="both"/>
        <w:rPr>
          <w:rFonts w:eastAsia="Times New Roman"/>
        </w:rPr>
      </w:pPr>
      <w:r>
        <w:rPr>
          <w:rFonts w:eastAsia="Times New Roman"/>
        </w:rPr>
        <w:t xml:space="preserve">oraz powinny mieć możliwość współpracy z zabezpieczeniem szyn zbiorczych </w:t>
      </w:r>
      <w:r w:rsidR="007A67A3">
        <w:rPr>
          <w:rFonts w:eastAsia="Times New Roman"/>
        </w:rPr>
        <w:br/>
      </w:r>
      <w:r>
        <w:rPr>
          <w:rFonts w:eastAsia="Times New Roman"/>
        </w:rPr>
        <w:t>i układem lokalnej rezerwy wyłącznikowej.</w:t>
      </w:r>
    </w:p>
    <w:p w14:paraId="4756AE05" w14:textId="77777777" w:rsidR="00572BA3" w:rsidRDefault="00572BA3" w:rsidP="00955C68">
      <w:pPr>
        <w:spacing w:line="122" w:lineRule="exact"/>
        <w:jc w:val="both"/>
        <w:rPr>
          <w:rFonts w:eastAsia="Times New Roman"/>
        </w:rPr>
      </w:pPr>
    </w:p>
    <w:p w14:paraId="635EC11E" w14:textId="77777777" w:rsidR="00572BA3" w:rsidRDefault="00572BA3" w:rsidP="00955C68">
      <w:pPr>
        <w:tabs>
          <w:tab w:val="left" w:pos="1260"/>
        </w:tabs>
        <w:spacing w:line="0" w:lineRule="atLeast"/>
        <w:jc w:val="both"/>
        <w:rPr>
          <w:rFonts w:eastAsia="Times New Roman"/>
          <w:u w:val="single"/>
        </w:rPr>
      </w:pPr>
      <w:r>
        <w:rPr>
          <w:rFonts w:eastAsia="Times New Roman"/>
        </w:rPr>
        <w:t>II.</w:t>
      </w:r>
      <w:r w:rsidR="00C31BD8">
        <w:rPr>
          <w:rFonts w:eastAsia="Times New Roman"/>
        </w:rPr>
        <w:t>3</w:t>
      </w:r>
      <w:r>
        <w:rPr>
          <w:rFonts w:eastAsia="Times New Roman"/>
        </w:rPr>
        <w:t>.5.</w:t>
      </w:r>
      <w:r w:rsidR="00176879">
        <w:rPr>
          <w:rFonts w:eastAsia="Times New Roman"/>
        </w:rPr>
        <w:t>3</w:t>
      </w:r>
      <w:r>
        <w:rPr>
          <w:rFonts w:eastAsia="Times New Roman"/>
        </w:rPr>
        <w:t>.3.</w:t>
      </w:r>
      <w:r>
        <w:rPr>
          <w:rFonts w:eastAsia="Times New Roman"/>
        </w:rPr>
        <w:tab/>
      </w:r>
      <w:r>
        <w:rPr>
          <w:rFonts w:eastAsia="Times New Roman"/>
          <w:u w:val="single"/>
        </w:rPr>
        <w:t>Wymagania dla pól transformatorów potrzeb własnych i uziemiających</w:t>
      </w:r>
    </w:p>
    <w:p w14:paraId="45238ACB" w14:textId="77777777" w:rsidR="00572BA3" w:rsidRDefault="00572BA3" w:rsidP="00955C68">
      <w:pPr>
        <w:spacing w:line="121" w:lineRule="exact"/>
        <w:jc w:val="both"/>
        <w:rPr>
          <w:rFonts w:eastAsia="Times New Roman"/>
        </w:rPr>
      </w:pPr>
    </w:p>
    <w:p w14:paraId="7F9060FD" w14:textId="77777777" w:rsidR="00572BA3" w:rsidRDefault="00572BA3" w:rsidP="00955C68">
      <w:pPr>
        <w:tabs>
          <w:tab w:val="left" w:pos="1260"/>
        </w:tabs>
        <w:spacing w:line="0" w:lineRule="atLeast"/>
        <w:jc w:val="both"/>
        <w:rPr>
          <w:rFonts w:eastAsia="Times New Roman"/>
          <w:sz w:val="23"/>
        </w:rPr>
      </w:pPr>
      <w:r>
        <w:rPr>
          <w:rFonts w:eastAsia="Times New Roman"/>
        </w:rPr>
        <w:t>II.</w:t>
      </w:r>
      <w:r w:rsidR="00C31BD8">
        <w:rPr>
          <w:rFonts w:eastAsia="Times New Roman"/>
        </w:rPr>
        <w:t>3</w:t>
      </w:r>
      <w:r>
        <w:rPr>
          <w:rFonts w:eastAsia="Times New Roman"/>
        </w:rPr>
        <w:t>.5.</w:t>
      </w:r>
      <w:r w:rsidR="00176879">
        <w:rPr>
          <w:rFonts w:eastAsia="Times New Roman"/>
        </w:rPr>
        <w:t>3</w:t>
      </w:r>
      <w:r>
        <w:rPr>
          <w:rFonts w:eastAsia="Times New Roman"/>
        </w:rPr>
        <w:t>.3.1.</w:t>
      </w:r>
      <w:r>
        <w:rPr>
          <w:rFonts w:eastAsia="Times New Roman"/>
        </w:rPr>
        <w:tab/>
      </w:r>
      <w:r>
        <w:rPr>
          <w:rFonts w:eastAsia="Times New Roman"/>
          <w:sz w:val="23"/>
        </w:rPr>
        <w:t>Pola potrzeb własnych powinny być wyposażone w następujące układy EAZ:</w:t>
      </w:r>
    </w:p>
    <w:p w14:paraId="60E5C28B" w14:textId="77777777" w:rsidR="00572BA3" w:rsidRDefault="00572BA3" w:rsidP="00FA49B5">
      <w:pPr>
        <w:numPr>
          <w:ilvl w:val="0"/>
          <w:numId w:val="19"/>
        </w:numPr>
        <w:tabs>
          <w:tab w:val="left" w:pos="1635"/>
        </w:tabs>
        <w:spacing w:line="234" w:lineRule="auto"/>
        <w:ind w:left="1640" w:hanging="367"/>
        <w:jc w:val="both"/>
        <w:rPr>
          <w:rFonts w:eastAsia="Times New Roman"/>
        </w:rPr>
      </w:pPr>
      <w:r>
        <w:rPr>
          <w:rFonts w:eastAsia="Times New Roman"/>
        </w:rPr>
        <w:t>zabezpieczenie reagujące na zwarcia wewnętrzne w transformatorze i na wyprowadzeniach,</w:t>
      </w:r>
    </w:p>
    <w:p w14:paraId="6965396B" w14:textId="77777777" w:rsidR="00572BA3" w:rsidRDefault="00572BA3" w:rsidP="00FA49B5">
      <w:pPr>
        <w:numPr>
          <w:ilvl w:val="0"/>
          <w:numId w:val="19"/>
        </w:numPr>
        <w:tabs>
          <w:tab w:val="left" w:pos="1620"/>
        </w:tabs>
        <w:spacing w:line="0" w:lineRule="atLeast"/>
        <w:ind w:left="1620" w:hanging="347"/>
        <w:jc w:val="both"/>
        <w:rPr>
          <w:rFonts w:eastAsia="Times New Roman"/>
        </w:rPr>
      </w:pPr>
      <w:r>
        <w:rPr>
          <w:rFonts w:eastAsia="Times New Roman"/>
        </w:rPr>
        <w:t>zabezpieczenie nadprądowe zwłoczne od skutków zwarć zewnętrznych,</w:t>
      </w:r>
    </w:p>
    <w:p w14:paraId="6B589F6D" w14:textId="77777777" w:rsidR="00572BA3" w:rsidRDefault="00572BA3" w:rsidP="00FA49B5">
      <w:pPr>
        <w:numPr>
          <w:ilvl w:val="0"/>
          <w:numId w:val="19"/>
        </w:numPr>
        <w:tabs>
          <w:tab w:val="left" w:pos="1620"/>
        </w:tabs>
        <w:spacing w:line="0" w:lineRule="atLeast"/>
        <w:ind w:left="1620" w:hanging="347"/>
        <w:jc w:val="both"/>
        <w:rPr>
          <w:rFonts w:eastAsia="Times New Roman"/>
        </w:rPr>
      </w:pPr>
      <w:r>
        <w:rPr>
          <w:rFonts w:eastAsia="Times New Roman"/>
        </w:rPr>
        <w:t>zabezpieczenia fabryczne transformatora.</w:t>
      </w:r>
    </w:p>
    <w:p w14:paraId="41E90578" w14:textId="77777777" w:rsidR="00572BA3" w:rsidRDefault="00572BA3" w:rsidP="00955C68">
      <w:pPr>
        <w:tabs>
          <w:tab w:val="left" w:pos="1260"/>
        </w:tabs>
        <w:spacing w:line="237"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176879">
        <w:rPr>
          <w:rFonts w:eastAsia="Times New Roman"/>
        </w:rPr>
        <w:t>3</w:t>
      </w:r>
      <w:r>
        <w:rPr>
          <w:rFonts w:eastAsia="Times New Roman"/>
        </w:rPr>
        <w:t>.3.2.</w:t>
      </w:r>
      <w:r>
        <w:rPr>
          <w:rFonts w:eastAsia="Times New Roman"/>
        </w:rPr>
        <w:tab/>
        <w:t>W sieciach skompensowanych zaleca się dla prawidłowego działania zabezpieczeń ziemnozwarciowych w polach liniowych wprowadzenie dodatkowego prądu doziemnego. Wartość i charakter tego prądu powinny być dostosowane do zastosowanych zabezpieczeń.</w:t>
      </w:r>
    </w:p>
    <w:p w14:paraId="2383A396" w14:textId="77777777" w:rsidR="00572BA3" w:rsidRDefault="00572BA3" w:rsidP="003941E3">
      <w:pPr>
        <w:tabs>
          <w:tab w:val="left" w:pos="1260"/>
        </w:tabs>
        <w:spacing w:line="237"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176879">
        <w:rPr>
          <w:rFonts w:eastAsia="Times New Roman"/>
        </w:rPr>
        <w:t>3</w:t>
      </w:r>
      <w:r>
        <w:rPr>
          <w:rFonts w:eastAsia="Times New Roman"/>
        </w:rPr>
        <w:t>.3.3.</w:t>
      </w:r>
      <w:r>
        <w:rPr>
          <w:rFonts w:eastAsia="Times New Roman"/>
        </w:rPr>
        <w:tab/>
        <w:t xml:space="preserve">Jeśli w polu potrzeb własnych jest zainstalowany dławik do kompensacji prądów ziemnozwarciowych, to należy wprowadzić możliwość blokady zabezpieczenia nadprądowego zwłocznego od zabezpieczenia nadprądowego w punkcie neutralnym oraz uwzględnić zabezpieczenia fabryczne dławika </w:t>
      </w:r>
      <w:r w:rsidR="002F1DEA">
        <w:rPr>
          <w:rFonts w:eastAsia="Times New Roman"/>
        </w:rPr>
        <w:t>l</w:t>
      </w:r>
      <w:r>
        <w:rPr>
          <w:rFonts w:eastAsia="Times New Roman"/>
        </w:rPr>
        <w:t>ub innego układu wprowadzającego dodatkowy prąd doziemny.</w:t>
      </w:r>
    </w:p>
    <w:p w14:paraId="0C2786EA" w14:textId="77777777" w:rsidR="00572BA3" w:rsidRDefault="00572BA3" w:rsidP="00F6296B">
      <w:pPr>
        <w:tabs>
          <w:tab w:val="left" w:pos="1260"/>
        </w:tabs>
        <w:spacing w:line="238" w:lineRule="auto"/>
        <w:ind w:left="1280" w:hanging="1279"/>
        <w:jc w:val="both"/>
        <w:rPr>
          <w:rFonts w:eastAsia="Times New Roman"/>
        </w:rPr>
      </w:pPr>
      <w:r>
        <w:rPr>
          <w:rFonts w:eastAsia="Times New Roman"/>
        </w:rPr>
        <w:lastRenderedPageBreak/>
        <w:t>II.</w:t>
      </w:r>
      <w:r w:rsidR="00C31BD8">
        <w:rPr>
          <w:rFonts w:eastAsia="Times New Roman"/>
        </w:rPr>
        <w:t>3</w:t>
      </w:r>
      <w:r>
        <w:rPr>
          <w:rFonts w:eastAsia="Times New Roman"/>
        </w:rPr>
        <w:t>.5.</w:t>
      </w:r>
      <w:r w:rsidR="00176879">
        <w:rPr>
          <w:rFonts w:eastAsia="Times New Roman"/>
        </w:rPr>
        <w:t>3</w:t>
      </w:r>
      <w:r>
        <w:rPr>
          <w:rFonts w:eastAsia="Times New Roman"/>
        </w:rPr>
        <w:t>.3.4.</w:t>
      </w:r>
      <w:r>
        <w:rPr>
          <w:rFonts w:eastAsia="Times New Roman"/>
        </w:rPr>
        <w:tab/>
        <w:t xml:space="preserve">Jeśli w polu potrzeb własnych jest zainstalowany rezystor uziemiający, to zabezpieczenie nadprądowe w punkcie neutralnym powinno mieć możliwość blokady zabezpieczenia nadprądowego zwłocznego transformatora potrzeb własnych oraz chronić rezystor przed skutkami zbyt długiego przepływu prądu </w:t>
      </w:r>
      <w:r w:rsidR="00F6296B">
        <w:rPr>
          <w:rFonts w:eastAsia="Times New Roman"/>
        </w:rPr>
        <w:br/>
      </w:r>
      <w:r>
        <w:rPr>
          <w:rFonts w:eastAsia="Times New Roman"/>
        </w:rPr>
        <w:t>w czasie zwarcia doziemnego niewyłączonego przez zabezpieczenia w innych polach. Sposób oddziaływania tego zabezpieczenia na wyłączniki w stacji zależy od wymagań OSD, warunków eksploatacji i może powodować:</w:t>
      </w:r>
    </w:p>
    <w:p w14:paraId="636F752E" w14:textId="77777777" w:rsidR="00572BA3" w:rsidRDefault="00572BA3" w:rsidP="00FA49B5">
      <w:pPr>
        <w:numPr>
          <w:ilvl w:val="0"/>
          <w:numId w:val="20"/>
        </w:numPr>
        <w:tabs>
          <w:tab w:val="left" w:pos="1635"/>
        </w:tabs>
        <w:spacing w:line="234" w:lineRule="auto"/>
        <w:ind w:left="1640" w:hanging="367"/>
        <w:jc w:val="both"/>
        <w:rPr>
          <w:rFonts w:eastAsia="Times New Roman"/>
        </w:rPr>
      </w:pPr>
      <w:r>
        <w:rPr>
          <w:rFonts w:eastAsia="Times New Roman"/>
        </w:rPr>
        <w:t>dla transformatorów dwuzwojeniowych wyłączenie dwustronne (zalecane) lub tylko po stronie SN,</w:t>
      </w:r>
    </w:p>
    <w:p w14:paraId="45EF4C10" w14:textId="77777777" w:rsidR="00572BA3" w:rsidRDefault="00572BA3" w:rsidP="00F6296B">
      <w:pPr>
        <w:spacing w:line="134" w:lineRule="exact"/>
        <w:jc w:val="both"/>
        <w:rPr>
          <w:rFonts w:eastAsia="Times New Roman"/>
        </w:rPr>
      </w:pPr>
    </w:p>
    <w:p w14:paraId="0845E04D" w14:textId="77777777" w:rsidR="00572BA3" w:rsidRDefault="00572BA3" w:rsidP="00FA49B5">
      <w:pPr>
        <w:numPr>
          <w:ilvl w:val="0"/>
          <w:numId w:val="20"/>
        </w:numPr>
        <w:tabs>
          <w:tab w:val="left" w:pos="1635"/>
        </w:tabs>
        <w:spacing w:line="234" w:lineRule="auto"/>
        <w:ind w:left="1640" w:hanging="367"/>
        <w:jc w:val="both"/>
        <w:rPr>
          <w:rFonts w:eastAsia="Times New Roman"/>
        </w:rPr>
      </w:pPr>
      <w:r>
        <w:rPr>
          <w:rFonts w:eastAsia="Times New Roman"/>
        </w:rPr>
        <w:t>dla transformatorów trójuzwojeniowych wyłączenie tylko po stronie SN dotkniętej zakłóceniem lub ze wszystkich stron,</w:t>
      </w:r>
    </w:p>
    <w:p w14:paraId="7BBA9F51" w14:textId="77777777" w:rsidR="00572BA3" w:rsidRDefault="00572BA3" w:rsidP="00FA49B5">
      <w:pPr>
        <w:numPr>
          <w:ilvl w:val="0"/>
          <w:numId w:val="20"/>
        </w:numPr>
        <w:tabs>
          <w:tab w:val="left" w:pos="1635"/>
        </w:tabs>
        <w:spacing w:line="234" w:lineRule="auto"/>
        <w:ind w:left="1640" w:hanging="367"/>
        <w:jc w:val="both"/>
        <w:rPr>
          <w:rFonts w:eastAsia="Times New Roman"/>
        </w:rPr>
      </w:pPr>
      <w:r>
        <w:rPr>
          <w:rFonts w:eastAsia="Times New Roman"/>
        </w:rPr>
        <w:t>wyłączenie pola potrzeb własnych (rozwiązanie dopuszczalne, ale nie zalecane),</w:t>
      </w:r>
    </w:p>
    <w:p w14:paraId="417EF337" w14:textId="77777777" w:rsidR="00572BA3" w:rsidRDefault="00572BA3" w:rsidP="00FA49B5">
      <w:pPr>
        <w:numPr>
          <w:ilvl w:val="0"/>
          <w:numId w:val="20"/>
        </w:numPr>
        <w:tabs>
          <w:tab w:val="left" w:pos="1635"/>
        </w:tabs>
        <w:spacing w:line="234" w:lineRule="auto"/>
        <w:ind w:left="1640" w:hanging="367"/>
        <w:jc w:val="both"/>
        <w:rPr>
          <w:rFonts w:eastAsia="Times New Roman"/>
        </w:rPr>
      </w:pPr>
      <w:r>
        <w:rPr>
          <w:rFonts w:eastAsia="Times New Roman"/>
        </w:rPr>
        <w:t>wyłączenie rezystora uziemiającego (rozwiązanie dopuszczalne, ale nie zalecane).</w:t>
      </w:r>
    </w:p>
    <w:p w14:paraId="3E456A82" w14:textId="77777777" w:rsidR="00572BA3" w:rsidRDefault="00572BA3" w:rsidP="00F6296B">
      <w:pPr>
        <w:spacing w:line="200" w:lineRule="exact"/>
        <w:jc w:val="both"/>
        <w:rPr>
          <w:rFonts w:eastAsia="Times New Roman"/>
        </w:rPr>
      </w:pPr>
    </w:p>
    <w:p w14:paraId="0813DBCA" w14:textId="77777777" w:rsidR="00572BA3" w:rsidRDefault="00572BA3" w:rsidP="003941E3">
      <w:pPr>
        <w:tabs>
          <w:tab w:val="left" w:pos="1260"/>
        </w:tabs>
        <w:spacing w:line="0" w:lineRule="atLeast"/>
        <w:rPr>
          <w:rFonts w:eastAsia="Times New Roman"/>
          <w:u w:val="single"/>
        </w:rPr>
      </w:pPr>
      <w:r>
        <w:rPr>
          <w:rFonts w:eastAsia="Times New Roman"/>
        </w:rPr>
        <w:t>II.</w:t>
      </w:r>
      <w:r w:rsidR="00C31BD8">
        <w:rPr>
          <w:rFonts w:eastAsia="Times New Roman"/>
        </w:rPr>
        <w:t>3</w:t>
      </w:r>
      <w:r>
        <w:rPr>
          <w:rFonts w:eastAsia="Times New Roman"/>
        </w:rPr>
        <w:t>.5.</w:t>
      </w:r>
      <w:r w:rsidR="00176879">
        <w:rPr>
          <w:rFonts w:eastAsia="Times New Roman"/>
        </w:rPr>
        <w:t>3</w:t>
      </w:r>
      <w:r>
        <w:rPr>
          <w:rFonts w:eastAsia="Times New Roman"/>
        </w:rPr>
        <w:t>.4.</w:t>
      </w:r>
      <w:r>
        <w:rPr>
          <w:rFonts w:eastAsia="Times New Roman"/>
        </w:rPr>
        <w:tab/>
      </w:r>
      <w:r>
        <w:rPr>
          <w:rFonts w:eastAsia="Times New Roman"/>
          <w:u w:val="single"/>
        </w:rPr>
        <w:t>Wymagania dla baterii kondensatorów do kompensacji mocy biernej</w:t>
      </w:r>
    </w:p>
    <w:p w14:paraId="7CE390B2" w14:textId="77777777" w:rsidR="00572BA3" w:rsidRDefault="00572BA3" w:rsidP="003941E3">
      <w:pPr>
        <w:spacing w:line="120" w:lineRule="exact"/>
        <w:rPr>
          <w:rFonts w:eastAsia="Times New Roman"/>
        </w:rPr>
      </w:pPr>
    </w:p>
    <w:p w14:paraId="41330555" w14:textId="77777777" w:rsidR="00572BA3" w:rsidRDefault="00572BA3" w:rsidP="003941E3">
      <w:pPr>
        <w:tabs>
          <w:tab w:val="left" w:pos="1260"/>
        </w:tabs>
        <w:spacing w:line="0" w:lineRule="atLeast"/>
        <w:rPr>
          <w:rFonts w:eastAsia="Times New Roman"/>
          <w:sz w:val="23"/>
        </w:rPr>
      </w:pPr>
      <w:r>
        <w:rPr>
          <w:rFonts w:eastAsia="Times New Roman"/>
        </w:rPr>
        <w:t>II.</w:t>
      </w:r>
      <w:r w:rsidR="00C31BD8">
        <w:rPr>
          <w:rFonts w:eastAsia="Times New Roman"/>
        </w:rPr>
        <w:t>3</w:t>
      </w:r>
      <w:r>
        <w:rPr>
          <w:rFonts w:eastAsia="Times New Roman"/>
        </w:rPr>
        <w:t>.5.</w:t>
      </w:r>
      <w:r w:rsidR="00704FB2">
        <w:rPr>
          <w:rFonts w:eastAsia="Times New Roman"/>
        </w:rPr>
        <w:t>3</w:t>
      </w:r>
      <w:r>
        <w:rPr>
          <w:rFonts w:eastAsia="Times New Roman"/>
        </w:rPr>
        <w:t>.4.1.</w:t>
      </w:r>
      <w:r>
        <w:rPr>
          <w:rFonts w:eastAsia="Times New Roman"/>
        </w:rPr>
        <w:tab/>
      </w:r>
      <w:r>
        <w:rPr>
          <w:rFonts w:eastAsia="Times New Roman"/>
          <w:sz w:val="23"/>
        </w:rPr>
        <w:t>Pola baterii kondensatorów wyposaża się w:</w:t>
      </w:r>
    </w:p>
    <w:p w14:paraId="5D6073B4" w14:textId="77777777" w:rsidR="00572BA3" w:rsidRDefault="00572BA3" w:rsidP="00FA49B5">
      <w:pPr>
        <w:numPr>
          <w:ilvl w:val="0"/>
          <w:numId w:val="21"/>
        </w:numPr>
        <w:tabs>
          <w:tab w:val="left" w:pos="1635"/>
        </w:tabs>
        <w:spacing w:line="236" w:lineRule="auto"/>
        <w:ind w:left="1640" w:hanging="367"/>
        <w:jc w:val="both"/>
        <w:rPr>
          <w:rFonts w:eastAsia="Times New Roman"/>
        </w:rPr>
      </w:pPr>
      <w:r>
        <w:rPr>
          <w:rFonts w:eastAsia="Times New Roman"/>
        </w:rPr>
        <w:t>zabezpieczenia nadprądowe zwłoczne od skutków przeciążeń, zabezpieczenie musi w kryterium działania korzystać z wartości skutecznej prądu lub w inny sposób uwzględniać wpływ wyższych harmonicznych,</w:t>
      </w:r>
    </w:p>
    <w:p w14:paraId="5843BAD3" w14:textId="77777777" w:rsidR="00572BA3" w:rsidRDefault="00572BA3" w:rsidP="00FA49B5">
      <w:pPr>
        <w:numPr>
          <w:ilvl w:val="0"/>
          <w:numId w:val="21"/>
        </w:numPr>
        <w:tabs>
          <w:tab w:val="left" w:pos="1620"/>
        </w:tabs>
        <w:spacing w:line="0" w:lineRule="atLeast"/>
        <w:ind w:left="1620" w:hanging="347"/>
        <w:rPr>
          <w:rFonts w:eastAsia="Times New Roman"/>
        </w:rPr>
      </w:pPr>
      <w:r>
        <w:rPr>
          <w:rFonts w:eastAsia="Times New Roman"/>
        </w:rPr>
        <w:t>zabezpieczenie nadprądowe bezzwłoczne,</w:t>
      </w:r>
    </w:p>
    <w:p w14:paraId="396302D9" w14:textId="77777777" w:rsidR="00572BA3" w:rsidRDefault="00572BA3" w:rsidP="00FA49B5">
      <w:pPr>
        <w:numPr>
          <w:ilvl w:val="0"/>
          <w:numId w:val="21"/>
        </w:numPr>
        <w:tabs>
          <w:tab w:val="left" w:pos="1620"/>
        </w:tabs>
        <w:spacing w:line="0" w:lineRule="atLeast"/>
        <w:ind w:left="1620" w:hanging="347"/>
        <w:rPr>
          <w:rFonts w:eastAsia="Times New Roman"/>
        </w:rPr>
      </w:pPr>
      <w:r>
        <w:rPr>
          <w:rFonts w:eastAsia="Times New Roman"/>
        </w:rPr>
        <w:t>zabezpieczenie od skutków zwarć wewnętrznych,</w:t>
      </w:r>
    </w:p>
    <w:p w14:paraId="267122A3" w14:textId="77777777" w:rsidR="00572BA3" w:rsidRDefault="00572BA3" w:rsidP="00FA49B5">
      <w:pPr>
        <w:numPr>
          <w:ilvl w:val="0"/>
          <w:numId w:val="21"/>
        </w:numPr>
        <w:tabs>
          <w:tab w:val="left" w:pos="1620"/>
        </w:tabs>
        <w:spacing w:line="0" w:lineRule="atLeast"/>
        <w:ind w:left="1620" w:hanging="347"/>
        <w:rPr>
          <w:rFonts w:eastAsia="Times New Roman"/>
        </w:rPr>
      </w:pPr>
      <w:r>
        <w:rPr>
          <w:rFonts w:eastAsia="Times New Roman"/>
        </w:rPr>
        <w:t>zabezpieczenia nadnapięciowe.</w:t>
      </w:r>
    </w:p>
    <w:p w14:paraId="5D4A9EF4" w14:textId="77777777" w:rsidR="00572BA3" w:rsidRDefault="00572BA3" w:rsidP="003941E3">
      <w:pPr>
        <w:spacing w:line="132" w:lineRule="exact"/>
        <w:rPr>
          <w:rFonts w:eastAsia="Times New Roman"/>
        </w:rPr>
      </w:pPr>
    </w:p>
    <w:p w14:paraId="12C0EB62" w14:textId="77777777" w:rsidR="00572BA3" w:rsidRDefault="00572BA3" w:rsidP="003941E3">
      <w:pPr>
        <w:spacing w:line="122" w:lineRule="exact"/>
        <w:rPr>
          <w:rFonts w:eastAsia="Times New Roman"/>
        </w:rPr>
      </w:pPr>
    </w:p>
    <w:p w14:paraId="0E12C1EE" w14:textId="77777777" w:rsidR="00572BA3" w:rsidRDefault="00572BA3" w:rsidP="003941E3">
      <w:pPr>
        <w:tabs>
          <w:tab w:val="left" w:pos="1260"/>
        </w:tabs>
        <w:spacing w:line="0" w:lineRule="atLeast"/>
        <w:rPr>
          <w:rFonts w:eastAsia="Times New Roman"/>
          <w:u w:val="single"/>
        </w:rPr>
      </w:pPr>
      <w:r>
        <w:rPr>
          <w:rFonts w:eastAsia="Times New Roman"/>
        </w:rPr>
        <w:t>II.</w:t>
      </w:r>
      <w:r w:rsidR="00C31BD8">
        <w:rPr>
          <w:rFonts w:eastAsia="Times New Roman"/>
        </w:rPr>
        <w:t>3</w:t>
      </w:r>
      <w:r>
        <w:rPr>
          <w:rFonts w:eastAsia="Times New Roman"/>
        </w:rPr>
        <w:t>.5.</w:t>
      </w:r>
      <w:r w:rsidR="00704FB2">
        <w:rPr>
          <w:rFonts w:eastAsia="Times New Roman"/>
        </w:rPr>
        <w:t>3</w:t>
      </w:r>
      <w:r>
        <w:rPr>
          <w:rFonts w:eastAsia="Times New Roman"/>
        </w:rPr>
        <w:t>.5.</w:t>
      </w:r>
      <w:r>
        <w:rPr>
          <w:rFonts w:eastAsia="Times New Roman"/>
        </w:rPr>
        <w:tab/>
      </w:r>
      <w:r>
        <w:rPr>
          <w:rFonts w:eastAsia="Times New Roman"/>
          <w:u w:val="single"/>
        </w:rPr>
        <w:t>Wymagania dla łączników szyn</w:t>
      </w:r>
    </w:p>
    <w:p w14:paraId="00A68B33" w14:textId="77777777" w:rsidR="00572BA3" w:rsidRDefault="00572BA3" w:rsidP="003941E3">
      <w:pPr>
        <w:spacing w:line="132" w:lineRule="exact"/>
        <w:rPr>
          <w:rFonts w:eastAsia="Times New Roman"/>
        </w:rPr>
      </w:pPr>
    </w:p>
    <w:p w14:paraId="1036DECD" w14:textId="77777777" w:rsidR="00572BA3" w:rsidRDefault="00572BA3" w:rsidP="003941E3">
      <w:pPr>
        <w:tabs>
          <w:tab w:val="left" w:pos="1260"/>
        </w:tabs>
        <w:spacing w:line="234" w:lineRule="auto"/>
        <w:ind w:left="1280" w:hanging="1279"/>
        <w:rPr>
          <w:rFonts w:eastAsia="Times New Roman"/>
        </w:rPr>
      </w:pPr>
      <w:r>
        <w:rPr>
          <w:rFonts w:eastAsia="Times New Roman"/>
        </w:rPr>
        <w:t>II.</w:t>
      </w:r>
      <w:r w:rsidR="00C31BD8">
        <w:rPr>
          <w:rFonts w:eastAsia="Times New Roman"/>
        </w:rPr>
        <w:t>3</w:t>
      </w:r>
      <w:r>
        <w:rPr>
          <w:rFonts w:eastAsia="Times New Roman"/>
        </w:rPr>
        <w:t>.5.</w:t>
      </w:r>
      <w:r w:rsidR="00532858">
        <w:rPr>
          <w:rFonts w:eastAsia="Times New Roman"/>
        </w:rPr>
        <w:t>3</w:t>
      </w:r>
      <w:r>
        <w:rPr>
          <w:rFonts w:eastAsia="Times New Roman"/>
        </w:rPr>
        <w:t>.5.1.</w:t>
      </w:r>
      <w:r>
        <w:rPr>
          <w:rFonts w:eastAsia="Times New Roman"/>
        </w:rPr>
        <w:tab/>
        <w:t>Łączniki szyn SN wyposaża się w następujące zabezpieczenia działające na wyłączenie własnego wyłącznika:</w:t>
      </w:r>
    </w:p>
    <w:p w14:paraId="240E0597" w14:textId="77777777" w:rsidR="00572BA3" w:rsidRDefault="00572BA3" w:rsidP="00FA49B5">
      <w:pPr>
        <w:numPr>
          <w:ilvl w:val="0"/>
          <w:numId w:val="22"/>
        </w:numPr>
        <w:tabs>
          <w:tab w:val="left" w:pos="1620"/>
        </w:tabs>
        <w:spacing w:line="0" w:lineRule="atLeast"/>
        <w:ind w:left="1620" w:hanging="347"/>
        <w:rPr>
          <w:rFonts w:eastAsia="Times New Roman"/>
        </w:rPr>
      </w:pPr>
      <w:r>
        <w:rPr>
          <w:rFonts w:eastAsia="Times New Roman"/>
        </w:rPr>
        <w:t>zabezpieczenie nadprądowe zwłoczne,</w:t>
      </w:r>
    </w:p>
    <w:p w14:paraId="48F929CA" w14:textId="77777777" w:rsidR="00572BA3" w:rsidRPr="003E4853" w:rsidRDefault="00572BA3" w:rsidP="00FA49B5">
      <w:pPr>
        <w:numPr>
          <w:ilvl w:val="0"/>
          <w:numId w:val="22"/>
        </w:numPr>
        <w:tabs>
          <w:tab w:val="left" w:pos="1620"/>
        </w:tabs>
        <w:spacing w:line="236" w:lineRule="auto"/>
        <w:ind w:left="1620" w:hanging="347"/>
        <w:jc w:val="both"/>
        <w:rPr>
          <w:rFonts w:eastAsia="Times New Roman"/>
        </w:rPr>
      </w:pPr>
      <w:r>
        <w:rPr>
          <w:rFonts w:eastAsia="Times New Roman"/>
        </w:rPr>
        <w:t>zabezpieczenie nadprądowe zwarciowe działające przy załączeniu pola łącznika szyn na zwarcie (zabezpieczenie powinno być aktywne do 10 s po załączeniu wyłącznika),</w:t>
      </w:r>
    </w:p>
    <w:p w14:paraId="19C507DC" w14:textId="77777777" w:rsidR="00572BA3" w:rsidRPr="00FA49B5" w:rsidRDefault="003E4853" w:rsidP="00FA49B5">
      <w:pPr>
        <w:numPr>
          <w:ilvl w:val="0"/>
          <w:numId w:val="22"/>
        </w:numPr>
        <w:spacing w:line="236" w:lineRule="auto"/>
        <w:ind w:left="1640" w:hanging="364"/>
        <w:jc w:val="both"/>
        <w:rPr>
          <w:rFonts w:eastAsia="Times New Roman"/>
          <w:color w:val="000000"/>
        </w:rPr>
      </w:pPr>
      <w:r>
        <w:rPr>
          <w:rFonts w:eastAsia="Times New Roman"/>
        </w:rPr>
        <w:t xml:space="preserve">w sieci z punktem neutralnym uziemionym przez rezystor jest </w:t>
      </w:r>
      <w:r w:rsidR="00572BA3">
        <w:rPr>
          <w:rFonts w:eastAsia="Times New Roman"/>
        </w:rPr>
        <w:t xml:space="preserve">zabezpieczenie </w:t>
      </w:r>
      <w:r w:rsidR="00572BA3" w:rsidRPr="00FA49B5">
        <w:rPr>
          <w:rFonts w:eastAsia="Times New Roman"/>
          <w:color w:val="000000"/>
        </w:rPr>
        <w:t>ziemnozwarciowe lub odpowiednie powiązanie z zabezpieczeniem nadprądowym w punkcie neutralnym transformatora uziemiającego.</w:t>
      </w:r>
    </w:p>
    <w:p w14:paraId="36CB3A12" w14:textId="77777777" w:rsidR="00572BA3" w:rsidRPr="00FA49B5" w:rsidRDefault="00572BA3" w:rsidP="00532858">
      <w:pPr>
        <w:spacing w:line="122" w:lineRule="exact"/>
        <w:rPr>
          <w:rFonts w:eastAsia="Times New Roman"/>
          <w:color w:val="000000"/>
        </w:rPr>
      </w:pPr>
    </w:p>
    <w:p w14:paraId="2D7F9264" w14:textId="77777777" w:rsidR="00572BA3" w:rsidRPr="00FA49B5" w:rsidRDefault="00572BA3" w:rsidP="00532858">
      <w:pPr>
        <w:spacing w:line="135" w:lineRule="exact"/>
        <w:rPr>
          <w:rFonts w:eastAsia="Times New Roman"/>
          <w:color w:val="000000"/>
        </w:rPr>
      </w:pPr>
    </w:p>
    <w:p w14:paraId="121FD59B" w14:textId="77777777" w:rsidR="00572BA3" w:rsidRPr="00FA49B5" w:rsidRDefault="00572BA3" w:rsidP="00532858">
      <w:pPr>
        <w:spacing w:line="333" w:lineRule="auto"/>
        <w:ind w:right="1840"/>
        <w:rPr>
          <w:rFonts w:eastAsia="Times New Roman"/>
          <w:color w:val="000000"/>
        </w:rPr>
      </w:pPr>
      <w:r w:rsidRPr="00FA49B5">
        <w:rPr>
          <w:rFonts w:eastAsia="Times New Roman"/>
          <w:color w:val="000000"/>
        </w:rPr>
        <w:t>II.</w:t>
      </w:r>
      <w:r w:rsidR="00C31BD8" w:rsidRPr="00FA49B5">
        <w:rPr>
          <w:rFonts w:eastAsia="Times New Roman"/>
          <w:color w:val="000000"/>
        </w:rPr>
        <w:t>3</w:t>
      </w:r>
      <w:r w:rsidRPr="00FA49B5">
        <w:rPr>
          <w:rFonts w:eastAsia="Times New Roman"/>
          <w:color w:val="000000"/>
        </w:rPr>
        <w:t>.5.</w:t>
      </w:r>
      <w:r w:rsidR="00532858" w:rsidRPr="00FA49B5">
        <w:rPr>
          <w:rFonts w:eastAsia="Times New Roman"/>
          <w:color w:val="000000"/>
        </w:rPr>
        <w:t>3</w:t>
      </w:r>
      <w:r w:rsidRPr="00FA49B5">
        <w:rPr>
          <w:rFonts w:eastAsia="Times New Roman"/>
          <w:color w:val="000000"/>
        </w:rPr>
        <w:t>.</w:t>
      </w:r>
      <w:r w:rsidR="00CA2DD0" w:rsidRPr="00FA49B5">
        <w:rPr>
          <w:rFonts w:eastAsia="Times New Roman"/>
          <w:color w:val="000000"/>
        </w:rPr>
        <w:t>6</w:t>
      </w:r>
      <w:r w:rsidRPr="00FA49B5">
        <w:rPr>
          <w:rFonts w:eastAsia="Times New Roman"/>
          <w:color w:val="000000"/>
        </w:rPr>
        <w:t xml:space="preserve">. </w:t>
      </w:r>
      <w:r w:rsidRPr="00FA49B5">
        <w:rPr>
          <w:rFonts w:eastAsia="Times New Roman"/>
          <w:color w:val="000000"/>
          <w:u w:val="single"/>
        </w:rPr>
        <w:t>Wymagania dla automatyk zabezpieczeniowych rozdzielni SN</w:t>
      </w:r>
      <w:r w:rsidRPr="00FA49B5">
        <w:rPr>
          <w:rFonts w:eastAsia="Times New Roman"/>
          <w:color w:val="000000"/>
        </w:rPr>
        <w:t xml:space="preserve"> II.</w:t>
      </w:r>
      <w:r w:rsidR="00C31BD8" w:rsidRPr="00FA49B5">
        <w:rPr>
          <w:rFonts w:eastAsia="Times New Roman"/>
          <w:color w:val="000000"/>
        </w:rPr>
        <w:t>3</w:t>
      </w:r>
      <w:r w:rsidRPr="00FA49B5">
        <w:rPr>
          <w:rFonts w:eastAsia="Times New Roman"/>
          <w:color w:val="000000"/>
        </w:rPr>
        <w:t>.5.</w:t>
      </w:r>
      <w:r w:rsidR="00532858" w:rsidRPr="00FA49B5">
        <w:rPr>
          <w:rFonts w:eastAsia="Times New Roman"/>
          <w:color w:val="000000"/>
        </w:rPr>
        <w:t>3</w:t>
      </w:r>
      <w:r w:rsidRPr="00FA49B5">
        <w:rPr>
          <w:rFonts w:eastAsia="Times New Roman"/>
          <w:color w:val="000000"/>
        </w:rPr>
        <w:t>.</w:t>
      </w:r>
      <w:r w:rsidR="008F05E4" w:rsidRPr="00FA49B5">
        <w:rPr>
          <w:rFonts w:eastAsia="Times New Roman"/>
          <w:color w:val="000000"/>
        </w:rPr>
        <w:t>6</w:t>
      </w:r>
      <w:r w:rsidRPr="00FA49B5">
        <w:rPr>
          <w:rFonts w:eastAsia="Times New Roman"/>
          <w:color w:val="000000"/>
        </w:rPr>
        <w:t>.1. Rozdzielnie SN powinny być wyposażone w:</w:t>
      </w:r>
    </w:p>
    <w:p w14:paraId="6A525587" w14:textId="77777777" w:rsidR="00532858" w:rsidRPr="00FA49B5" w:rsidRDefault="00572BA3">
      <w:pPr>
        <w:numPr>
          <w:ilvl w:val="2"/>
          <w:numId w:val="60"/>
        </w:numPr>
        <w:spacing w:line="237" w:lineRule="auto"/>
        <w:ind w:left="1418" w:hanging="284"/>
        <w:jc w:val="both"/>
        <w:rPr>
          <w:rFonts w:eastAsia="Times New Roman"/>
          <w:color w:val="000000"/>
        </w:rPr>
      </w:pPr>
      <w:r w:rsidRPr="00FA49B5">
        <w:rPr>
          <w:rFonts w:eastAsia="Times New Roman"/>
          <w:color w:val="000000"/>
        </w:rPr>
        <w:t>SCO umożliwiające realizację przynajmniej dwóch stopni w każdej sekcji, przy czym automatyka może być zrealizowana w polu pomiaru napięcia</w:t>
      </w:r>
      <w:r w:rsidR="00532858" w:rsidRPr="00FA49B5">
        <w:rPr>
          <w:rFonts w:eastAsia="Times New Roman"/>
          <w:color w:val="000000"/>
        </w:rPr>
        <w:t xml:space="preserve"> </w:t>
      </w:r>
      <w:r w:rsidR="00532858" w:rsidRPr="00FA49B5">
        <w:rPr>
          <w:rFonts w:eastAsia="Times New Roman"/>
          <w:color w:val="000000"/>
        </w:rPr>
        <w:br/>
        <w:t xml:space="preserve">z rozprowadzeniem sygnału do pól odpływowych lub jako rozproszona </w:t>
      </w:r>
      <w:r w:rsidR="00532858" w:rsidRPr="00FA49B5">
        <w:rPr>
          <w:rFonts w:eastAsia="Times New Roman"/>
          <w:color w:val="000000"/>
        </w:rPr>
        <w:br/>
        <w:t>w postaci zabezpieczeń podczęstotliwościowych w poszczególnych polach. Automatyki tej nie wolno instalować w rozdzielniach SN GPO. Automatyki tej nie należy uruchamiać w liniach, do których przyłączone są jednostki wytwórcze,</w:t>
      </w:r>
    </w:p>
    <w:p w14:paraId="73A7FB0D" w14:textId="77777777" w:rsidR="00572BA3" w:rsidRPr="00FA49B5" w:rsidRDefault="00572BA3">
      <w:pPr>
        <w:numPr>
          <w:ilvl w:val="2"/>
          <w:numId w:val="60"/>
        </w:numPr>
        <w:spacing w:line="0" w:lineRule="atLeast"/>
        <w:ind w:left="1276" w:hanging="142"/>
        <w:rPr>
          <w:rFonts w:eastAsia="Times New Roman"/>
          <w:color w:val="000000"/>
        </w:rPr>
      </w:pPr>
      <w:r w:rsidRPr="00FA49B5">
        <w:rPr>
          <w:rFonts w:eastAsia="Times New Roman"/>
          <w:color w:val="000000"/>
        </w:rPr>
        <w:t>SPZ/SCO należy stosować w uzgodnieniu z</w:t>
      </w:r>
      <w:r w:rsidR="00333EE5" w:rsidRPr="00FA49B5">
        <w:rPr>
          <w:rFonts w:eastAsia="Times New Roman"/>
          <w:color w:val="000000"/>
        </w:rPr>
        <w:t xml:space="preserve"> OSDn</w:t>
      </w:r>
      <w:r w:rsidRPr="00FA49B5">
        <w:rPr>
          <w:rFonts w:eastAsia="Times New Roman"/>
          <w:color w:val="000000"/>
        </w:rPr>
        <w:t>,</w:t>
      </w:r>
    </w:p>
    <w:p w14:paraId="0E5707DA" w14:textId="77777777" w:rsidR="00572BA3" w:rsidRPr="00FA49B5" w:rsidRDefault="00572BA3">
      <w:pPr>
        <w:numPr>
          <w:ilvl w:val="2"/>
          <w:numId w:val="60"/>
        </w:numPr>
        <w:spacing w:line="237" w:lineRule="auto"/>
        <w:ind w:left="1418" w:hanging="284"/>
        <w:jc w:val="both"/>
        <w:rPr>
          <w:rFonts w:eastAsia="Times New Roman"/>
          <w:color w:val="000000"/>
        </w:rPr>
      </w:pPr>
      <w:r w:rsidRPr="00FA49B5">
        <w:rPr>
          <w:rFonts w:eastAsia="Times New Roman"/>
          <w:color w:val="000000"/>
        </w:rPr>
        <w:t xml:space="preserve">LRW w celu rezerwowania wyłączników w polach liniowych, potrzeb własnych </w:t>
      </w:r>
      <w:r w:rsidR="00A86277">
        <w:rPr>
          <w:rFonts w:eastAsia="Times New Roman"/>
          <w:color w:val="000000"/>
        </w:rPr>
        <w:br/>
      </w:r>
      <w:r w:rsidRPr="00FA49B5">
        <w:rPr>
          <w:rFonts w:eastAsia="Times New Roman"/>
          <w:color w:val="000000"/>
        </w:rPr>
        <w:t>i baterii kondensatorów. Automatyka ta powinna wyłączyć zasilanie zwarcia ze wszystkich stron, czyli również wyłączać linie z przyłączonymi elektrowniami lokalnymi,</w:t>
      </w:r>
    </w:p>
    <w:p w14:paraId="3BD4FFDA" w14:textId="77777777" w:rsidR="00572BA3" w:rsidRPr="00FA49B5" w:rsidRDefault="00572BA3">
      <w:pPr>
        <w:numPr>
          <w:ilvl w:val="2"/>
          <w:numId w:val="60"/>
        </w:numPr>
        <w:spacing w:line="234" w:lineRule="auto"/>
        <w:ind w:left="1418" w:hanging="284"/>
        <w:jc w:val="both"/>
        <w:rPr>
          <w:rFonts w:eastAsia="Times New Roman"/>
          <w:color w:val="000000"/>
        </w:rPr>
      </w:pPr>
      <w:r w:rsidRPr="00FA49B5">
        <w:rPr>
          <w:rFonts w:eastAsia="Times New Roman"/>
          <w:color w:val="000000"/>
        </w:rPr>
        <w:lastRenderedPageBreak/>
        <w:t>zabezpieczenie szyn zbiorczych, które może być w wykonaniu różnicowym poprzecznym lub nadprądowo-logicznym. Automatyka ta powinna odłączać</w:t>
      </w:r>
      <w:r w:rsidR="00532858" w:rsidRPr="00FA49B5">
        <w:rPr>
          <w:rFonts w:eastAsia="Times New Roman"/>
          <w:color w:val="000000"/>
        </w:rPr>
        <w:t xml:space="preserve"> zasilanie zwarcia ze wszystkich stron, czyli również wyłączać linie </w:t>
      </w:r>
      <w:r w:rsidR="00532858" w:rsidRPr="00FA49B5">
        <w:rPr>
          <w:rFonts w:eastAsia="Times New Roman"/>
          <w:color w:val="000000"/>
        </w:rPr>
        <w:br/>
        <w:t xml:space="preserve">z przyłączonymi elektrowniami lokalnymi. Zabezpieczenie to powinno działać </w:t>
      </w:r>
      <w:r w:rsidR="00532858" w:rsidRPr="00FA49B5">
        <w:rPr>
          <w:rFonts w:eastAsia="Times New Roman"/>
          <w:color w:val="000000"/>
        </w:rPr>
        <w:br/>
        <w:t>z czasem nie dłuższym niż 0,3 s,</w:t>
      </w:r>
    </w:p>
    <w:p w14:paraId="756816DF" w14:textId="77777777" w:rsidR="00572BA3" w:rsidRDefault="00572BA3">
      <w:pPr>
        <w:tabs>
          <w:tab w:val="left" w:pos="1260"/>
        </w:tabs>
        <w:spacing w:line="234" w:lineRule="auto"/>
        <w:ind w:left="1280" w:hanging="1279"/>
        <w:rPr>
          <w:rFonts w:eastAsia="Times New Roman"/>
        </w:rPr>
      </w:pPr>
      <w:r>
        <w:rPr>
          <w:rFonts w:eastAsia="Times New Roman"/>
        </w:rPr>
        <w:t>II.</w:t>
      </w:r>
      <w:r w:rsidR="00C31BD8">
        <w:rPr>
          <w:rFonts w:eastAsia="Times New Roman"/>
        </w:rPr>
        <w:t>3</w:t>
      </w:r>
      <w:r>
        <w:rPr>
          <w:rFonts w:eastAsia="Times New Roman"/>
        </w:rPr>
        <w:t>.5.</w:t>
      </w:r>
      <w:r w:rsidR="000053A6">
        <w:rPr>
          <w:rFonts w:eastAsia="Times New Roman"/>
        </w:rPr>
        <w:t>3</w:t>
      </w:r>
      <w:r>
        <w:rPr>
          <w:rFonts w:eastAsia="Times New Roman"/>
        </w:rPr>
        <w:t>.</w:t>
      </w:r>
      <w:r w:rsidR="008F05E4">
        <w:rPr>
          <w:rFonts w:eastAsia="Times New Roman"/>
        </w:rPr>
        <w:t>6</w:t>
      </w:r>
      <w:r>
        <w:rPr>
          <w:rFonts w:eastAsia="Times New Roman"/>
        </w:rPr>
        <w:t>.2.</w:t>
      </w:r>
      <w:r>
        <w:rPr>
          <w:rFonts w:eastAsia="Times New Roman"/>
        </w:rPr>
        <w:tab/>
        <w:t>W rozdzielniach SN wyposażonych w automatykę SZR, do których przyłączone są jednostki wytwórcze, należy zastosować jedno z rozwiązań:</w:t>
      </w:r>
    </w:p>
    <w:p w14:paraId="3542708F" w14:textId="77777777" w:rsidR="00572BA3" w:rsidRDefault="00572BA3" w:rsidP="00FA49B5">
      <w:pPr>
        <w:numPr>
          <w:ilvl w:val="0"/>
          <w:numId w:val="23"/>
        </w:numPr>
        <w:tabs>
          <w:tab w:val="left" w:pos="1620"/>
        </w:tabs>
        <w:spacing w:line="0" w:lineRule="atLeast"/>
        <w:ind w:left="1620" w:hanging="347"/>
        <w:rPr>
          <w:rFonts w:eastAsia="Times New Roman"/>
        </w:rPr>
      </w:pPr>
      <w:r>
        <w:rPr>
          <w:rFonts w:eastAsia="Times New Roman"/>
        </w:rPr>
        <w:t>urządzenia SZR z funkcją kontroli napięcia szczątkowego (zalecane),</w:t>
      </w:r>
    </w:p>
    <w:p w14:paraId="50E4E80D" w14:textId="77777777" w:rsidR="00572BA3" w:rsidRDefault="00572BA3" w:rsidP="00FA49B5">
      <w:pPr>
        <w:numPr>
          <w:ilvl w:val="0"/>
          <w:numId w:val="23"/>
        </w:numPr>
        <w:tabs>
          <w:tab w:val="left" w:pos="1635"/>
        </w:tabs>
        <w:spacing w:line="234" w:lineRule="auto"/>
        <w:ind w:left="1640" w:hanging="367"/>
        <w:rPr>
          <w:rFonts w:eastAsia="Times New Roman"/>
        </w:rPr>
      </w:pPr>
      <w:r>
        <w:rPr>
          <w:rFonts w:eastAsia="Times New Roman"/>
        </w:rPr>
        <w:t>przed załączeniem zasilania rezerwowego wyłączać linie, do których przyłączone są jednostki wytwórcze.</w:t>
      </w:r>
    </w:p>
    <w:p w14:paraId="78A72D36" w14:textId="77777777" w:rsidR="00572BA3" w:rsidRDefault="00572BA3">
      <w:pPr>
        <w:spacing w:line="200" w:lineRule="exact"/>
        <w:rPr>
          <w:rFonts w:eastAsia="Times New Roman"/>
        </w:rPr>
      </w:pPr>
    </w:p>
    <w:p w14:paraId="407E5F70" w14:textId="77777777" w:rsidR="00572BA3" w:rsidRPr="009F354D" w:rsidRDefault="00572BA3" w:rsidP="009F354D">
      <w:pPr>
        <w:rPr>
          <w:b/>
        </w:rPr>
      </w:pPr>
      <w:r w:rsidRPr="009F354D">
        <w:rPr>
          <w:b/>
        </w:rPr>
        <w:t>II.</w:t>
      </w:r>
      <w:r w:rsidR="00C31BD8">
        <w:rPr>
          <w:b/>
        </w:rPr>
        <w:t>3</w:t>
      </w:r>
      <w:r w:rsidRPr="009F354D">
        <w:rPr>
          <w:b/>
        </w:rPr>
        <w:t>.5.</w:t>
      </w:r>
      <w:r w:rsidR="000053A6">
        <w:rPr>
          <w:b/>
        </w:rPr>
        <w:t>4</w:t>
      </w:r>
      <w:r w:rsidRPr="009F354D">
        <w:rPr>
          <w:b/>
        </w:rPr>
        <w:t>.</w:t>
      </w:r>
      <w:r w:rsidRPr="009F354D">
        <w:rPr>
          <w:b/>
        </w:rPr>
        <w:tab/>
        <w:t>Wymagania dla jednostek wytwórczych w zakresie EAZ</w:t>
      </w:r>
    </w:p>
    <w:p w14:paraId="4B20180A" w14:textId="77777777" w:rsidR="00572BA3" w:rsidRDefault="00572BA3">
      <w:pPr>
        <w:spacing w:line="132" w:lineRule="exact"/>
        <w:rPr>
          <w:rFonts w:eastAsia="Times New Roman"/>
        </w:rPr>
      </w:pPr>
    </w:p>
    <w:p w14:paraId="294714FF" w14:textId="77777777" w:rsidR="00572BA3" w:rsidRDefault="00572BA3">
      <w:pPr>
        <w:tabs>
          <w:tab w:val="left" w:pos="1260"/>
        </w:tabs>
        <w:spacing w:line="236"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0053A6">
        <w:rPr>
          <w:rFonts w:eastAsia="Times New Roman"/>
        </w:rPr>
        <w:t>4</w:t>
      </w:r>
      <w:r>
        <w:rPr>
          <w:rFonts w:eastAsia="Times New Roman"/>
        </w:rPr>
        <w:t>.1.</w:t>
      </w:r>
      <w:r>
        <w:rPr>
          <w:rFonts w:eastAsia="Times New Roman"/>
        </w:rPr>
        <w:tab/>
        <w:t xml:space="preserve">Zabrania się przyłączania jednostek wytwórczych wyposażonych wyłącznie </w:t>
      </w:r>
      <w:r w:rsidR="00AB65F8">
        <w:rPr>
          <w:rFonts w:eastAsia="Times New Roman"/>
        </w:rPr>
        <w:br/>
      </w:r>
      <w:r>
        <w:rPr>
          <w:rFonts w:eastAsia="Times New Roman"/>
        </w:rPr>
        <w:t>w aparaty instalacyjne np. bezpieczniki topikowe czy wyłączniki nadmiarowe niezależnie od wartości mocy osiągalnej i miejsca przyłączenia.</w:t>
      </w:r>
    </w:p>
    <w:p w14:paraId="26FD3A8D" w14:textId="77777777" w:rsidR="00572BA3" w:rsidRDefault="00572BA3">
      <w:pPr>
        <w:tabs>
          <w:tab w:val="left" w:pos="1260"/>
        </w:tabs>
        <w:spacing w:line="234"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0053A6">
        <w:rPr>
          <w:rFonts w:eastAsia="Times New Roman"/>
        </w:rPr>
        <w:t>4</w:t>
      </w:r>
      <w:r>
        <w:rPr>
          <w:rFonts w:eastAsia="Times New Roman"/>
        </w:rPr>
        <w:t>.2.</w:t>
      </w:r>
      <w:r>
        <w:rPr>
          <w:rFonts w:eastAsia="Times New Roman"/>
        </w:rPr>
        <w:tab/>
        <w:t>Wszystkie zabezpieczenia jednostek wytwórczych pracujących w sieci trójfazowej powinny powodować ich trójfazowe wyłączenie.</w:t>
      </w:r>
    </w:p>
    <w:p w14:paraId="5BBC0ABD" w14:textId="77777777" w:rsidR="00572BA3" w:rsidRDefault="00572BA3">
      <w:pPr>
        <w:tabs>
          <w:tab w:val="left" w:pos="1260"/>
        </w:tabs>
        <w:spacing w:line="233"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0053A6">
        <w:rPr>
          <w:rFonts w:eastAsia="Times New Roman"/>
        </w:rPr>
        <w:t>4</w:t>
      </w:r>
      <w:r>
        <w:rPr>
          <w:rFonts w:eastAsia="Times New Roman"/>
        </w:rPr>
        <w:t>.3.</w:t>
      </w:r>
      <w:r>
        <w:rPr>
          <w:rFonts w:eastAsia="Times New Roman"/>
        </w:rPr>
        <w:tab/>
        <w:t>Jednostki wytwórcze, dla których miejscem przyłączenia jest sieć nN, powinny być wyposażone w:</w:t>
      </w:r>
    </w:p>
    <w:p w14:paraId="57F4D47E" w14:textId="77777777" w:rsidR="00572BA3" w:rsidRDefault="00572BA3" w:rsidP="00FA49B5">
      <w:pPr>
        <w:numPr>
          <w:ilvl w:val="0"/>
          <w:numId w:val="24"/>
        </w:numPr>
        <w:tabs>
          <w:tab w:val="left" w:pos="1620"/>
        </w:tabs>
        <w:spacing w:line="0" w:lineRule="atLeast"/>
        <w:ind w:left="1620" w:hanging="347"/>
        <w:rPr>
          <w:rFonts w:eastAsia="Times New Roman"/>
        </w:rPr>
      </w:pPr>
      <w:r>
        <w:rPr>
          <w:rFonts w:eastAsia="Times New Roman"/>
        </w:rPr>
        <w:t>zabezpieczenia nadprądowe,</w:t>
      </w:r>
    </w:p>
    <w:p w14:paraId="6688CBD3" w14:textId="77777777" w:rsidR="00572BA3" w:rsidRDefault="00572BA3" w:rsidP="00FA49B5">
      <w:pPr>
        <w:numPr>
          <w:ilvl w:val="0"/>
          <w:numId w:val="24"/>
        </w:numPr>
        <w:tabs>
          <w:tab w:val="left" w:pos="1620"/>
        </w:tabs>
        <w:spacing w:line="0" w:lineRule="atLeast"/>
        <w:ind w:left="1620" w:hanging="347"/>
        <w:rPr>
          <w:rFonts w:eastAsia="Times New Roman"/>
        </w:rPr>
      </w:pPr>
      <w:r>
        <w:rPr>
          <w:rFonts w:eastAsia="Times New Roman"/>
        </w:rPr>
        <w:t>zabezpieczenia pod- i nadnapięciowe,</w:t>
      </w:r>
    </w:p>
    <w:p w14:paraId="290046A1" w14:textId="77777777" w:rsidR="00DD6A51" w:rsidRDefault="00DD6A51" w:rsidP="00FA49B5">
      <w:pPr>
        <w:numPr>
          <w:ilvl w:val="0"/>
          <w:numId w:val="24"/>
        </w:numPr>
        <w:tabs>
          <w:tab w:val="left" w:pos="1620"/>
        </w:tabs>
        <w:spacing w:line="0" w:lineRule="atLeast"/>
        <w:ind w:left="1620" w:hanging="347"/>
        <w:rPr>
          <w:rFonts w:eastAsia="Times New Roman"/>
        </w:rPr>
      </w:pPr>
      <w:r>
        <w:rPr>
          <w:rFonts w:eastAsia="Times New Roman"/>
        </w:rPr>
        <w:t>zabezpieczenia nad- i podczęstotliwościowe,</w:t>
      </w:r>
    </w:p>
    <w:p w14:paraId="0AA25453" w14:textId="77777777" w:rsidR="00572BA3" w:rsidRDefault="00572BA3" w:rsidP="00FA49B5">
      <w:pPr>
        <w:numPr>
          <w:ilvl w:val="0"/>
          <w:numId w:val="24"/>
        </w:numPr>
        <w:tabs>
          <w:tab w:val="left" w:pos="1620"/>
        </w:tabs>
        <w:spacing w:line="0" w:lineRule="atLeast"/>
        <w:ind w:left="1620" w:hanging="347"/>
        <w:rPr>
          <w:rFonts w:eastAsia="Times New Roman"/>
        </w:rPr>
      </w:pPr>
      <w:r>
        <w:rPr>
          <w:rFonts w:eastAsia="Times New Roman"/>
        </w:rPr>
        <w:t>zabezpieczenie skutków od pracy niepełnofazowej</w:t>
      </w:r>
      <w:r w:rsidR="00684B19">
        <w:rPr>
          <w:rFonts w:eastAsia="Times New Roman"/>
        </w:rPr>
        <w:t>,</w:t>
      </w:r>
    </w:p>
    <w:p w14:paraId="1089B2B8" w14:textId="77777777" w:rsidR="00684B19" w:rsidRDefault="00684B19" w:rsidP="00FA49B5">
      <w:pPr>
        <w:numPr>
          <w:ilvl w:val="0"/>
          <w:numId w:val="24"/>
        </w:numPr>
        <w:tabs>
          <w:tab w:val="left" w:pos="1620"/>
        </w:tabs>
        <w:spacing w:line="0" w:lineRule="atLeast"/>
        <w:ind w:left="1620" w:hanging="347"/>
        <w:rPr>
          <w:rFonts w:eastAsia="Times New Roman"/>
        </w:rPr>
      </w:pPr>
      <w:r>
        <w:rPr>
          <w:rFonts w:eastAsia="Times New Roman"/>
        </w:rPr>
        <w:t>zabezpieczenia od pracy wyspowej.</w:t>
      </w:r>
      <w:r w:rsidR="006E151E">
        <w:rPr>
          <w:rFonts w:eastAsia="Times New Roman"/>
        </w:rPr>
        <w:t xml:space="preserve"> </w:t>
      </w:r>
    </w:p>
    <w:p w14:paraId="0D9A0A06" w14:textId="77777777" w:rsidR="00572BA3" w:rsidRDefault="00572BA3" w:rsidP="00AB65F8">
      <w:pPr>
        <w:tabs>
          <w:tab w:val="left" w:pos="1260"/>
        </w:tabs>
        <w:spacing w:line="234"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0053A6">
        <w:rPr>
          <w:rFonts w:eastAsia="Times New Roman"/>
        </w:rPr>
        <w:t>4</w:t>
      </w:r>
      <w:r>
        <w:rPr>
          <w:rFonts w:eastAsia="Times New Roman"/>
        </w:rPr>
        <w:t>.4.</w:t>
      </w:r>
      <w:r>
        <w:rPr>
          <w:rFonts w:eastAsia="Times New Roman"/>
        </w:rPr>
        <w:tab/>
      </w:r>
      <w:r w:rsidR="00AB65F8">
        <w:rPr>
          <w:rFonts w:eastAsia="Times New Roman"/>
        </w:rPr>
        <w:t>OSDn</w:t>
      </w:r>
      <w:r>
        <w:rPr>
          <w:rFonts w:eastAsia="Times New Roman"/>
        </w:rPr>
        <w:t xml:space="preserve"> decyduje o potrzebie wyposażenia jednostek wytwórczych lub linii </w:t>
      </w:r>
      <w:r w:rsidR="00AB65F8">
        <w:rPr>
          <w:rFonts w:eastAsia="Times New Roman"/>
        </w:rPr>
        <w:br/>
      </w:r>
      <w:r>
        <w:rPr>
          <w:rFonts w:eastAsia="Times New Roman"/>
        </w:rPr>
        <w:t xml:space="preserve">w </w:t>
      </w:r>
      <w:r w:rsidR="00AB65F8">
        <w:rPr>
          <w:rFonts w:eastAsia="Times New Roman"/>
        </w:rPr>
        <w:t>zabezpieczenie od skutków mocy zwrotne</w:t>
      </w:r>
      <w:r>
        <w:rPr>
          <w:rFonts w:eastAsia="Times New Roman"/>
        </w:rPr>
        <w:t>.</w:t>
      </w:r>
    </w:p>
    <w:p w14:paraId="697F3F1A" w14:textId="77777777" w:rsidR="00572BA3" w:rsidRDefault="00572BA3">
      <w:pPr>
        <w:tabs>
          <w:tab w:val="left" w:pos="1260"/>
        </w:tabs>
        <w:spacing w:line="236"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0053A6">
        <w:rPr>
          <w:rFonts w:eastAsia="Times New Roman"/>
        </w:rPr>
        <w:t>4</w:t>
      </w:r>
      <w:r>
        <w:rPr>
          <w:rFonts w:eastAsia="Times New Roman"/>
        </w:rPr>
        <w:t>.5.</w:t>
      </w:r>
      <w:r>
        <w:rPr>
          <w:rFonts w:eastAsia="Times New Roman"/>
        </w:rPr>
        <w:tab/>
        <w:t xml:space="preserve">Nastawy EAZ jednostek wytwórczych powinny być uzgodnione z </w:t>
      </w:r>
      <w:r w:rsidR="00AB65F8">
        <w:rPr>
          <w:rFonts w:eastAsia="Times New Roman"/>
        </w:rPr>
        <w:t>OSDn</w:t>
      </w:r>
      <w:r>
        <w:rPr>
          <w:rFonts w:eastAsia="Times New Roman"/>
        </w:rPr>
        <w:t xml:space="preserve"> lub przez niego ustalone. Nastawy zabezpieczeń podnapięciowych powinny uwzględniać wymaganą krzywą t=f(U) podaną w Załączniku nr 1.</w:t>
      </w:r>
    </w:p>
    <w:p w14:paraId="51A4A7C1" w14:textId="77777777" w:rsidR="00572BA3" w:rsidRDefault="00572BA3">
      <w:pPr>
        <w:spacing w:line="122" w:lineRule="exact"/>
        <w:rPr>
          <w:rFonts w:eastAsia="Times New Roman"/>
        </w:rPr>
      </w:pPr>
    </w:p>
    <w:p w14:paraId="34C472C0" w14:textId="77777777" w:rsidR="00572BA3" w:rsidRDefault="00572BA3">
      <w:pPr>
        <w:tabs>
          <w:tab w:val="left" w:pos="1260"/>
        </w:tabs>
        <w:spacing w:line="0" w:lineRule="atLeast"/>
        <w:rPr>
          <w:rFonts w:eastAsia="Times New Roman"/>
          <w:u w:val="single"/>
        </w:rPr>
      </w:pPr>
      <w:r>
        <w:rPr>
          <w:rFonts w:eastAsia="Times New Roman"/>
        </w:rPr>
        <w:t>II.</w:t>
      </w:r>
      <w:r w:rsidR="00C31BD8">
        <w:rPr>
          <w:rFonts w:eastAsia="Times New Roman"/>
        </w:rPr>
        <w:t>3</w:t>
      </w:r>
      <w:r>
        <w:rPr>
          <w:rFonts w:eastAsia="Times New Roman"/>
        </w:rPr>
        <w:t>.5.</w:t>
      </w:r>
      <w:r w:rsidR="000E3F47">
        <w:rPr>
          <w:rFonts w:eastAsia="Times New Roman"/>
        </w:rPr>
        <w:t>4</w:t>
      </w:r>
      <w:r>
        <w:rPr>
          <w:rFonts w:eastAsia="Times New Roman"/>
        </w:rPr>
        <w:t>.6.</w:t>
      </w:r>
      <w:r>
        <w:rPr>
          <w:rFonts w:eastAsia="Times New Roman"/>
        </w:rPr>
        <w:tab/>
      </w:r>
      <w:r>
        <w:rPr>
          <w:rFonts w:eastAsia="Times New Roman"/>
          <w:u w:val="single"/>
        </w:rPr>
        <w:t>Jednostki wytwórcze przyłączone poprzez transformatory nN/SN.</w:t>
      </w:r>
    </w:p>
    <w:p w14:paraId="6F730F35" w14:textId="77777777" w:rsidR="00572BA3" w:rsidRDefault="00572BA3">
      <w:pPr>
        <w:spacing w:line="132" w:lineRule="exact"/>
        <w:rPr>
          <w:rFonts w:eastAsia="Times New Roman"/>
        </w:rPr>
      </w:pPr>
    </w:p>
    <w:p w14:paraId="2C1B4DD4" w14:textId="77777777" w:rsidR="00572BA3" w:rsidRDefault="00572BA3">
      <w:pPr>
        <w:tabs>
          <w:tab w:val="left" w:pos="1260"/>
        </w:tabs>
        <w:spacing w:line="234"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0E3F47">
        <w:rPr>
          <w:rFonts w:eastAsia="Times New Roman"/>
        </w:rPr>
        <w:t>4</w:t>
      </w:r>
      <w:r>
        <w:rPr>
          <w:rFonts w:eastAsia="Times New Roman"/>
        </w:rPr>
        <w:t>.6.1.</w:t>
      </w:r>
      <w:r>
        <w:rPr>
          <w:rFonts w:eastAsia="Times New Roman"/>
        </w:rPr>
        <w:tab/>
        <w:t>Jeśli w skład jednostki wytwórczej wchodzi transformator nN/SN niezależnie od łącznika po stronie nN musi być zainstalowany wyłącznik po stronie SN.</w:t>
      </w:r>
    </w:p>
    <w:p w14:paraId="2E85954F" w14:textId="77777777" w:rsidR="00572BA3" w:rsidRDefault="00572BA3">
      <w:pPr>
        <w:tabs>
          <w:tab w:val="left" w:pos="1260"/>
        </w:tabs>
        <w:spacing w:line="236"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0E3F47">
        <w:rPr>
          <w:rFonts w:eastAsia="Times New Roman"/>
        </w:rPr>
        <w:t>4</w:t>
      </w:r>
      <w:r>
        <w:rPr>
          <w:rFonts w:eastAsia="Times New Roman"/>
        </w:rPr>
        <w:t>.6.2.</w:t>
      </w:r>
      <w:r>
        <w:rPr>
          <w:rFonts w:eastAsia="Times New Roman"/>
        </w:rPr>
        <w:tab/>
        <w:t xml:space="preserve">Jednostki wytwórcze z generatorami synchronicznymi pracujące synchronicznie </w:t>
      </w:r>
      <w:r w:rsidR="00AB65F8">
        <w:rPr>
          <w:rFonts w:eastAsia="Times New Roman"/>
        </w:rPr>
        <w:br/>
      </w:r>
      <w:r>
        <w:rPr>
          <w:rFonts w:eastAsia="Times New Roman"/>
        </w:rPr>
        <w:t>z siecią muszą być wyposażone w synchronizatory lub inne urządzenie umożliwiające właściwe łączenie z siecią.</w:t>
      </w:r>
    </w:p>
    <w:p w14:paraId="55BDC2A0" w14:textId="77777777" w:rsidR="00572BA3" w:rsidRDefault="00572BA3" w:rsidP="000053A6">
      <w:pPr>
        <w:tabs>
          <w:tab w:val="left" w:pos="1260"/>
        </w:tabs>
        <w:spacing w:line="237"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0E3F47">
        <w:rPr>
          <w:rFonts w:eastAsia="Times New Roman"/>
        </w:rPr>
        <w:t>4</w:t>
      </w:r>
      <w:r>
        <w:rPr>
          <w:rFonts w:eastAsia="Times New Roman"/>
        </w:rPr>
        <w:t>.6.3.</w:t>
      </w:r>
      <w:r>
        <w:rPr>
          <w:rFonts w:eastAsia="Times New Roman"/>
        </w:rPr>
        <w:tab/>
        <w:t>Po chwilowym zaniku lub obniżeniu napięcia w sieci współpracującej powodującym wyłączenie, jednostki wytwórcze o mocy większej od 100 kVA powinny samoczynnie powrócić do pracy w czasie nie krótszym niż 30 s po ustąpieniu zakłócenia.</w:t>
      </w:r>
    </w:p>
    <w:p w14:paraId="6BE0668A" w14:textId="77777777" w:rsidR="00572BA3" w:rsidRDefault="00572BA3" w:rsidP="000053A6">
      <w:pPr>
        <w:tabs>
          <w:tab w:val="left" w:pos="1260"/>
        </w:tabs>
        <w:spacing w:line="234" w:lineRule="auto"/>
        <w:ind w:left="1280" w:hanging="1279"/>
        <w:rPr>
          <w:rFonts w:eastAsia="Times New Roman"/>
        </w:rPr>
      </w:pPr>
      <w:r>
        <w:rPr>
          <w:rFonts w:eastAsia="Times New Roman"/>
        </w:rPr>
        <w:t>II.</w:t>
      </w:r>
      <w:r w:rsidR="00C31BD8">
        <w:rPr>
          <w:rFonts w:eastAsia="Times New Roman"/>
        </w:rPr>
        <w:t>3</w:t>
      </w:r>
      <w:r>
        <w:rPr>
          <w:rFonts w:eastAsia="Times New Roman"/>
        </w:rPr>
        <w:t>.5.</w:t>
      </w:r>
      <w:r w:rsidR="000E3F47">
        <w:rPr>
          <w:rFonts w:eastAsia="Times New Roman"/>
        </w:rPr>
        <w:t>4</w:t>
      </w:r>
      <w:r>
        <w:rPr>
          <w:rFonts w:eastAsia="Times New Roman"/>
        </w:rPr>
        <w:t>.6.</w:t>
      </w:r>
      <w:r w:rsidR="00285995">
        <w:rPr>
          <w:rFonts w:eastAsia="Times New Roman"/>
        </w:rPr>
        <w:t>4</w:t>
      </w:r>
      <w:r>
        <w:rPr>
          <w:rFonts w:eastAsia="Times New Roman"/>
        </w:rPr>
        <w:t>.</w:t>
      </w:r>
      <w:r>
        <w:rPr>
          <w:rFonts w:eastAsia="Times New Roman"/>
        </w:rPr>
        <w:tab/>
        <w:t>Jednostki wytwórcze powinny mieć następujące zabezpieczenia:</w:t>
      </w:r>
    </w:p>
    <w:p w14:paraId="1ACAA3FC" w14:textId="77777777" w:rsidR="00572BA3" w:rsidRDefault="00572BA3" w:rsidP="00FA49B5">
      <w:pPr>
        <w:numPr>
          <w:ilvl w:val="0"/>
          <w:numId w:val="25"/>
        </w:numPr>
        <w:tabs>
          <w:tab w:val="left" w:pos="1620"/>
        </w:tabs>
        <w:spacing w:line="0" w:lineRule="atLeast"/>
        <w:ind w:left="1620" w:hanging="347"/>
        <w:rPr>
          <w:rFonts w:eastAsia="Times New Roman"/>
        </w:rPr>
      </w:pPr>
      <w:r>
        <w:rPr>
          <w:rFonts w:eastAsia="Times New Roman"/>
        </w:rPr>
        <w:t>nadprądowe od skutków zwarć międzyfazowych zwłoczne i/lub zwarciowe,</w:t>
      </w:r>
    </w:p>
    <w:p w14:paraId="6B01CB18" w14:textId="77777777" w:rsidR="00572BA3" w:rsidRDefault="00572BA3" w:rsidP="00FA49B5">
      <w:pPr>
        <w:numPr>
          <w:ilvl w:val="0"/>
          <w:numId w:val="25"/>
        </w:numPr>
        <w:tabs>
          <w:tab w:val="left" w:pos="1620"/>
        </w:tabs>
        <w:spacing w:line="0" w:lineRule="atLeast"/>
        <w:ind w:left="1620" w:hanging="347"/>
        <w:rPr>
          <w:rFonts w:eastAsia="Times New Roman"/>
        </w:rPr>
      </w:pPr>
      <w:r>
        <w:rPr>
          <w:rFonts w:eastAsia="Times New Roman"/>
        </w:rPr>
        <w:t>nad- i podnapięciowe,</w:t>
      </w:r>
    </w:p>
    <w:p w14:paraId="3ED93BAC" w14:textId="77777777" w:rsidR="00572BA3" w:rsidRDefault="00572BA3" w:rsidP="00FA49B5">
      <w:pPr>
        <w:numPr>
          <w:ilvl w:val="0"/>
          <w:numId w:val="25"/>
        </w:numPr>
        <w:tabs>
          <w:tab w:val="left" w:pos="1620"/>
        </w:tabs>
        <w:spacing w:line="0" w:lineRule="atLeast"/>
        <w:ind w:left="1620" w:hanging="347"/>
        <w:rPr>
          <w:rFonts w:eastAsia="Times New Roman"/>
        </w:rPr>
      </w:pPr>
      <w:r>
        <w:rPr>
          <w:rFonts w:eastAsia="Times New Roman"/>
        </w:rPr>
        <w:t>nad- i podczęstotliwościowe,</w:t>
      </w:r>
    </w:p>
    <w:p w14:paraId="2ED31B50" w14:textId="77777777" w:rsidR="000053A6" w:rsidRDefault="00572BA3" w:rsidP="00FA49B5">
      <w:pPr>
        <w:numPr>
          <w:ilvl w:val="0"/>
          <w:numId w:val="25"/>
        </w:numPr>
        <w:spacing w:line="0" w:lineRule="atLeast"/>
        <w:ind w:left="1620" w:hanging="347"/>
        <w:rPr>
          <w:rFonts w:eastAsia="Times New Roman"/>
        </w:rPr>
      </w:pPr>
      <w:r w:rsidRPr="000053A6">
        <w:rPr>
          <w:rFonts w:eastAsia="Times New Roman"/>
        </w:rPr>
        <w:t>ziemnozwarciowe</w:t>
      </w:r>
      <w:r w:rsidR="00910BE5" w:rsidRPr="000053A6">
        <w:rPr>
          <w:rFonts w:eastAsia="Times New Roman"/>
        </w:rPr>
        <w:t>,</w:t>
      </w:r>
    </w:p>
    <w:p w14:paraId="73CBA021" w14:textId="77777777" w:rsidR="00910BE5" w:rsidRPr="000053A6" w:rsidRDefault="00910BE5" w:rsidP="00FA49B5">
      <w:pPr>
        <w:numPr>
          <w:ilvl w:val="0"/>
          <w:numId w:val="25"/>
        </w:numPr>
        <w:spacing w:line="0" w:lineRule="atLeast"/>
        <w:ind w:left="1620" w:hanging="347"/>
        <w:rPr>
          <w:rFonts w:eastAsia="Times New Roman"/>
        </w:rPr>
      </w:pPr>
      <w:r w:rsidRPr="000053A6">
        <w:rPr>
          <w:rFonts w:eastAsia="Times New Roman"/>
        </w:rPr>
        <w:t>od pracy wyspowej.</w:t>
      </w:r>
    </w:p>
    <w:p w14:paraId="65CB0A8C" w14:textId="77777777" w:rsidR="00572BA3" w:rsidRDefault="00572BA3" w:rsidP="000053A6">
      <w:pPr>
        <w:tabs>
          <w:tab w:val="left" w:pos="1260"/>
        </w:tabs>
        <w:spacing w:line="234" w:lineRule="auto"/>
        <w:ind w:left="1280" w:hanging="1279"/>
        <w:jc w:val="both"/>
        <w:rPr>
          <w:rFonts w:eastAsia="Times New Roman"/>
        </w:rPr>
      </w:pPr>
      <w:r>
        <w:rPr>
          <w:rFonts w:eastAsia="Times New Roman"/>
        </w:rPr>
        <w:t>II.</w:t>
      </w:r>
      <w:r w:rsidR="00C31BD8">
        <w:rPr>
          <w:rFonts w:eastAsia="Times New Roman"/>
        </w:rPr>
        <w:t>3</w:t>
      </w:r>
      <w:r>
        <w:rPr>
          <w:rFonts w:eastAsia="Times New Roman"/>
        </w:rPr>
        <w:t>.5.</w:t>
      </w:r>
      <w:r w:rsidR="000E3F47">
        <w:rPr>
          <w:rFonts w:eastAsia="Times New Roman"/>
        </w:rPr>
        <w:t>4</w:t>
      </w:r>
      <w:r>
        <w:rPr>
          <w:rFonts w:eastAsia="Times New Roman"/>
        </w:rPr>
        <w:t>.6.</w:t>
      </w:r>
      <w:r w:rsidR="00285995">
        <w:rPr>
          <w:rFonts w:eastAsia="Times New Roman"/>
        </w:rPr>
        <w:t>5</w:t>
      </w:r>
      <w:r>
        <w:rPr>
          <w:rFonts w:eastAsia="Times New Roman"/>
        </w:rPr>
        <w:t>.</w:t>
      </w:r>
      <w:r>
        <w:rPr>
          <w:rFonts w:eastAsia="Times New Roman"/>
        </w:rPr>
        <w:tab/>
        <w:t xml:space="preserve">Jednostki wytwórcze o mocy 25 MVA i większej należy wyposażać </w:t>
      </w:r>
      <w:r w:rsidR="00EF6F47">
        <w:rPr>
          <w:rFonts w:eastAsia="Times New Roman"/>
        </w:rPr>
        <w:br/>
      </w:r>
      <w:r>
        <w:rPr>
          <w:rFonts w:eastAsia="Times New Roman"/>
        </w:rPr>
        <w:t>w zabezpieczenia różnicowoprądowe, przy czym OSD może zdecydować</w:t>
      </w:r>
      <w:r w:rsidR="00EF6F47">
        <w:rPr>
          <w:rFonts w:eastAsia="Times New Roman"/>
        </w:rPr>
        <w:t xml:space="preserve"> </w:t>
      </w:r>
      <w:r w:rsidR="00EF6F47">
        <w:rPr>
          <w:rFonts w:eastAsia="Times New Roman"/>
        </w:rPr>
        <w:br/>
      </w:r>
      <w:r>
        <w:rPr>
          <w:rFonts w:eastAsia="Times New Roman"/>
        </w:rPr>
        <w:t>o potrzebie stosowania zabezpieczeń różnicowoprądowych dla poszczególnych rodzajów jednostek wytwórczych o mocy mniejszej.</w:t>
      </w:r>
    </w:p>
    <w:p w14:paraId="396080BD" w14:textId="77777777" w:rsidR="00572BA3" w:rsidRDefault="00572BA3" w:rsidP="000053A6">
      <w:pPr>
        <w:tabs>
          <w:tab w:val="left" w:pos="1260"/>
        </w:tabs>
        <w:spacing w:line="237" w:lineRule="auto"/>
        <w:ind w:left="1280" w:hanging="1279"/>
        <w:jc w:val="both"/>
        <w:rPr>
          <w:rFonts w:eastAsia="Times New Roman"/>
        </w:rPr>
      </w:pPr>
      <w:r>
        <w:rPr>
          <w:rFonts w:eastAsia="Times New Roman"/>
        </w:rPr>
        <w:lastRenderedPageBreak/>
        <w:t>II.</w:t>
      </w:r>
      <w:r w:rsidR="00C31BD8">
        <w:rPr>
          <w:rFonts w:eastAsia="Times New Roman"/>
        </w:rPr>
        <w:t>3</w:t>
      </w:r>
      <w:r>
        <w:rPr>
          <w:rFonts w:eastAsia="Times New Roman"/>
        </w:rPr>
        <w:t>.5.</w:t>
      </w:r>
      <w:r w:rsidR="000E3F47">
        <w:rPr>
          <w:rFonts w:eastAsia="Times New Roman"/>
        </w:rPr>
        <w:t>4</w:t>
      </w:r>
      <w:r>
        <w:rPr>
          <w:rFonts w:eastAsia="Times New Roman"/>
        </w:rPr>
        <w:t>.6.</w:t>
      </w:r>
      <w:r w:rsidR="00285995">
        <w:rPr>
          <w:rFonts w:eastAsia="Times New Roman"/>
        </w:rPr>
        <w:t>6.</w:t>
      </w:r>
      <w:r>
        <w:rPr>
          <w:rFonts w:eastAsia="Times New Roman"/>
        </w:rPr>
        <w:tab/>
        <w:t>Zabezpieczenia do ochrony przed skutkami obniżenia lub wzrostu napięcia muszą być wykonane trójfazowo. Jeśli zabezpieczenie jest zainstalowane po stronie nN, to powinno zadziałać po wzroście lub obniżeniu jednego lub więcej napięć fazowych. Jeśli jest zainstalowane po stronie SN, to powinno zadziałać po wzroście lub obniżeniu jednego lub więcej napięć przewodowych.</w:t>
      </w:r>
    </w:p>
    <w:p w14:paraId="4637B15F" w14:textId="77777777" w:rsidR="00572BA3" w:rsidRDefault="00572BA3">
      <w:pPr>
        <w:tabs>
          <w:tab w:val="left" w:pos="1260"/>
        </w:tabs>
        <w:spacing w:line="234" w:lineRule="auto"/>
        <w:ind w:left="1280" w:hanging="1279"/>
        <w:jc w:val="both"/>
        <w:rPr>
          <w:rFonts w:eastAsia="Times New Roman"/>
        </w:rPr>
      </w:pPr>
      <w:r>
        <w:rPr>
          <w:rFonts w:eastAsia="Times New Roman"/>
        </w:rPr>
        <w:t>II.</w:t>
      </w:r>
      <w:r w:rsidR="000F528D">
        <w:rPr>
          <w:rFonts w:eastAsia="Times New Roman"/>
        </w:rPr>
        <w:t>3</w:t>
      </w:r>
      <w:r>
        <w:rPr>
          <w:rFonts w:eastAsia="Times New Roman"/>
        </w:rPr>
        <w:t>.5.</w:t>
      </w:r>
      <w:r w:rsidR="000E3F47">
        <w:rPr>
          <w:rFonts w:eastAsia="Times New Roman"/>
        </w:rPr>
        <w:t>4</w:t>
      </w:r>
      <w:r>
        <w:rPr>
          <w:rFonts w:eastAsia="Times New Roman"/>
        </w:rPr>
        <w:t>.6.</w:t>
      </w:r>
      <w:r w:rsidR="00285995">
        <w:rPr>
          <w:rFonts w:eastAsia="Times New Roman"/>
        </w:rPr>
        <w:t>7</w:t>
      </w:r>
      <w:r>
        <w:rPr>
          <w:rFonts w:eastAsia="Times New Roman"/>
        </w:rPr>
        <w:t>.</w:t>
      </w:r>
      <w:r>
        <w:rPr>
          <w:rFonts w:eastAsia="Times New Roman"/>
        </w:rPr>
        <w:tab/>
        <w:t>Składowa zerowa napięcia dla zabezpieczeń ziemnozwarciowych musi być mierzona po stronie SN.</w:t>
      </w:r>
    </w:p>
    <w:p w14:paraId="619C53C4" w14:textId="77777777" w:rsidR="00572BA3" w:rsidRDefault="00572BA3">
      <w:pPr>
        <w:tabs>
          <w:tab w:val="left" w:pos="1260"/>
        </w:tabs>
        <w:spacing w:line="237" w:lineRule="auto"/>
        <w:ind w:left="1280" w:hanging="1279"/>
        <w:jc w:val="both"/>
        <w:rPr>
          <w:rFonts w:eastAsia="Times New Roman"/>
        </w:rPr>
      </w:pPr>
      <w:r>
        <w:rPr>
          <w:rFonts w:eastAsia="Times New Roman"/>
        </w:rPr>
        <w:t>II.</w:t>
      </w:r>
      <w:r w:rsidR="000F528D">
        <w:rPr>
          <w:rFonts w:eastAsia="Times New Roman"/>
        </w:rPr>
        <w:t>3</w:t>
      </w:r>
      <w:r>
        <w:rPr>
          <w:rFonts w:eastAsia="Times New Roman"/>
        </w:rPr>
        <w:t>.</w:t>
      </w:r>
      <w:r w:rsidRPr="007410ED">
        <w:rPr>
          <w:rFonts w:eastAsia="Times New Roman"/>
        </w:rPr>
        <w:t>5.</w:t>
      </w:r>
      <w:r w:rsidR="000E3F47">
        <w:rPr>
          <w:rFonts w:eastAsia="Times New Roman"/>
        </w:rPr>
        <w:t>4</w:t>
      </w:r>
      <w:r w:rsidRPr="007410ED">
        <w:rPr>
          <w:rFonts w:eastAsia="Times New Roman"/>
        </w:rPr>
        <w:t>.6.</w:t>
      </w:r>
      <w:r w:rsidR="00285995">
        <w:rPr>
          <w:rFonts w:eastAsia="Times New Roman"/>
        </w:rPr>
        <w:t>8</w:t>
      </w:r>
      <w:r w:rsidRPr="007410ED">
        <w:rPr>
          <w:rFonts w:eastAsia="Times New Roman"/>
        </w:rPr>
        <w:t>.</w:t>
      </w:r>
      <w:r w:rsidRPr="007410ED">
        <w:rPr>
          <w:rFonts w:eastAsia="Times New Roman"/>
        </w:rPr>
        <w:tab/>
        <w:t>Jednostki wytwórcze współpracujące z falownikami, oprócz zabezpieczeń wykonanych zgodnie z pkt. od II.</w:t>
      </w:r>
      <w:r w:rsidR="000F528D" w:rsidRPr="007410ED">
        <w:rPr>
          <w:rFonts w:eastAsia="Times New Roman"/>
        </w:rPr>
        <w:t>3</w:t>
      </w:r>
      <w:r w:rsidRPr="007410ED">
        <w:rPr>
          <w:rFonts w:eastAsia="Times New Roman"/>
        </w:rPr>
        <w:t>.5.</w:t>
      </w:r>
      <w:r w:rsidR="00885251">
        <w:rPr>
          <w:rFonts w:eastAsia="Times New Roman"/>
        </w:rPr>
        <w:t>4</w:t>
      </w:r>
      <w:r w:rsidRPr="007410ED">
        <w:rPr>
          <w:rFonts w:eastAsia="Times New Roman"/>
        </w:rPr>
        <w:t>.1. do II.</w:t>
      </w:r>
      <w:r w:rsidR="000F528D" w:rsidRPr="007410ED">
        <w:rPr>
          <w:rFonts w:eastAsia="Times New Roman"/>
        </w:rPr>
        <w:t>3</w:t>
      </w:r>
      <w:r w:rsidRPr="007410ED">
        <w:rPr>
          <w:rFonts w:eastAsia="Times New Roman"/>
        </w:rPr>
        <w:t>.5.</w:t>
      </w:r>
      <w:r w:rsidR="00885251">
        <w:rPr>
          <w:rFonts w:eastAsia="Times New Roman"/>
        </w:rPr>
        <w:t>4</w:t>
      </w:r>
      <w:r w:rsidRPr="007410ED">
        <w:rPr>
          <w:rFonts w:eastAsia="Times New Roman"/>
        </w:rPr>
        <w:t>.3. oraz od II.</w:t>
      </w:r>
      <w:r w:rsidR="000F528D" w:rsidRPr="007410ED">
        <w:rPr>
          <w:rFonts w:eastAsia="Times New Roman"/>
        </w:rPr>
        <w:t>3</w:t>
      </w:r>
      <w:r w:rsidRPr="007410ED">
        <w:rPr>
          <w:rFonts w:eastAsia="Times New Roman"/>
        </w:rPr>
        <w:t>.5.</w:t>
      </w:r>
      <w:r w:rsidR="00885251">
        <w:rPr>
          <w:rFonts w:eastAsia="Times New Roman"/>
        </w:rPr>
        <w:t>4</w:t>
      </w:r>
      <w:r w:rsidRPr="007410ED">
        <w:rPr>
          <w:rFonts w:eastAsia="Times New Roman"/>
        </w:rPr>
        <w:t>.6.1. do II.</w:t>
      </w:r>
      <w:r w:rsidR="000F528D" w:rsidRPr="007410ED">
        <w:rPr>
          <w:rFonts w:eastAsia="Times New Roman"/>
        </w:rPr>
        <w:t>3</w:t>
      </w:r>
      <w:r w:rsidRPr="007410ED">
        <w:rPr>
          <w:rFonts w:eastAsia="Times New Roman"/>
        </w:rPr>
        <w:t>.5.</w:t>
      </w:r>
      <w:r w:rsidR="008C0887">
        <w:rPr>
          <w:rFonts w:eastAsia="Times New Roman"/>
        </w:rPr>
        <w:t>4</w:t>
      </w:r>
      <w:r w:rsidRPr="007410ED">
        <w:rPr>
          <w:rFonts w:eastAsia="Times New Roman"/>
        </w:rPr>
        <w:t>.6.8., powinny</w:t>
      </w:r>
      <w:r>
        <w:rPr>
          <w:rFonts w:eastAsia="Times New Roman"/>
        </w:rPr>
        <w:t xml:space="preserve"> być wyposażone w urządzenia pozwalające na kontrolowanie i utrzymywanie zadanych parametrów jakościowych energii elektrycznej.</w:t>
      </w:r>
    </w:p>
    <w:p w14:paraId="5906522E" w14:textId="77777777" w:rsidR="00876A7B" w:rsidRDefault="00876A7B">
      <w:pPr>
        <w:tabs>
          <w:tab w:val="left" w:pos="1260"/>
        </w:tabs>
        <w:spacing w:line="237" w:lineRule="auto"/>
        <w:ind w:left="1280" w:hanging="1279"/>
        <w:jc w:val="both"/>
        <w:rPr>
          <w:rFonts w:eastAsia="Times New Roman"/>
        </w:rPr>
      </w:pPr>
    </w:p>
    <w:p w14:paraId="628BA46C" w14:textId="77777777" w:rsidR="00572BA3" w:rsidRDefault="00572BA3">
      <w:pPr>
        <w:spacing w:line="200" w:lineRule="exact"/>
        <w:rPr>
          <w:rFonts w:eastAsia="Times New Roman"/>
        </w:rPr>
      </w:pPr>
    </w:p>
    <w:p w14:paraId="222FAACA" w14:textId="77777777" w:rsidR="00572BA3" w:rsidRPr="004847F9" w:rsidRDefault="00572BA3" w:rsidP="004847F9">
      <w:pPr>
        <w:rPr>
          <w:b/>
        </w:rPr>
      </w:pPr>
      <w:r w:rsidRPr="004847F9">
        <w:rPr>
          <w:b/>
        </w:rPr>
        <w:t>II.</w:t>
      </w:r>
      <w:r w:rsidR="000F528D" w:rsidRPr="004847F9">
        <w:rPr>
          <w:b/>
        </w:rPr>
        <w:t>3</w:t>
      </w:r>
      <w:r w:rsidRPr="004847F9">
        <w:rPr>
          <w:b/>
        </w:rPr>
        <w:t>.5.</w:t>
      </w:r>
      <w:r w:rsidR="008C0887">
        <w:rPr>
          <w:b/>
        </w:rPr>
        <w:t>5</w:t>
      </w:r>
      <w:r w:rsidRPr="004847F9">
        <w:rPr>
          <w:b/>
        </w:rPr>
        <w:t>.</w:t>
      </w:r>
      <w:r w:rsidR="000F5649">
        <w:rPr>
          <w:b/>
        </w:rPr>
        <w:t xml:space="preserve"> </w:t>
      </w:r>
      <w:r w:rsidRPr="004847F9">
        <w:rPr>
          <w:b/>
        </w:rPr>
        <w:t>Wybrane zagadnienia eksploatacji EAZ</w:t>
      </w:r>
    </w:p>
    <w:p w14:paraId="19B7BBE9" w14:textId="77777777" w:rsidR="00572BA3" w:rsidRDefault="00572BA3">
      <w:pPr>
        <w:spacing w:line="132" w:lineRule="exact"/>
        <w:rPr>
          <w:rFonts w:eastAsia="Times New Roman"/>
        </w:rPr>
      </w:pPr>
    </w:p>
    <w:p w14:paraId="38B099C9" w14:textId="77777777" w:rsidR="00572BA3" w:rsidRDefault="00572BA3">
      <w:pPr>
        <w:tabs>
          <w:tab w:val="left" w:pos="1260"/>
        </w:tabs>
        <w:spacing w:line="236" w:lineRule="auto"/>
        <w:ind w:left="1280" w:hanging="1279"/>
        <w:jc w:val="both"/>
        <w:rPr>
          <w:rFonts w:eastAsia="Times New Roman"/>
        </w:rPr>
      </w:pPr>
      <w:r>
        <w:rPr>
          <w:rFonts w:eastAsia="Times New Roman"/>
        </w:rPr>
        <w:t>II.</w:t>
      </w:r>
      <w:r w:rsidR="000F528D">
        <w:rPr>
          <w:rFonts w:eastAsia="Times New Roman"/>
        </w:rPr>
        <w:t>3</w:t>
      </w:r>
      <w:r>
        <w:rPr>
          <w:rFonts w:eastAsia="Times New Roman"/>
        </w:rPr>
        <w:t>.5.</w:t>
      </w:r>
      <w:r w:rsidR="00280735">
        <w:rPr>
          <w:rFonts w:eastAsia="Times New Roman"/>
        </w:rPr>
        <w:t>5</w:t>
      </w:r>
      <w:r>
        <w:rPr>
          <w:rFonts w:eastAsia="Times New Roman"/>
        </w:rPr>
        <w:t>.1.</w:t>
      </w:r>
      <w:r>
        <w:rPr>
          <w:rFonts w:eastAsia="Times New Roman"/>
        </w:rPr>
        <w:tab/>
      </w:r>
      <w:r w:rsidR="00825C90">
        <w:rPr>
          <w:rFonts w:eastAsia="Times New Roman"/>
        </w:rPr>
        <w:t>OSDn</w:t>
      </w:r>
      <w:r>
        <w:rPr>
          <w:rFonts w:eastAsia="Times New Roman"/>
        </w:rPr>
        <w:t xml:space="preserve"> prowadzi eksploatację układów EAZ zgodnie z zasadami określonymi </w:t>
      </w:r>
      <w:r w:rsidR="00825C90">
        <w:rPr>
          <w:rFonts w:eastAsia="Times New Roman"/>
        </w:rPr>
        <w:br/>
      </w:r>
      <w:r>
        <w:rPr>
          <w:rFonts w:eastAsia="Times New Roman"/>
        </w:rPr>
        <w:t>w niniejszej IRiESD oraz w oparciu o szczegółowe instrukcje eksploatacji sieci, instalacji, grup urządzeń lub poszczególnych urządzeń.</w:t>
      </w:r>
    </w:p>
    <w:p w14:paraId="6A087A13" w14:textId="77777777" w:rsidR="00572BA3" w:rsidRDefault="00572BA3">
      <w:pPr>
        <w:tabs>
          <w:tab w:val="left" w:pos="1260"/>
        </w:tabs>
        <w:spacing w:line="238" w:lineRule="auto"/>
        <w:ind w:left="1280" w:hanging="1279"/>
        <w:jc w:val="both"/>
        <w:rPr>
          <w:rFonts w:eastAsia="Times New Roman"/>
        </w:rPr>
      </w:pPr>
      <w:r>
        <w:rPr>
          <w:rFonts w:eastAsia="Times New Roman"/>
        </w:rPr>
        <w:t>II.</w:t>
      </w:r>
      <w:r w:rsidR="000F528D">
        <w:rPr>
          <w:rFonts w:eastAsia="Times New Roman"/>
        </w:rPr>
        <w:t>3</w:t>
      </w:r>
      <w:r>
        <w:rPr>
          <w:rFonts w:eastAsia="Times New Roman"/>
        </w:rPr>
        <w:t>.5.</w:t>
      </w:r>
      <w:r w:rsidR="00280735">
        <w:rPr>
          <w:rFonts w:eastAsia="Times New Roman"/>
        </w:rPr>
        <w:t>5</w:t>
      </w:r>
      <w:r>
        <w:rPr>
          <w:rFonts w:eastAsia="Times New Roman"/>
        </w:rPr>
        <w:t>.2.</w:t>
      </w:r>
      <w:r>
        <w:rPr>
          <w:rFonts w:eastAsia="Times New Roman"/>
        </w:rPr>
        <w:tab/>
        <w:t xml:space="preserve">Podmioty przyłączone do sieci dystrybucyjnej </w:t>
      </w:r>
      <w:r w:rsidR="00825C90">
        <w:rPr>
          <w:rFonts w:eastAsia="Times New Roman"/>
        </w:rPr>
        <w:t xml:space="preserve">OSDn </w:t>
      </w:r>
      <w:r>
        <w:rPr>
          <w:rFonts w:eastAsia="Times New Roman"/>
        </w:rPr>
        <w:t>zobowiązane są do eksploatowania urządzeń EAZ będących ich własnością w sposób nie zagrażający bezpiecznej pracy systemu dystrybucyjnego</w:t>
      </w:r>
      <w:r w:rsidR="00825C90">
        <w:rPr>
          <w:rFonts w:eastAsia="Times New Roman"/>
        </w:rPr>
        <w:t xml:space="preserve"> OSDn</w:t>
      </w:r>
      <w:r>
        <w:rPr>
          <w:rFonts w:eastAsia="Times New Roman"/>
        </w:rPr>
        <w:t xml:space="preserve">, a tym samym utrzymywania tych elementów w należytym stanie technicznym. W odniesieniu do EAZ bez uzgodnienia z </w:t>
      </w:r>
      <w:r w:rsidR="00825C90">
        <w:rPr>
          <w:rFonts w:eastAsia="Times New Roman"/>
        </w:rPr>
        <w:t>OSDn</w:t>
      </w:r>
      <w:r>
        <w:rPr>
          <w:rFonts w:eastAsia="Times New Roman"/>
        </w:rPr>
        <w:t xml:space="preserve"> w szczególności podmiotom tym zabrania się:</w:t>
      </w:r>
    </w:p>
    <w:p w14:paraId="624024BC" w14:textId="77777777" w:rsidR="00572BA3" w:rsidRDefault="00572BA3" w:rsidP="00FA49B5">
      <w:pPr>
        <w:numPr>
          <w:ilvl w:val="0"/>
          <w:numId w:val="26"/>
        </w:numPr>
        <w:tabs>
          <w:tab w:val="left" w:pos="1620"/>
        </w:tabs>
        <w:spacing w:line="0" w:lineRule="atLeast"/>
        <w:ind w:left="1620" w:hanging="347"/>
        <w:rPr>
          <w:rFonts w:eastAsia="Times New Roman"/>
        </w:rPr>
      </w:pPr>
      <w:r>
        <w:rPr>
          <w:rFonts w:eastAsia="Times New Roman"/>
        </w:rPr>
        <w:t>odstawiania z pracy urządzeń lub ich części,</w:t>
      </w:r>
    </w:p>
    <w:p w14:paraId="51CE2779" w14:textId="77777777" w:rsidR="00572BA3" w:rsidRDefault="00572BA3" w:rsidP="00FA49B5">
      <w:pPr>
        <w:numPr>
          <w:ilvl w:val="0"/>
          <w:numId w:val="26"/>
        </w:numPr>
        <w:tabs>
          <w:tab w:val="left" w:pos="1620"/>
        </w:tabs>
        <w:spacing w:line="0" w:lineRule="atLeast"/>
        <w:ind w:left="1620" w:hanging="347"/>
        <w:rPr>
          <w:rFonts w:eastAsia="Times New Roman"/>
        </w:rPr>
      </w:pPr>
      <w:r>
        <w:rPr>
          <w:rFonts w:eastAsia="Times New Roman"/>
        </w:rPr>
        <w:t>wymiany urządzeń na posiadające inne parametry i właściwości,</w:t>
      </w:r>
    </w:p>
    <w:p w14:paraId="6CCD2B5D" w14:textId="77777777" w:rsidR="00572BA3" w:rsidRDefault="00572BA3" w:rsidP="00FA49B5">
      <w:pPr>
        <w:numPr>
          <w:ilvl w:val="0"/>
          <w:numId w:val="26"/>
        </w:numPr>
        <w:tabs>
          <w:tab w:val="left" w:pos="1620"/>
        </w:tabs>
        <w:spacing w:line="0" w:lineRule="atLeast"/>
        <w:ind w:left="1620" w:hanging="347"/>
        <w:rPr>
          <w:rFonts w:eastAsia="Times New Roman"/>
        </w:rPr>
      </w:pPr>
      <w:r>
        <w:rPr>
          <w:rFonts w:eastAsia="Times New Roman"/>
        </w:rPr>
        <w:t>zmiany nastaw i sposobu działania.</w:t>
      </w:r>
    </w:p>
    <w:p w14:paraId="160589E5" w14:textId="77777777" w:rsidR="00572BA3" w:rsidRDefault="00572BA3">
      <w:pPr>
        <w:tabs>
          <w:tab w:val="left" w:pos="1260"/>
        </w:tabs>
        <w:spacing w:line="237" w:lineRule="auto"/>
        <w:ind w:left="1280" w:hanging="1279"/>
        <w:jc w:val="both"/>
        <w:rPr>
          <w:rFonts w:eastAsia="Times New Roman"/>
        </w:rPr>
      </w:pPr>
      <w:r>
        <w:rPr>
          <w:rFonts w:eastAsia="Times New Roman"/>
        </w:rPr>
        <w:t>II.</w:t>
      </w:r>
      <w:r w:rsidR="000F528D">
        <w:rPr>
          <w:rFonts w:eastAsia="Times New Roman"/>
        </w:rPr>
        <w:t>3</w:t>
      </w:r>
      <w:r>
        <w:rPr>
          <w:rFonts w:eastAsia="Times New Roman"/>
        </w:rPr>
        <w:t>.5.</w:t>
      </w:r>
      <w:r w:rsidR="00280735">
        <w:rPr>
          <w:rFonts w:eastAsia="Times New Roman"/>
        </w:rPr>
        <w:t>5</w:t>
      </w:r>
      <w:r>
        <w:rPr>
          <w:rFonts w:eastAsia="Times New Roman"/>
        </w:rPr>
        <w:t>.3.</w:t>
      </w:r>
      <w:r>
        <w:rPr>
          <w:rFonts w:eastAsia="Times New Roman"/>
        </w:rPr>
        <w:tab/>
      </w:r>
      <w:r w:rsidR="00B85DA0">
        <w:rPr>
          <w:rFonts w:eastAsia="Times New Roman"/>
        </w:rPr>
        <w:t>OSDn</w:t>
      </w:r>
      <w:r>
        <w:rPr>
          <w:rFonts w:eastAsia="Times New Roman"/>
        </w:rPr>
        <w:t xml:space="preserve"> może zażądać od podmiotu przyłączonego do sieci wglądu </w:t>
      </w:r>
      <w:r w:rsidR="0080603D">
        <w:rPr>
          <w:rFonts w:eastAsia="Times New Roman"/>
        </w:rPr>
        <w:br/>
      </w:r>
      <w:r>
        <w:rPr>
          <w:rFonts w:eastAsia="Times New Roman"/>
        </w:rPr>
        <w:t>w dokumentację eksploatacyjną potwierdzającą terminowość i zakres prowadzonych prac eksploatacyjnych EAZ, których stan techniczny może mieć wpływ na pracę sieci dystrybucyjnej.</w:t>
      </w:r>
    </w:p>
    <w:p w14:paraId="6D87DA73" w14:textId="77777777" w:rsidR="00572BA3" w:rsidRDefault="00572BA3">
      <w:pPr>
        <w:tabs>
          <w:tab w:val="left" w:pos="1260"/>
        </w:tabs>
        <w:spacing w:line="238" w:lineRule="auto"/>
        <w:ind w:left="1280" w:hanging="1279"/>
        <w:jc w:val="both"/>
        <w:rPr>
          <w:rFonts w:eastAsia="Times New Roman"/>
        </w:rPr>
      </w:pPr>
      <w:r>
        <w:rPr>
          <w:rFonts w:eastAsia="Times New Roman"/>
        </w:rPr>
        <w:t>II.</w:t>
      </w:r>
      <w:r w:rsidR="000F528D">
        <w:rPr>
          <w:rFonts w:eastAsia="Times New Roman"/>
        </w:rPr>
        <w:t>3</w:t>
      </w:r>
      <w:r>
        <w:rPr>
          <w:rFonts w:eastAsia="Times New Roman"/>
        </w:rPr>
        <w:t>.5.</w:t>
      </w:r>
      <w:r w:rsidR="00280735">
        <w:rPr>
          <w:rFonts w:eastAsia="Times New Roman"/>
        </w:rPr>
        <w:t>5</w:t>
      </w:r>
      <w:r>
        <w:rPr>
          <w:rFonts w:eastAsia="Times New Roman"/>
        </w:rPr>
        <w:t>.4.</w:t>
      </w:r>
      <w:r>
        <w:rPr>
          <w:rFonts w:eastAsia="Times New Roman"/>
        </w:rPr>
        <w:tab/>
        <w:t>Przyjęcie do eksploatacji urządzeń EAZ nowych i modernizowanych następuje po przeprowadzeniu prób i pomiarów oraz stwierdzeniu spełnienia warunków określonych w niniejszej instrukcji, w zawartych umowach, a także warunków zawartych w dokumentacji projektowej i fabrycznej. Przyjmowane do eksploatacji urządzenia, instalacje i sieci w zależności od potrzeb, powinny posiadać wymaganą dokumentację prawną i techniczną.</w:t>
      </w:r>
    </w:p>
    <w:p w14:paraId="0FD459D4" w14:textId="77777777" w:rsidR="00572BA3" w:rsidRDefault="00572BA3">
      <w:pPr>
        <w:tabs>
          <w:tab w:val="left" w:pos="1260"/>
        </w:tabs>
        <w:spacing w:line="234" w:lineRule="auto"/>
        <w:ind w:left="1280" w:hanging="1279"/>
        <w:jc w:val="both"/>
        <w:rPr>
          <w:rFonts w:eastAsia="Times New Roman"/>
        </w:rPr>
      </w:pPr>
      <w:r>
        <w:rPr>
          <w:rFonts w:eastAsia="Times New Roman"/>
        </w:rPr>
        <w:t>II.</w:t>
      </w:r>
      <w:r w:rsidR="000F528D">
        <w:rPr>
          <w:rFonts w:eastAsia="Times New Roman"/>
        </w:rPr>
        <w:t>3</w:t>
      </w:r>
      <w:r>
        <w:rPr>
          <w:rFonts w:eastAsia="Times New Roman"/>
        </w:rPr>
        <w:t>.5.</w:t>
      </w:r>
      <w:r w:rsidR="00280735">
        <w:rPr>
          <w:rFonts w:eastAsia="Times New Roman"/>
        </w:rPr>
        <w:t>5</w:t>
      </w:r>
      <w:r>
        <w:rPr>
          <w:rFonts w:eastAsia="Times New Roman"/>
        </w:rPr>
        <w:t>.5.</w:t>
      </w:r>
      <w:r>
        <w:rPr>
          <w:rFonts w:eastAsia="Times New Roman"/>
        </w:rPr>
        <w:tab/>
        <w:t xml:space="preserve">Podczas oględzin urządzeń sieci dystrybucyjnej </w:t>
      </w:r>
      <w:r w:rsidR="00B85DA0">
        <w:rPr>
          <w:rFonts w:eastAsia="Times New Roman"/>
        </w:rPr>
        <w:t xml:space="preserve">OSDn </w:t>
      </w:r>
      <w:r>
        <w:rPr>
          <w:rFonts w:eastAsia="Times New Roman"/>
        </w:rPr>
        <w:t>podlegają im również urządzenia EAZ.</w:t>
      </w:r>
    </w:p>
    <w:p w14:paraId="6086CACB" w14:textId="77777777" w:rsidR="00572BA3" w:rsidRDefault="00572BA3">
      <w:pPr>
        <w:spacing w:line="200" w:lineRule="exact"/>
        <w:rPr>
          <w:rFonts w:eastAsia="Times New Roman"/>
        </w:rPr>
      </w:pPr>
    </w:p>
    <w:p w14:paraId="2E1EB11A" w14:textId="77777777" w:rsidR="00572BA3" w:rsidRPr="007451F7" w:rsidRDefault="00572BA3" w:rsidP="007451F7">
      <w:pPr>
        <w:pStyle w:val="Tekstpodstawowy"/>
        <w:tabs>
          <w:tab w:val="clear" w:pos="4536"/>
          <w:tab w:val="clear" w:pos="9072"/>
        </w:tabs>
        <w:rPr>
          <w:b/>
        </w:rPr>
      </w:pPr>
      <w:r w:rsidRPr="004847F9">
        <w:rPr>
          <w:b/>
        </w:rPr>
        <w:t>II.</w:t>
      </w:r>
      <w:r w:rsidR="000F528D" w:rsidRPr="004847F9">
        <w:rPr>
          <w:b/>
        </w:rPr>
        <w:t>3</w:t>
      </w:r>
      <w:r w:rsidRPr="004847F9">
        <w:rPr>
          <w:b/>
        </w:rPr>
        <w:t>.6.</w:t>
      </w:r>
      <w:r w:rsidRPr="004847F9">
        <w:rPr>
          <w:b/>
        </w:rPr>
        <w:tab/>
        <w:t>Wymagania techniczne dla systemu nadzoru i telemechaniki</w:t>
      </w:r>
      <w:r w:rsidRPr="007451F7">
        <w:rPr>
          <w:b/>
        </w:rPr>
        <w:t>.</w:t>
      </w:r>
    </w:p>
    <w:p w14:paraId="6A7D06BD" w14:textId="77777777" w:rsidR="00572BA3" w:rsidRDefault="00572BA3">
      <w:pPr>
        <w:spacing w:line="128" w:lineRule="exact"/>
        <w:rPr>
          <w:rFonts w:eastAsia="Times New Roman"/>
        </w:rPr>
      </w:pPr>
    </w:p>
    <w:p w14:paraId="597867C3" w14:textId="77777777" w:rsidR="00572BA3" w:rsidRDefault="00572BA3">
      <w:pPr>
        <w:tabs>
          <w:tab w:val="left" w:pos="1120"/>
        </w:tabs>
        <w:spacing w:line="250" w:lineRule="auto"/>
        <w:ind w:left="1140" w:hanging="1139"/>
        <w:jc w:val="both"/>
        <w:rPr>
          <w:rFonts w:eastAsia="Times New Roman"/>
          <w:sz w:val="23"/>
        </w:rPr>
      </w:pPr>
      <w:r>
        <w:rPr>
          <w:rFonts w:eastAsia="Times New Roman"/>
          <w:sz w:val="23"/>
        </w:rPr>
        <w:t>II.</w:t>
      </w:r>
      <w:r w:rsidR="000F528D">
        <w:rPr>
          <w:rFonts w:eastAsia="Times New Roman"/>
          <w:sz w:val="23"/>
        </w:rPr>
        <w:t>3</w:t>
      </w:r>
      <w:r>
        <w:rPr>
          <w:rFonts w:eastAsia="Times New Roman"/>
          <w:sz w:val="23"/>
        </w:rPr>
        <w:t>.6.1.</w:t>
      </w:r>
      <w:r>
        <w:rPr>
          <w:rFonts w:eastAsia="Times New Roman"/>
        </w:rPr>
        <w:tab/>
      </w:r>
      <w:r>
        <w:rPr>
          <w:rFonts w:eastAsia="Times New Roman"/>
          <w:sz w:val="23"/>
        </w:rPr>
        <w:t xml:space="preserve">Wymagania i zalecenia dotyczące nadzoru stacji elektroenergetycznych obowiązują </w:t>
      </w:r>
      <w:r w:rsidR="00BF7A94" w:rsidRPr="00C93376">
        <w:rPr>
          <w:rFonts w:eastAsia="Times New Roman"/>
          <w:sz w:val="23"/>
        </w:rPr>
        <w:t>OSDn</w:t>
      </w:r>
      <w:r w:rsidRPr="00C93376">
        <w:rPr>
          <w:rFonts w:eastAsia="Times New Roman"/>
          <w:sz w:val="23"/>
        </w:rPr>
        <w:t xml:space="preserve"> oraz podmioty przyłączane do sieci dystrybucyjnej</w:t>
      </w:r>
      <w:r w:rsidR="00BF7A94" w:rsidRPr="00C93376">
        <w:rPr>
          <w:rFonts w:eastAsia="Times New Roman"/>
          <w:sz w:val="23"/>
        </w:rPr>
        <w:t xml:space="preserve"> OSDn</w:t>
      </w:r>
      <w:r w:rsidRPr="00C93376">
        <w:rPr>
          <w:rFonts w:eastAsia="Times New Roman"/>
          <w:sz w:val="23"/>
        </w:rPr>
        <w:t>, z zastrzeżeniem zapisów pkt. II.</w:t>
      </w:r>
      <w:r w:rsidR="000F528D" w:rsidRPr="00C93376">
        <w:rPr>
          <w:rFonts w:eastAsia="Times New Roman"/>
          <w:sz w:val="23"/>
        </w:rPr>
        <w:t>3</w:t>
      </w:r>
      <w:r w:rsidRPr="00C93376">
        <w:rPr>
          <w:rFonts w:eastAsia="Times New Roman"/>
          <w:sz w:val="23"/>
        </w:rPr>
        <w:t>.1.5. i II.</w:t>
      </w:r>
      <w:r w:rsidR="000F528D" w:rsidRPr="00C93376">
        <w:rPr>
          <w:rFonts w:eastAsia="Times New Roman"/>
          <w:sz w:val="23"/>
        </w:rPr>
        <w:t>3</w:t>
      </w:r>
      <w:r w:rsidRPr="00C93376">
        <w:rPr>
          <w:rFonts w:eastAsia="Times New Roman"/>
          <w:sz w:val="23"/>
        </w:rPr>
        <w:t>.1.6.</w:t>
      </w:r>
    </w:p>
    <w:p w14:paraId="7B317B47" w14:textId="77777777" w:rsidR="00572BA3" w:rsidRDefault="00572BA3">
      <w:pPr>
        <w:tabs>
          <w:tab w:val="left" w:pos="1120"/>
        </w:tabs>
        <w:spacing w:line="236" w:lineRule="auto"/>
        <w:ind w:left="1140" w:hanging="1139"/>
        <w:jc w:val="both"/>
        <w:rPr>
          <w:rFonts w:eastAsia="Times New Roman"/>
        </w:rPr>
      </w:pPr>
      <w:r>
        <w:rPr>
          <w:rFonts w:eastAsia="Times New Roman"/>
        </w:rPr>
        <w:t>II.</w:t>
      </w:r>
      <w:r w:rsidR="000F528D">
        <w:rPr>
          <w:rFonts w:eastAsia="Times New Roman"/>
        </w:rPr>
        <w:t>3</w:t>
      </w:r>
      <w:r>
        <w:rPr>
          <w:rFonts w:eastAsia="Times New Roman"/>
        </w:rPr>
        <w:t>.6.</w:t>
      </w:r>
      <w:r w:rsidR="00BF7A94">
        <w:rPr>
          <w:rFonts w:eastAsia="Times New Roman"/>
        </w:rPr>
        <w:t>2</w:t>
      </w:r>
      <w:r>
        <w:rPr>
          <w:rFonts w:eastAsia="Times New Roman"/>
        </w:rPr>
        <w:t>.</w:t>
      </w:r>
      <w:r>
        <w:rPr>
          <w:rFonts w:eastAsia="Times New Roman"/>
        </w:rPr>
        <w:tab/>
        <w:t xml:space="preserve">Ogólne wymagania stawiane stacyjnemu i dyspozytorskiemu systemowi nadzoru, </w:t>
      </w:r>
      <w:r w:rsidR="00BF7A94">
        <w:rPr>
          <w:rFonts w:eastAsia="Times New Roman"/>
        </w:rPr>
        <w:br/>
      </w:r>
      <w:r>
        <w:rPr>
          <w:rFonts w:eastAsia="Times New Roman"/>
        </w:rPr>
        <w:t>a podyktowane głównie względami optymalizacyjnymi i niezawodnościowymi są następujące:</w:t>
      </w:r>
    </w:p>
    <w:p w14:paraId="34535206" w14:textId="77777777" w:rsidR="00572BA3" w:rsidRDefault="00572BA3" w:rsidP="00FA49B5">
      <w:pPr>
        <w:numPr>
          <w:ilvl w:val="0"/>
          <w:numId w:val="27"/>
        </w:numPr>
        <w:tabs>
          <w:tab w:val="left" w:pos="1500"/>
        </w:tabs>
        <w:spacing w:line="237" w:lineRule="auto"/>
        <w:ind w:left="1500" w:hanging="368"/>
        <w:jc w:val="both"/>
        <w:rPr>
          <w:rFonts w:eastAsia="Times New Roman"/>
        </w:rPr>
      </w:pPr>
      <w:r>
        <w:rPr>
          <w:rFonts w:eastAsia="Times New Roman"/>
        </w:rPr>
        <w:t>obiektowe systemy nadzoru muszą być kompatybilne z dyspozytorskimi systemami w centrach nadzoru. Stacyjne systemy nadzoru muszą spełniać wymagania stosowne do rodzaju obsługiwanych stacji z uwzględnieniem wymogów jakościowych i konfiguracyjnych,</w:t>
      </w:r>
    </w:p>
    <w:p w14:paraId="7B7E7423" w14:textId="77777777" w:rsidR="00572BA3" w:rsidRDefault="00572BA3" w:rsidP="0080603D">
      <w:pPr>
        <w:tabs>
          <w:tab w:val="left" w:pos="1480"/>
        </w:tabs>
        <w:spacing w:line="234" w:lineRule="auto"/>
        <w:ind w:left="1500" w:hanging="359"/>
        <w:jc w:val="both"/>
        <w:rPr>
          <w:rFonts w:eastAsia="Times New Roman"/>
        </w:rPr>
      </w:pPr>
      <w:r>
        <w:rPr>
          <w:rFonts w:eastAsia="Times New Roman"/>
        </w:rPr>
        <w:lastRenderedPageBreak/>
        <w:t>b)</w:t>
      </w:r>
      <w:r>
        <w:rPr>
          <w:rFonts w:eastAsia="Times New Roman"/>
        </w:rPr>
        <w:tab/>
        <w:t xml:space="preserve">obiektowe systemy nadzoru powinny być połączone z centrami nadzoru </w:t>
      </w:r>
      <w:r w:rsidR="00BF7A94">
        <w:rPr>
          <w:rFonts w:eastAsia="Times New Roman"/>
        </w:rPr>
        <w:br/>
      </w:r>
      <w:r>
        <w:rPr>
          <w:rFonts w:eastAsia="Times New Roman"/>
        </w:rPr>
        <w:t>z wykorzystaniem niezawodnych i o właściwej przepływności łączy</w:t>
      </w:r>
      <w:r w:rsidR="0080603D">
        <w:rPr>
          <w:rFonts w:eastAsia="Times New Roman"/>
        </w:rPr>
        <w:t xml:space="preserve"> </w:t>
      </w:r>
      <w:r>
        <w:rPr>
          <w:rFonts w:eastAsia="Times New Roman"/>
        </w:rPr>
        <w:t>transmisyjnych, aby zapewnić odpowiednią szybkość przepływu informacji z/do centrów dyspozytorskich,</w:t>
      </w:r>
    </w:p>
    <w:p w14:paraId="3D3A5940" w14:textId="77777777" w:rsidR="00572BA3" w:rsidRDefault="00572BA3">
      <w:pPr>
        <w:numPr>
          <w:ilvl w:val="0"/>
          <w:numId w:val="72"/>
        </w:numPr>
        <w:tabs>
          <w:tab w:val="left" w:pos="1500"/>
        </w:tabs>
        <w:spacing w:line="236" w:lineRule="auto"/>
        <w:ind w:left="1560" w:hanging="426"/>
        <w:jc w:val="both"/>
        <w:rPr>
          <w:rFonts w:eastAsia="Times New Roman"/>
        </w:rPr>
      </w:pPr>
      <w:r>
        <w:rPr>
          <w:rFonts w:eastAsia="Times New Roman"/>
        </w:rPr>
        <w:t xml:space="preserve">systemy nadzoru powinny zapewniać archiwizację danych na okres zgodny </w:t>
      </w:r>
      <w:r w:rsidR="00BF7A94">
        <w:rPr>
          <w:rFonts w:eastAsia="Times New Roman"/>
        </w:rPr>
        <w:br/>
      </w:r>
      <w:r>
        <w:rPr>
          <w:rFonts w:eastAsia="Times New Roman"/>
        </w:rPr>
        <w:t>z wymaganiami norm bezpieczeństwa informacji oraz umożliwić utrzymanie ciągłości nadzoru dyspozytorskiego i dokonywania analiz pracy sieci,</w:t>
      </w:r>
    </w:p>
    <w:p w14:paraId="027ED3E1" w14:textId="77777777" w:rsidR="00572BA3" w:rsidRDefault="00572BA3">
      <w:pPr>
        <w:numPr>
          <w:ilvl w:val="0"/>
          <w:numId w:val="72"/>
        </w:numPr>
        <w:tabs>
          <w:tab w:val="left" w:pos="1500"/>
        </w:tabs>
        <w:spacing w:line="234" w:lineRule="auto"/>
        <w:ind w:left="1560" w:hanging="426"/>
        <w:jc w:val="both"/>
        <w:rPr>
          <w:rFonts w:eastAsia="Times New Roman"/>
        </w:rPr>
      </w:pPr>
      <w:r>
        <w:rPr>
          <w:rFonts w:eastAsia="Times New Roman"/>
        </w:rPr>
        <w:t>połączenie systemów nadzoru w dyspozycjach winne być wykonane jako redundantne. Zaleca się realizację z wykorzystaniem sieci komputerowej,</w:t>
      </w:r>
    </w:p>
    <w:p w14:paraId="56931A3B" w14:textId="77777777" w:rsidR="00572BA3" w:rsidRDefault="00572BA3">
      <w:pPr>
        <w:numPr>
          <w:ilvl w:val="0"/>
          <w:numId w:val="72"/>
        </w:numPr>
        <w:spacing w:line="238" w:lineRule="auto"/>
        <w:ind w:left="1418" w:hanging="284"/>
        <w:jc w:val="both"/>
        <w:rPr>
          <w:rFonts w:eastAsia="Times New Roman"/>
        </w:rPr>
      </w:pPr>
      <w:r>
        <w:rPr>
          <w:rFonts w:eastAsia="Times New Roman"/>
        </w:rPr>
        <w:t>należy dążyć do tego, aby wszelkie informacje uzyskiwane dla systemów dyspozytorskich posiadały znacznik czasu. Struktura sieci komunikacyjnych sygnałów telemechaniki winna zapewnić niezawodność i optymalizację przepływu informacji. Komunikacja winna być realizowana dwoma redundantnymi kanałami łączności. Jako rezerwową drogę transmisji dopuszcza się transmisje pakietowe,</w:t>
      </w:r>
    </w:p>
    <w:p w14:paraId="64622BD1" w14:textId="77777777" w:rsidR="00572BA3" w:rsidRPr="00F5231A" w:rsidRDefault="00572BA3">
      <w:pPr>
        <w:numPr>
          <w:ilvl w:val="0"/>
          <w:numId w:val="72"/>
        </w:numPr>
        <w:tabs>
          <w:tab w:val="left" w:pos="1500"/>
        </w:tabs>
        <w:spacing w:line="234" w:lineRule="auto"/>
        <w:ind w:left="1560" w:hanging="426"/>
        <w:jc w:val="both"/>
        <w:rPr>
          <w:rFonts w:eastAsia="Times New Roman"/>
          <w:szCs w:val="24"/>
        </w:rPr>
      </w:pPr>
      <w:r w:rsidRPr="00F5231A">
        <w:rPr>
          <w:rFonts w:eastAsia="Times New Roman"/>
          <w:szCs w:val="24"/>
        </w:rPr>
        <w:t>protokół transmisji musi być dostosowany do systemu sterowania posiadanego przez operatora systemu dystrybucyjnego,</w:t>
      </w:r>
    </w:p>
    <w:p w14:paraId="2537CE5D" w14:textId="77777777" w:rsidR="00572BA3" w:rsidRPr="00F5231A" w:rsidRDefault="00572BA3">
      <w:pPr>
        <w:numPr>
          <w:ilvl w:val="0"/>
          <w:numId w:val="72"/>
        </w:numPr>
        <w:tabs>
          <w:tab w:val="left" w:pos="1500"/>
        </w:tabs>
        <w:spacing w:line="236" w:lineRule="auto"/>
        <w:ind w:left="1560" w:hanging="426"/>
        <w:jc w:val="both"/>
        <w:rPr>
          <w:rFonts w:eastAsia="Times New Roman"/>
          <w:szCs w:val="24"/>
        </w:rPr>
      </w:pPr>
      <w:r w:rsidRPr="00F5231A">
        <w:rPr>
          <w:rFonts w:eastAsia="Times New Roman"/>
          <w:szCs w:val="24"/>
        </w:rPr>
        <w:t xml:space="preserve">należy dążyć do tego, aby czas reakcji całego systemu nadzoru (stacyjnego </w:t>
      </w:r>
      <w:r w:rsidR="00AB5005" w:rsidRPr="00F5231A">
        <w:rPr>
          <w:rFonts w:eastAsia="Times New Roman"/>
          <w:szCs w:val="24"/>
        </w:rPr>
        <w:br/>
      </w:r>
      <w:r w:rsidRPr="00F5231A">
        <w:rPr>
          <w:rFonts w:eastAsia="Times New Roman"/>
          <w:szCs w:val="24"/>
        </w:rPr>
        <w:t>i nadrzędnego) nie przekraczał kilku sekund, a rozdzielczość czasowa przesyłanych sygnałów zawierała się w granicach 1–100 ms.</w:t>
      </w:r>
    </w:p>
    <w:p w14:paraId="68F48CAA" w14:textId="77777777" w:rsidR="00572BA3" w:rsidRPr="00F5231A" w:rsidRDefault="00572BA3" w:rsidP="00BE4C43">
      <w:pPr>
        <w:tabs>
          <w:tab w:val="left" w:pos="1120"/>
        </w:tabs>
        <w:spacing w:line="234" w:lineRule="auto"/>
        <w:ind w:left="1140" w:right="-20" w:hanging="113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.6.</w:t>
      </w:r>
      <w:r w:rsidR="00AB5005" w:rsidRPr="00F5231A">
        <w:rPr>
          <w:rFonts w:eastAsia="Times New Roman"/>
          <w:szCs w:val="24"/>
        </w:rPr>
        <w:t>3</w:t>
      </w:r>
      <w:r w:rsidRPr="00F5231A">
        <w:rPr>
          <w:rFonts w:eastAsia="Times New Roman"/>
          <w:szCs w:val="24"/>
        </w:rPr>
        <w:t>.</w:t>
      </w:r>
      <w:r w:rsidRPr="00F5231A">
        <w:rPr>
          <w:rFonts w:eastAsia="Times New Roman"/>
          <w:szCs w:val="24"/>
        </w:rPr>
        <w:tab/>
        <w:t>Urządzenia telemechaniki powinny być wyposażone w co najmniej dwa porty transmisji danych.</w:t>
      </w:r>
    </w:p>
    <w:p w14:paraId="08C54F85" w14:textId="77777777" w:rsidR="00572BA3" w:rsidRDefault="00572BA3" w:rsidP="00BE4C43">
      <w:pPr>
        <w:tabs>
          <w:tab w:val="left" w:pos="1120"/>
        </w:tabs>
        <w:spacing w:line="236" w:lineRule="auto"/>
        <w:ind w:left="1140" w:right="-20" w:hanging="113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.6.</w:t>
      </w:r>
      <w:r w:rsidR="00AB5005" w:rsidRPr="00F5231A">
        <w:rPr>
          <w:rFonts w:eastAsia="Times New Roman"/>
          <w:szCs w:val="24"/>
        </w:rPr>
        <w:t>4</w:t>
      </w:r>
      <w:r w:rsidRPr="00F5231A">
        <w:rPr>
          <w:rFonts w:eastAsia="Times New Roman"/>
          <w:szCs w:val="24"/>
        </w:rPr>
        <w:t>.</w:t>
      </w:r>
      <w:r w:rsidRPr="00F5231A">
        <w:rPr>
          <w:rFonts w:eastAsia="Times New Roman"/>
          <w:szCs w:val="24"/>
        </w:rPr>
        <w:tab/>
        <w:t>Urządzenia telemechaniki obiektowej oraz systemy nadzoru w dyspozycjach powinny być zasilane z układu napięcia bezprzerwowego o czasie autonomii nie krótszym niż 8 godz.</w:t>
      </w:r>
    </w:p>
    <w:p w14:paraId="14885B2A" w14:textId="283114B7" w:rsidR="00811C38" w:rsidRPr="002C2C76" w:rsidRDefault="00811C38" w:rsidP="00BE4C43">
      <w:pPr>
        <w:spacing w:line="236" w:lineRule="auto"/>
        <w:ind w:left="1134" w:right="-20" w:hanging="1133"/>
        <w:jc w:val="both"/>
        <w:rPr>
          <w:rFonts w:cs="Times New Roman"/>
          <w:i/>
          <w:iCs/>
          <w:color w:val="000000"/>
          <w:szCs w:val="24"/>
        </w:rPr>
      </w:pPr>
      <w:r w:rsidRPr="00F5231A">
        <w:rPr>
          <w:rFonts w:eastAsia="Times New Roman"/>
          <w:szCs w:val="24"/>
        </w:rPr>
        <w:t>II.</w:t>
      </w:r>
      <w:r>
        <w:rPr>
          <w:rFonts w:eastAsia="Times New Roman"/>
          <w:szCs w:val="24"/>
        </w:rPr>
        <w:t>3</w:t>
      </w:r>
      <w:r w:rsidRPr="00F5231A">
        <w:rPr>
          <w:rFonts w:eastAsia="Times New Roman"/>
          <w:szCs w:val="24"/>
        </w:rPr>
        <w:t>.6.</w:t>
      </w:r>
      <w:r>
        <w:rPr>
          <w:rFonts w:eastAsia="Times New Roman"/>
          <w:szCs w:val="24"/>
        </w:rPr>
        <w:t xml:space="preserve">5. </w:t>
      </w:r>
      <w:r>
        <w:rPr>
          <w:rFonts w:eastAsia="Times New Roman"/>
          <w:szCs w:val="24"/>
        </w:rPr>
        <w:tab/>
      </w:r>
      <w:r w:rsidRPr="00C6236A">
        <w:rPr>
          <w:rFonts w:cs="Times New Roman"/>
          <w:color w:val="000000"/>
          <w:szCs w:val="24"/>
        </w:rPr>
        <w:t>Do przekazywania danych bezpośrednio z obiektów elektroenergetycznych do systemu SCADA OSP podstawowo jest stosowany protokół IEC60870-5-104. Za zgodą OSP, przejściowo dopuszcza się stosowanie protokołów DNP3 lub IEC60870-5-101 pracujących na łączach szeregowych</w:t>
      </w:r>
      <w:r w:rsidR="00895870">
        <w:rPr>
          <w:rFonts w:cs="Times New Roman"/>
          <w:color w:val="000000"/>
          <w:szCs w:val="24"/>
        </w:rPr>
        <w:t>.</w:t>
      </w:r>
      <w:r w:rsidR="002C2C76">
        <w:rPr>
          <w:rFonts w:cs="Times New Roman"/>
          <w:color w:val="000000"/>
          <w:szCs w:val="24"/>
        </w:rPr>
        <w:t xml:space="preserve"> </w:t>
      </w:r>
    </w:p>
    <w:p w14:paraId="4E1E166D" w14:textId="538A21C3" w:rsidR="002C2C76" w:rsidRPr="002C2C76" w:rsidRDefault="00FC4E40" w:rsidP="002C2C76">
      <w:pPr>
        <w:spacing w:line="236" w:lineRule="auto"/>
        <w:ind w:left="1134" w:right="-20" w:hanging="1133"/>
        <w:jc w:val="both"/>
        <w:rPr>
          <w:rFonts w:cs="Times New Roman"/>
          <w:i/>
          <w:iCs/>
          <w:color w:val="000000"/>
          <w:szCs w:val="24"/>
        </w:rPr>
      </w:pPr>
      <w:r w:rsidRPr="00C6236A">
        <w:rPr>
          <w:rFonts w:cs="Times New Roman"/>
          <w:color w:val="000000"/>
          <w:szCs w:val="24"/>
        </w:rPr>
        <w:t xml:space="preserve">II.3.6.6. </w:t>
      </w:r>
      <w:r>
        <w:rPr>
          <w:rFonts w:cs="Times New Roman"/>
          <w:color w:val="000000"/>
          <w:szCs w:val="24"/>
        </w:rPr>
        <w:t xml:space="preserve">  </w:t>
      </w:r>
      <w:r w:rsidRPr="00C6236A">
        <w:rPr>
          <w:rFonts w:cs="Times New Roman"/>
          <w:color w:val="000000"/>
          <w:szCs w:val="24"/>
        </w:rPr>
        <w:t>Do przekazywania danych pomiędzy systemami SCADA OSP i OSD służą łączą</w:t>
      </w:r>
      <w:r>
        <w:rPr>
          <w:rFonts w:cs="Times New Roman"/>
          <w:color w:val="000000"/>
          <w:szCs w:val="24"/>
        </w:rPr>
        <w:t xml:space="preserve"> </w:t>
      </w:r>
      <w:r w:rsidRPr="00C6236A">
        <w:rPr>
          <w:rFonts w:cs="Times New Roman"/>
          <w:color w:val="000000"/>
          <w:szCs w:val="24"/>
        </w:rPr>
        <w:t>TCP/IP i protokół komunikacyjny ICCP (TASE.2)</w:t>
      </w:r>
      <w:r w:rsidR="00AE3EA3">
        <w:rPr>
          <w:rFonts w:cs="Times New Roman"/>
          <w:color w:val="000000"/>
          <w:szCs w:val="24"/>
        </w:rPr>
        <w:t>.</w:t>
      </w:r>
    </w:p>
    <w:p w14:paraId="734F27F7" w14:textId="3C7A3E06" w:rsidR="00572BA3" w:rsidRDefault="00572BA3">
      <w:pPr>
        <w:spacing w:line="323" w:lineRule="exact"/>
        <w:rPr>
          <w:rFonts w:eastAsia="Times New Roman"/>
          <w:szCs w:val="24"/>
        </w:rPr>
      </w:pPr>
    </w:p>
    <w:p w14:paraId="3EBD1CCD" w14:textId="27DB2F43" w:rsidR="00572BA3" w:rsidRPr="00731051" w:rsidRDefault="00572BA3" w:rsidP="00731051">
      <w:pPr>
        <w:pStyle w:val="Tekstpodstawowy"/>
        <w:rPr>
          <w:b/>
        </w:rPr>
      </w:pPr>
      <w:r w:rsidRPr="00731051">
        <w:rPr>
          <w:b/>
        </w:rPr>
        <w:t>II.</w:t>
      </w:r>
      <w:r w:rsidR="000F528D">
        <w:rPr>
          <w:b/>
          <w:lang w:val="pl-PL"/>
        </w:rPr>
        <w:t>3</w:t>
      </w:r>
      <w:r w:rsidRPr="00731051">
        <w:rPr>
          <w:b/>
        </w:rPr>
        <w:t>.7.</w:t>
      </w:r>
      <w:r w:rsidRPr="00731051">
        <w:rPr>
          <w:b/>
        </w:rPr>
        <w:tab/>
      </w:r>
      <w:r w:rsidR="00731051">
        <w:rPr>
          <w:b/>
          <w:lang w:val="pl-PL"/>
        </w:rPr>
        <w:t xml:space="preserve"> </w:t>
      </w:r>
      <w:r w:rsidRPr="00731051">
        <w:rPr>
          <w:b/>
        </w:rPr>
        <w:t>Wymagania techniczne dla układów pomiarowo-rozliczeniowych.</w:t>
      </w:r>
    </w:p>
    <w:p w14:paraId="7806B7DD" w14:textId="77777777" w:rsidR="00572BA3" w:rsidRPr="00F5231A" w:rsidRDefault="00572BA3">
      <w:pPr>
        <w:spacing w:line="115" w:lineRule="exact"/>
        <w:rPr>
          <w:rFonts w:eastAsia="Times New Roman"/>
          <w:szCs w:val="24"/>
        </w:rPr>
      </w:pPr>
    </w:p>
    <w:p w14:paraId="34C89FDB" w14:textId="77777777" w:rsidR="00572BA3" w:rsidRPr="00F5231A" w:rsidRDefault="00572BA3">
      <w:pPr>
        <w:tabs>
          <w:tab w:val="left" w:pos="1260"/>
        </w:tabs>
        <w:spacing w:line="0" w:lineRule="atLeast"/>
        <w:rPr>
          <w:rFonts w:eastAsia="Times New Roman"/>
          <w:b/>
          <w:szCs w:val="24"/>
        </w:rPr>
      </w:pPr>
      <w:r w:rsidRPr="00F5231A">
        <w:rPr>
          <w:rFonts w:eastAsia="Times New Roman"/>
          <w:szCs w:val="24"/>
        </w:rPr>
        <w:t>II.</w:t>
      </w:r>
      <w:r w:rsidR="000F528D">
        <w:rPr>
          <w:rFonts w:eastAsia="Times New Roman"/>
          <w:szCs w:val="24"/>
        </w:rPr>
        <w:t>3</w:t>
      </w:r>
      <w:r w:rsidRPr="00F5231A">
        <w:rPr>
          <w:rFonts w:eastAsia="Times New Roman"/>
          <w:szCs w:val="24"/>
        </w:rPr>
        <w:t>.7.1.</w:t>
      </w:r>
      <w:r w:rsidRPr="00F5231A">
        <w:rPr>
          <w:rFonts w:eastAsia="Times New Roman"/>
          <w:szCs w:val="24"/>
        </w:rPr>
        <w:tab/>
      </w:r>
      <w:r w:rsidRPr="00F5231A">
        <w:rPr>
          <w:rFonts w:eastAsia="Times New Roman"/>
          <w:b/>
          <w:szCs w:val="24"/>
        </w:rPr>
        <w:t>Wymagania ogólne</w:t>
      </w:r>
    </w:p>
    <w:p w14:paraId="0FA97718" w14:textId="77777777" w:rsidR="00572BA3" w:rsidRPr="00F5231A" w:rsidRDefault="00572BA3">
      <w:pPr>
        <w:spacing w:line="132" w:lineRule="exact"/>
        <w:rPr>
          <w:rFonts w:eastAsia="Times New Roman"/>
          <w:szCs w:val="24"/>
        </w:rPr>
      </w:pPr>
    </w:p>
    <w:p w14:paraId="763ACC78" w14:textId="30DA8138" w:rsidR="00572BA3" w:rsidRPr="00F5231A" w:rsidRDefault="00572BA3" w:rsidP="00E03203">
      <w:pPr>
        <w:tabs>
          <w:tab w:val="left" w:pos="1260"/>
        </w:tabs>
        <w:spacing w:line="237" w:lineRule="auto"/>
        <w:ind w:left="128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.7.1.1.</w:t>
      </w:r>
      <w:r w:rsidRPr="00F5231A">
        <w:rPr>
          <w:rFonts w:eastAsia="Times New Roman"/>
          <w:szCs w:val="24"/>
        </w:rPr>
        <w:tab/>
        <w:t>Wymagania techniczne dla układów pomiarowo-rozliczeniowych</w:t>
      </w:r>
      <w:r w:rsidR="00E03203">
        <w:rPr>
          <w:rFonts w:eastAsia="Times New Roman"/>
          <w:szCs w:val="24"/>
        </w:rPr>
        <w:t xml:space="preserve"> określone </w:t>
      </w:r>
      <w:r w:rsidR="00E03203">
        <w:rPr>
          <w:rFonts w:eastAsia="Times New Roman"/>
          <w:szCs w:val="24"/>
        </w:rPr>
        <w:br/>
        <w:t xml:space="preserve">w </w:t>
      </w:r>
      <w:r w:rsidRPr="00F5231A">
        <w:rPr>
          <w:rFonts w:eastAsia="Times New Roman"/>
          <w:szCs w:val="24"/>
        </w:rPr>
        <w:t xml:space="preserve">IRiESD obowiązują </w:t>
      </w:r>
      <w:r w:rsidR="00E03203">
        <w:rPr>
          <w:rFonts w:eastAsia="Times New Roman"/>
          <w:szCs w:val="24"/>
        </w:rPr>
        <w:t xml:space="preserve">dla układów pomiarowo-rozliczeniowych instalowanych </w:t>
      </w:r>
      <w:r w:rsidR="00D42AC7">
        <w:rPr>
          <w:rFonts w:eastAsia="Times New Roman"/>
          <w:szCs w:val="24"/>
        </w:rPr>
        <w:br/>
      </w:r>
      <w:r w:rsidR="00E03203">
        <w:rPr>
          <w:rFonts w:eastAsia="Times New Roman"/>
          <w:szCs w:val="24"/>
        </w:rPr>
        <w:t>i modernizowanych.</w:t>
      </w:r>
    </w:p>
    <w:p w14:paraId="48C31253" w14:textId="77777777" w:rsidR="00572BA3" w:rsidRPr="00F5231A" w:rsidRDefault="00572BA3" w:rsidP="001B18B7">
      <w:pPr>
        <w:spacing w:line="123" w:lineRule="exact"/>
        <w:jc w:val="both"/>
        <w:rPr>
          <w:rFonts w:eastAsia="Times New Roman"/>
          <w:szCs w:val="24"/>
        </w:rPr>
      </w:pPr>
    </w:p>
    <w:p w14:paraId="7EA2E85E" w14:textId="303405D8" w:rsidR="00572BA3" w:rsidRPr="00F5231A" w:rsidRDefault="00572BA3" w:rsidP="00626002">
      <w:pPr>
        <w:spacing w:line="234" w:lineRule="auto"/>
        <w:ind w:left="1280" w:right="20"/>
        <w:jc w:val="both"/>
        <w:rPr>
          <w:rFonts w:eastAsia="Times New Roman"/>
          <w:szCs w:val="24"/>
        </w:rPr>
      </w:pPr>
      <w:r w:rsidRPr="00F5231A">
        <w:rPr>
          <w:rFonts w:eastAsia="Times New Roman"/>
          <w:szCs w:val="24"/>
        </w:rPr>
        <w:t xml:space="preserve">Obowiązek dostosowania układów </w:t>
      </w:r>
      <w:r w:rsidR="00E74D38">
        <w:rPr>
          <w:rFonts w:eastAsia="Times New Roman"/>
          <w:szCs w:val="24"/>
        </w:rPr>
        <w:t>pomiarowo-rozliczeniowych</w:t>
      </w:r>
      <w:r w:rsidRPr="00F5231A">
        <w:rPr>
          <w:rFonts w:eastAsia="Times New Roman"/>
          <w:szCs w:val="24"/>
        </w:rPr>
        <w:t xml:space="preserve"> </w:t>
      </w:r>
      <w:r w:rsidR="00E74D38">
        <w:rPr>
          <w:rFonts w:eastAsia="Times New Roman"/>
          <w:szCs w:val="24"/>
        </w:rPr>
        <w:t xml:space="preserve">lub ich elementów </w:t>
      </w:r>
      <w:r w:rsidRPr="00F5231A">
        <w:rPr>
          <w:rFonts w:eastAsia="Times New Roman"/>
          <w:szCs w:val="24"/>
        </w:rPr>
        <w:t xml:space="preserve">do wymagań </w:t>
      </w:r>
      <w:r w:rsidR="00E74D38">
        <w:rPr>
          <w:rFonts w:eastAsia="Times New Roman"/>
          <w:szCs w:val="24"/>
        </w:rPr>
        <w:t xml:space="preserve">określonych odpowiednio w rozporządzeniu pomiarowym oraz </w:t>
      </w:r>
      <w:r w:rsidR="00E74D38">
        <w:rPr>
          <w:rFonts w:eastAsia="Times New Roman"/>
          <w:szCs w:val="24"/>
        </w:rPr>
        <w:br/>
        <w:t xml:space="preserve">w </w:t>
      </w:r>
      <w:r w:rsidRPr="00F5231A">
        <w:rPr>
          <w:rFonts w:eastAsia="Times New Roman"/>
          <w:szCs w:val="24"/>
        </w:rPr>
        <w:t>IRiESD</w:t>
      </w:r>
      <w:r w:rsidR="00E74D38">
        <w:rPr>
          <w:rFonts w:eastAsia="Times New Roman"/>
          <w:szCs w:val="24"/>
        </w:rPr>
        <w:t>,</w:t>
      </w:r>
      <w:r w:rsidRPr="00F5231A">
        <w:rPr>
          <w:rFonts w:eastAsia="Times New Roman"/>
          <w:szCs w:val="24"/>
        </w:rPr>
        <w:t xml:space="preserve"> spoczywa na ich właścicielu.</w:t>
      </w:r>
    </w:p>
    <w:p w14:paraId="4AB965C5" w14:textId="77777777" w:rsidR="00572BA3" w:rsidRPr="00F5231A" w:rsidRDefault="00572BA3" w:rsidP="00626002">
      <w:pPr>
        <w:spacing w:line="14" w:lineRule="exact"/>
        <w:jc w:val="both"/>
        <w:rPr>
          <w:rFonts w:eastAsia="Times New Roman"/>
          <w:szCs w:val="24"/>
        </w:rPr>
      </w:pPr>
    </w:p>
    <w:p w14:paraId="458207B7" w14:textId="2B4F7282" w:rsidR="00572BA3" w:rsidRPr="00FA49B5" w:rsidRDefault="004C1552" w:rsidP="00626002">
      <w:pPr>
        <w:spacing w:line="236" w:lineRule="auto"/>
        <w:ind w:left="1280"/>
        <w:jc w:val="both"/>
        <w:rPr>
          <w:rFonts w:eastAsia="Times New Roman"/>
          <w:color w:val="000000"/>
          <w:szCs w:val="24"/>
        </w:rPr>
      </w:pPr>
      <w:r>
        <w:rPr>
          <w:rFonts w:eastAsia="Times New Roman"/>
          <w:color w:val="000000"/>
          <w:szCs w:val="24"/>
        </w:rPr>
        <w:t>W przypadku zamiaru skorzystania z prawa wyboru sprzedawcy przez o</w:t>
      </w:r>
      <w:r w:rsidR="00572BA3" w:rsidRPr="00FA49B5">
        <w:rPr>
          <w:rFonts w:eastAsia="Times New Roman"/>
          <w:color w:val="000000"/>
          <w:szCs w:val="24"/>
        </w:rPr>
        <w:t>dbiorc</w:t>
      </w:r>
      <w:r>
        <w:rPr>
          <w:rFonts w:eastAsia="Times New Roman"/>
          <w:color w:val="000000"/>
          <w:szCs w:val="24"/>
        </w:rPr>
        <w:t>ę lub wytwórcę</w:t>
      </w:r>
      <w:r w:rsidR="00572BA3" w:rsidRPr="00FA49B5">
        <w:rPr>
          <w:rFonts w:eastAsia="Times New Roman"/>
          <w:color w:val="000000"/>
          <w:szCs w:val="24"/>
        </w:rPr>
        <w:t xml:space="preserve">, </w:t>
      </w:r>
      <w:r>
        <w:rPr>
          <w:rFonts w:eastAsia="Times New Roman"/>
          <w:color w:val="000000"/>
          <w:szCs w:val="24"/>
        </w:rPr>
        <w:t xml:space="preserve">należy dostosować </w:t>
      </w:r>
      <w:r w:rsidR="00572BA3" w:rsidRPr="00FA49B5">
        <w:rPr>
          <w:rFonts w:eastAsia="Times New Roman"/>
          <w:color w:val="000000"/>
          <w:szCs w:val="24"/>
        </w:rPr>
        <w:t>układ pomiarowo-rozliczeniow</w:t>
      </w:r>
      <w:r>
        <w:rPr>
          <w:rFonts w:eastAsia="Times New Roman"/>
          <w:color w:val="000000"/>
          <w:szCs w:val="24"/>
        </w:rPr>
        <w:t xml:space="preserve">y </w:t>
      </w:r>
      <w:r w:rsidR="00572BA3" w:rsidRPr="00FA49B5">
        <w:rPr>
          <w:rFonts w:eastAsia="Times New Roman"/>
          <w:color w:val="000000"/>
          <w:szCs w:val="24"/>
        </w:rPr>
        <w:t xml:space="preserve">do wymagań określonych w rozporządzeniu </w:t>
      </w:r>
      <w:r>
        <w:rPr>
          <w:rFonts w:eastAsia="Times New Roman"/>
          <w:color w:val="000000"/>
          <w:szCs w:val="24"/>
        </w:rPr>
        <w:t>pomiarowym oraz w</w:t>
      </w:r>
      <w:r w:rsidR="00572BA3" w:rsidRPr="00FA49B5">
        <w:rPr>
          <w:rFonts w:eastAsia="Times New Roman"/>
          <w:color w:val="000000"/>
          <w:szCs w:val="24"/>
        </w:rPr>
        <w:t xml:space="preserve"> IRiESD.</w:t>
      </w:r>
    </w:p>
    <w:p w14:paraId="286EC675" w14:textId="77777777" w:rsidR="00572BA3" w:rsidRPr="00FA49B5" w:rsidRDefault="00572BA3" w:rsidP="00714624">
      <w:pPr>
        <w:spacing w:line="12" w:lineRule="exact"/>
        <w:jc w:val="both"/>
        <w:rPr>
          <w:rFonts w:eastAsia="Times New Roman"/>
          <w:color w:val="000000"/>
          <w:szCs w:val="24"/>
        </w:rPr>
      </w:pPr>
    </w:p>
    <w:p w14:paraId="3CC03B37" w14:textId="306DB824" w:rsidR="00572BA3" w:rsidRPr="00F5231A" w:rsidRDefault="00572BA3" w:rsidP="00714624">
      <w:pPr>
        <w:spacing w:line="237" w:lineRule="auto"/>
        <w:ind w:left="1280"/>
        <w:jc w:val="both"/>
        <w:rPr>
          <w:rFonts w:eastAsia="Times New Roman"/>
          <w:szCs w:val="24"/>
        </w:rPr>
      </w:pPr>
      <w:r w:rsidRPr="00FA49B5">
        <w:rPr>
          <w:rFonts w:eastAsia="Times New Roman"/>
          <w:color w:val="000000"/>
          <w:szCs w:val="24"/>
        </w:rPr>
        <w:t>Powyższe wymagania nie dotyczą układów pomiarowo-rozliczeniowych zainstalowanych u odbiorców</w:t>
      </w:r>
      <w:r w:rsidR="00C22C6D" w:rsidRPr="00FA49B5">
        <w:rPr>
          <w:rFonts w:eastAsia="Times New Roman"/>
          <w:color w:val="000000"/>
          <w:szCs w:val="24"/>
        </w:rPr>
        <w:t>,</w:t>
      </w:r>
      <w:r w:rsidRPr="00FA49B5">
        <w:rPr>
          <w:rFonts w:eastAsia="Times New Roman"/>
          <w:color w:val="000000"/>
          <w:szCs w:val="24"/>
        </w:rPr>
        <w:t xml:space="preserve"> o których mowa w pkt. </w:t>
      </w:r>
      <w:r w:rsidR="00036200" w:rsidRPr="00FA49B5">
        <w:rPr>
          <w:rFonts w:eastAsia="Times New Roman"/>
          <w:color w:val="000000"/>
          <w:szCs w:val="24"/>
        </w:rPr>
        <w:t>F</w:t>
      </w:r>
      <w:r w:rsidRPr="00FA49B5">
        <w:rPr>
          <w:rFonts w:eastAsia="Times New Roman"/>
          <w:color w:val="000000"/>
          <w:szCs w:val="24"/>
        </w:rPr>
        <w:t>.1.</w:t>
      </w:r>
      <w:r w:rsidR="00544514">
        <w:rPr>
          <w:rFonts w:eastAsia="Times New Roman"/>
          <w:color w:val="000000"/>
          <w:szCs w:val="24"/>
        </w:rPr>
        <w:t>,</w:t>
      </w:r>
      <w:r w:rsidRPr="00FA49B5">
        <w:rPr>
          <w:rFonts w:eastAsia="Times New Roman"/>
          <w:color w:val="000000"/>
          <w:szCs w:val="24"/>
        </w:rPr>
        <w:t xml:space="preserve"> </w:t>
      </w:r>
      <w:r w:rsidR="00544514">
        <w:rPr>
          <w:rFonts w:eastAsia="Times New Roman"/>
          <w:color w:val="000000"/>
          <w:szCs w:val="24"/>
        </w:rPr>
        <w:t>d</w:t>
      </w:r>
      <w:r w:rsidRPr="00FA49B5">
        <w:rPr>
          <w:rFonts w:eastAsia="Times New Roman"/>
          <w:color w:val="000000"/>
          <w:szCs w:val="24"/>
        </w:rPr>
        <w:t xml:space="preserve">la których </w:t>
      </w:r>
      <w:r w:rsidR="008A5CAF" w:rsidRPr="00FA49B5">
        <w:rPr>
          <w:rFonts w:eastAsia="Times New Roman"/>
          <w:color w:val="000000"/>
          <w:szCs w:val="24"/>
        </w:rPr>
        <w:t>OSDn</w:t>
      </w:r>
      <w:r w:rsidRPr="00FA49B5">
        <w:rPr>
          <w:rFonts w:eastAsia="Times New Roman"/>
          <w:color w:val="000000"/>
          <w:szCs w:val="24"/>
        </w:rPr>
        <w:t xml:space="preserve"> </w:t>
      </w:r>
      <w:r w:rsidR="00544514">
        <w:rPr>
          <w:rFonts w:eastAsia="Times New Roman"/>
          <w:color w:val="000000"/>
          <w:szCs w:val="24"/>
        </w:rPr>
        <w:t>p</w:t>
      </w:r>
      <w:r w:rsidRPr="00FA49B5">
        <w:rPr>
          <w:rFonts w:eastAsia="Times New Roman"/>
          <w:color w:val="000000"/>
          <w:szCs w:val="24"/>
        </w:rPr>
        <w:t>rzydziel</w:t>
      </w:r>
      <w:r w:rsidR="00544514">
        <w:rPr>
          <w:rFonts w:eastAsia="Times New Roman"/>
          <w:color w:val="000000"/>
          <w:szCs w:val="24"/>
        </w:rPr>
        <w:t>a</w:t>
      </w:r>
      <w:r w:rsidRPr="00FA49B5">
        <w:rPr>
          <w:rFonts w:eastAsia="Times New Roman"/>
          <w:color w:val="000000"/>
          <w:szCs w:val="24"/>
        </w:rPr>
        <w:t xml:space="preserve"> standardowy profil zużycia zgodnie</w:t>
      </w:r>
      <w:r w:rsidRPr="00036200">
        <w:rPr>
          <w:rFonts w:eastAsia="Times New Roman"/>
          <w:szCs w:val="24"/>
        </w:rPr>
        <w:t xml:space="preserve"> z rozdziałem </w:t>
      </w:r>
      <w:r w:rsidR="00036200" w:rsidRPr="00036200">
        <w:rPr>
          <w:rFonts w:eastAsia="Times New Roman"/>
          <w:szCs w:val="24"/>
        </w:rPr>
        <w:t>F</w:t>
      </w:r>
      <w:r w:rsidRPr="00036200">
        <w:rPr>
          <w:rFonts w:eastAsia="Times New Roman"/>
          <w:szCs w:val="24"/>
        </w:rPr>
        <w:t>.</w:t>
      </w:r>
    </w:p>
    <w:p w14:paraId="35AC761D" w14:textId="5BD43E01" w:rsidR="00572BA3" w:rsidRPr="00F5231A" w:rsidRDefault="00572BA3">
      <w:pPr>
        <w:tabs>
          <w:tab w:val="left" w:pos="1260"/>
        </w:tabs>
        <w:spacing w:line="237" w:lineRule="auto"/>
        <w:ind w:left="1280" w:right="2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.7.1.2.</w:t>
      </w:r>
      <w:r w:rsidRPr="00F5231A">
        <w:rPr>
          <w:rFonts w:eastAsia="Times New Roman"/>
          <w:szCs w:val="24"/>
        </w:rPr>
        <w:tab/>
        <w:t xml:space="preserve">Urządzenia wchodzące w skład każdego układu pomiarowo-rozliczeniowego muszą spełniać wymagania prawa, a w szczególności posiadać legalizację lub certyfikat </w:t>
      </w:r>
      <w:r w:rsidRPr="00F5231A">
        <w:rPr>
          <w:rFonts w:eastAsia="Times New Roman"/>
          <w:szCs w:val="24"/>
        </w:rPr>
        <w:lastRenderedPageBreak/>
        <w:t xml:space="preserve">zgodności z wymaganiami zasadniczymi (MID) lub homologację, zgodnie </w:t>
      </w:r>
      <w:r w:rsidR="00FD1705">
        <w:rPr>
          <w:rFonts w:eastAsia="Times New Roman"/>
          <w:szCs w:val="24"/>
        </w:rPr>
        <w:br/>
      </w:r>
      <w:r w:rsidRPr="00F5231A">
        <w:rPr>
          <w:rFonts w:eastAsia="Times New Roman"/>
          <w:szCs w:val="24"/>
        </w:rPr>
        <w:t>z wymaganiami określonymi dla danego urządzenia.</w:t>
      </w:r>
    </w:p>
    <w:p w14:paraId="343BF4CD" w14:textId="77777777" w:rsidR="00572BA3" w:rsidRPr="00F5231A" w:rsidRDefault="00572BA3">
      <w:pPr>
        <w:spacing w:line="14" w:lineRule="exact"/>
        <w:rPr>
          <w:rFonts w:eastAsia="Times New Roman"/>
          <w:szCs w:val="24"/>
        </w:rPr>
      </w:pPr>
    </w:p>
    <w:p w14:paraId="7B2B3423" w14:textId="44D3D9FC" w:rsidR="00572BA3" w:rsidRPr="00F5231A" w:rsidRDefault="00572BA3" w:rsidP="004D0623">
      <w:pPr>
        <w:spacing w:line="250" w:lineRule="auto"/>
        <w:ind w:left="1280"/>
        <w:jc w:val="both"/>
        <w:rPr>
          <w:rFonts w:eastAsia="Times New Roman"/>
          <w:szCs w:val="24"/>
        </w:rPr>
      </w:pPr>
      <w:r w:rsidRPr="00F5231A">
        <w:rPr>
          <w:rFonts w:eastAsia="Times New Roman"/>
          <w:szCs w:val="24"/>
        </w:rPr>
        <w:t>W przypadku urządzeń, które nie podlegają prawnej kontroli metrologicznej lub dla których nie jest wymagana homologacja, urządzenie musi posiadać odpowiednie świadectwo badań (świadectwo wzorcowania), potwierdzające poprawność pomiarów zgodnie z obowiązującymi normami i przepisami</w:t>
      </w:r>
      <w:r w:rsidR="005019C6">
        <w:rPr>
          <w:rFonts w:eastAsia="Times New Roman"/>
          <w:szCs w:val="24"/>
        </w:rPr>
        <w:t xml:space="preserve">. </w:t>
      </w:r>
      <w:r w:rsidRPr="00F5231A">
        <w:rPr>
          <w:rFonts w:eastAsia="Times New Roman"/>
          <w:szCs w:val="24"/>
        </w:rPr>
        <w:t>Powyższe badania powinny być wykonane przez uprawnione laboratoria posiadające akredytację w przedmiotowym zakresie. Okres pomiędzy kolejnymi</w:t>
      </w:r>
      <w:r w:rsidR="004D0623">
        <w:rPr>
          <w:rFonts w:eastAsia="Times New Roman"/>
          <w:szCs w:val="24"/>
        </w:rPr>
        <w:t xml:space="preserve"> </w:t>
      </w:r>
      <w:r w:rsidRPr="00F5231A">
        <w:rPr>
          <w:rFonts w:eastAsia="Times New Roman"/>
          <w:szCs w:val="24"/>
        </w:rPr>
        <w:t>wzorcowaniami tych urządzeń (za wyjątkiem przekładników pomiarowych prądowych i napięciowych) nie powinien przekraczać okresu ważności cech legalizacyjnych lub zabezpieczających (MID) licznika energii czynnej zainstalowanego w tym samym układzie pomiarowo-rozliczeniowym.</w:t>
      </w:r>
    </w:p>
    <w:p w14:paraId="437C107C" w14:textId="77777777" w:rsidR="00572BA3" w:rsidRPr="00F5231A" w:rsidRDefault="00572BA3">
      <w:pPr>
        <w:spacing w:line="14" w:lineRule="exact"/>
        <w:rPr>
          <w:rFonts w:eastAsia="Times New Roman"/>
          <w:szCs w:val="24"/>
        </w:rPr>
      </w:pPr>
    </w:p>
    <w:p w14:paraId="099142F0" w14:textId="566B89D6" w:rsidR="00572BA3" w:rsidRPr="00F5231A" w:rsidRDefault="00572BA3">
      <w:pPr>
        <w:spacing w:line="236" w:lineRule="auto"/>
        <w:ind w:left="1280" w:right="20"/>
        <w:jc w:val="both"/>
        <w:rPr>
          <w:rFonts w:eastAsia="Times New Roman"/>
          <w:szCs w:val="24"/>
        </w:rPr>
      </w:pPr>
      <w:r w:rsidRPr="00F5231A">
        <w:rPr>
          <w:rFonts w:eastAsia="Times New Roman"/>
          <w:szCs w:val="24"/>
        </w:rPr>
        <w:t xml:space="preserve">Okres </w:t>
      </w:r>
      <w:r w:rsidR="00156552">
        <w:rPr>
          <w:rFonts w:eastAsia="Times New Roman"/>
          <w:szCs w:val="24"/>
        </w:rPr>
        <w:t xml:space="preserve">między kolejnymi </w:t>
      </w:r>
      <w:r w:rsidRPr="00F5231A">
        <w:rPr>
          <w:rFonts w:eastAsia="Times New Roman"/>
          <w:szCs w:val="24"/>
        </w:rPr>
        <w:t>wzorcowania liczników</w:t>
      </w:r>
      <w:r w:rsidR="00156552">
        <w:rPr>
          <w:rFonts w:eastAsia="Times New Roman"/>
          <w:szCs w:val="24"/>
        </w:rPr>
        <w:t>, które nie podlegają prawnej kontroli metrologicznej, jest równy okresowi ważności legalizacji liczników klasy C, które podlegają tej kontroli, zgodnie z przepisami odrębnymi</w:t>
      </w:r>
      <w:r w:rsidRPr="00F5231A">
        <w:rPr>
          <w:rFonts w:eastAsia="Times New Roman"/>
          <w:szCs w:val="24"/>
        </w:rPr>
        <w:t>.</w:t>
      </w:r>
    </w:p>
    <w:p w14:paraId="24C19528" w14:textId="77777777" w:rsidR="00572BA3" w:rsidRPr="00F5231A" w:rsidRDefault="00572BA3">
      <w:pPr>
        <w:spacing w:line="14" w:lineRule="exact"/>
        <w:rPr>
          <w:rFonts w:eastAsia="Times New Roman"/>
          <w:szCs w:val="24"/>
        </w:rPr>
      </w:pPr>
    </w:p>
    <w:p w14:paraId="3183DA34" w14:textId="77777777" w:rsidR="00572BA3" w:rsidRPr="00F5231A" w:rsidRDefault="00572BA3">
      <w:pPr>
        <w:spacing w:line="239" w:lineRule="auto"/>
        <w:ind w:left="1280"/>
        <w:jc w:val="both"/>
        <w:rPr>
          <w:rFonts w:eastAsia="Times New Roman"/>
          <w:szCs w:val="24"/>
        </w:rPr>
      </w:pPr>
      <w:r w:rsidRPr="00F5231A">
        <w:rPr>
          <w:rFonts w:eastAsia="Times New Roman"/>
          <w:szCs w:val="24"/>
        </w:rPr>
        <w:t xml:space="preserve">Przekładniki prądowe i napięciowe podlegają sprawdzeniu przed zainstalowaniem. Dla urządzeń wcześniej użytkowanych, właściciel przekładników dostarcza protokół ze sprawdzenia potwierdzający poprawność i zgodność danych znamionowych oraz oznaczeń przekładnika ze stanem faktycznym, który wraz </w:t>
      </w:r>
      <w:r w:rsidR="00876A7B">
        <w:rPr>
          <w:rFonts w:eastAsia="Times New Roman"/>
          <w:szCs w:val="24"/>
        </w:rPr>
        <w:br/>
      </w:r>
      <w:r w:rsidRPr="00F5231A">
        <w:rPr>
          <w:rFonts w:eastAsia="Times New Roman"/>
          <w:szCs w:val="24"/>
        </w:rPr>
        <w:t xml:space="preserve">z wcześniej wystawionym świadectwem legalizacji, protokołem lub świadectwem badań kontrolnych przekazuje do </w:t>
      </w:r>
      <w:r w:rsidR="001B18B7" w:rsidRPr="00F5231A">
        <w:rPr>
          <w:rFonts w:eastAsia="Times New Roman"/>
          <w:szCs w:val="24"/>
        </w:rPr>
        <w:t>OSDn</w:t>
      </w:r>
      <w:r w:rsidRPr="00F5231A">
        <w:rPr>
          <w:rFonts w:eastAsia="Times New Roman"/>
          <w:szCs w:val="24"/>
        </w:rPr>
        <w:t>. W przypadku braku wcześniej wystawionych świadectw lub protokołów, wymagane jest ich uzyskanie poprzez przeprowadzenie badań w uprawnionym laboratorium posiadającym akredytację</w:t>
      </w:r>
      <w:r w:rsidR="000263AD">
        <w:rPr>
          <w:rFonts w:eastAsia="Times New Roman"/>
          <w:szCs w:val="24"/>
        </w:rPr>
        <w:t xml:space="preserve"> </w:t>
      </w:r>
      <w:r w:rsidR="00876A7B">
        <w:rPr>
          <w:rFonts w:eastAsia="Times New Roman"/>
          <w:szCs w:val="24"/>
        </w:rPr>
        <w:br/>
      </w:r>
      <w:r w:rsidRPr="00F5231A">
        <w:rPr>
          <w:rFonts w:eastAsia="Times New Roman"/>
          <w:szCs w:val="24"/>
        </w:rPr>
        <w:t>w przedmiotowym zakresie, zgodnie z obowiązującymi normami i przepisami.</w:t>
      </w:r>
    </w:p>
    <w:p w14:paraId="2A56B8FC" w14:textId="77777777" w:rsidR="00572BA3" w:rsidRPr="00F5231A" w:rsidRDefault="00572BA3">
      <w:pPr>
        <w:spacing w:line="12" w:lineRule="exact"/>
        <w:rPr>
          <w:rFonts w:eastAsia="Times New Roman"/>
          <w:szCs w:val="24"/>
        </w:rPr>
      </w:pPr>
    </w:p>
    <w:p w14:paraId="5C0368F2" w14:textId="77777777" w:rsidR="00572BA3" w:rsidRPr="00F5231A" w:rsidRDefault="00572BA3">
      <w:pPr>
        <w:spacing w:line="234" w:lineRule="auto"/>
        <w:ind w:left="1280"/>
        <w:jc w:val="both"/>
        <w:rPr>
          <w:rFonts w:eastAsia="Times New Roman"/>
          <w:szCs w:val="24"/>
        </w:rPr>
      </w:pPr>
      <w:r w:rsidRPr="00F5231A">
        <w:rPr>
          <w:rFonts w:eastAsia="Times New Roman"/>
          <w:szCs w:val="24"/>
        </w:rPr>
        <w:t>Urządzenia podlegające wzorcowaniu powinny posiadać cechę zabezpieczającą potwierdzającą dokonanie wzorcowania przez uprawnione laboratorium.</w:t>
      </w:r>
    </w:p>
    <w:p w14:paraId="09DDFE1C" w14:textId="255BCAB5" w:rsidR="00572BA3" w:rsidRDefault="00572BA3" w:rsidP="001B18B7">
      <w:pPr>
        <w:tabs>
          <w:tab w:val="left" w:pos="1260"/>
        </w:tabs>
        <w:spacing w:line="234" w:lineRule="auto"/>
        <w:ind w:left="128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.7.1.3.</w:t>
      </w:r>
      <w:r w:rsidRPr="00F5231A">
        <w:rPr>
          <w:rFonts w:eastAsia="Times New Roman"/>
          <w:szCs w:val="24"/>
        </w:rPr>
        <w:tab/>
      </w:r>
      <w:r w:rsidR="00FD1DCA">
        <w:rPr>
          <w:rFonts w:eastAsia="Times New Roman"/>
          <w:szCs w:val="24"/>
        </w:rPr>
        <w:t>Półpośrednie u</w:t>
      </w:r>
      <w:r w:rsidRPr="00F5231A">
        <w:rPr>
          <w:rFonts w:eastAsia="Times New Roman"/>
          <w:szCs w:val="24"/>
        </w:rPr>
        <w:t>kłady pomiarowe półpośrednie i pośrednie</w:t>
      </w:r>
      <w:r w:rsidR="00FD1DCA">
        <w:rPr>
          <w:rFonts w:eastAsia="Times New Roman"/>
          <w:szCs w:val="24"/>
        </w:rPr>
        <w:t xml:space="preserve"> układy pomiarowe</w:t>
      </w:r>
      <w:r w:rsidRPr="00F5231A">
        <w:rPr>
          <w:rFonts w:eastAsia="Times New Roman"/>
          <w:szCs w:val="24"/>
        </w:rPr>
        <w:t xml:space="preserve"> muszą być wyposażone w przekładniki pomiarowe w każdej z trzech faz oraz w liczniki trójsystemowe.</w:t>
      </w:r>
      <w:r w:rsidR="00895DB2">
        <w:rPr>
          <w:rFonts w:eastAsia="Times New Roman"/>
          <w:szCs w:val="24"/>
        </w:rPr>
        <w:t xml:space="preserve"> </w:t>
      </w:r>
      <w:r w:rsidR="00AB1EA1">
        <w:rPr>
          <w:rFonts w:eastAsia="Times New Roman"/>
          <w:szCs w:val="24"/>
        </w:rPr>
        <w:br/>
      </w:r>
      <w:r w:rsidR="00895DB2">
        <w:rPr>
          <w:rFonts w:eastAsia="Times New Roman"/>
          <w:szCs w:val="24"/>
        </w:rPr>
        <w:t xml:space="preserve">Zgodnie z </w:t>
      </w:r>
      <w:r w:rsidR="00895DB2">
        <w:rPr>
          <w:rFonts w:eastAsia="Times New Roman" w:cs="Times New Roman"/>
          <w:szCs w:val="24"/>
        </w:rPr>
        <w:t>§</w:t>
      </w:r>
      <w:r w:rsidR="00895DB2">
        <w:rPr>
          <w:rFonts w:eastAsia="Times New Roman"/>
          <w:szCs w:val="24"/>
        </w:rPr>
        <w:t xml:space="preserve"> 21 ust. 1 Rozporządzenia Ministra Klimatu</w:t>
      </w:r>
      <w:r w:rsidR="00E17FEE">
        <w:rPr>
          <w:rFonts w:eastAsia="Times New Roman"/>
          <w:szCs w:val="24"/>
        </w:rPr>
        <w:t xml:space="preserve"> </w:t>
      </w:r>
      <w:r w:rsidR="00895DB2">
        <w:rPr>
          <w:rFonts w:eastAsia="Times New Roman"/>
          <w:szCs w:val="24"/>
        </w:rPr>
        <w:t>i Środowiska</w:t>
      </w:r>
      <w:r w:rsidR="006A0305">
        <w:rPr>
          <w:rFonts w:eastAsia="Times New Roman"/>
          <w:szCs w:val="24"/>
        </w:rPr>
        <w:t xml:space="preserve"> (RMKiŚ)</w:t>
      </w:r>
      <w:r w:rsidR="00895DB2">
        <w:rPr>
          <w:rFonts w:eastAsia="Times New Roman"/>
          <w:szCs w:val="24"/>
        </w:rPr>
        <w:t xml:space="preserve"> </w:t>
      </w:r>
      <w:r w:rsidR="00E17FEE">
        <w:rPr>
          <w:rFonts w:eastAsia="Times New Roman"/>
          <w:szCs w:val="24"/>
        </w:rPr>
        <w:br/>
      </w:r>
      <w:r w:rsidR="00895DB2">
        <w:rPr>
          <w:rFonts w:eastAsia="Times New Roman"/>
          <w:szCs w:val="24"/>
        </w:rPr>
        <w:t>z dnia 22 marca 2022 r. w sprawie systemu pomiarowego (Dz. U. z 2022 r. poz. 788)</w:t>
      </w:r>
      <w:r w:rsidR="006A0305">
        <w:rPr>
          <w:rFonts w:eastAsia="Times New Roman"/>
          <w:szCs w:val="24"/>
        </w:rPr>
        <w:t xml:space="preserve"> układy pomiarowo-rozliczeniowe:</w:t>
      </w:r>
    </w:p>
    <w:p w14:paraId="380E472B" w14:textId="47A3FB10" w:rsidR="006A0305" w:rsidRDefault="006A0305" w:rsidP="006A0305">
      <w:pPr>
        <w:pStyle w:val="Akapitzlist"/>
        <w:numPr>
          <w:ilvl w:val="3"/>
          <w:numId w:val="55"/>
        </w:numPr>
        <w:tabs>
          <w:tab w:val="left" w:pos="1260"/>
        </w:tabs>
        <w:spacing w:line="234" w:lineRule="auto"/>
        <w:ind w:left="1560" w:hanging="284"/>
        <w:jc w:val="both"/>
        <w:rPr>
          <w:rFonts w:eastAsia="Times New Roman"/>
          <w:szCs w:val="24"/>
        </w:rPr>
      </w:pPr>
      <w:r>
        <w:rPr>
          <w:rFonts w:eastAsia="Times New Roman"/>
          <w:szCs w:val="24"/>
        </w:rPr>
        <w:t>zainstalowane lub zmodernizowane w okresie od dnia 4 lipca 2019 r. do dnia wejścia w życie RMKiŚ oraz</w:t>
      </w:r>
    </w:p>
    <w:p w14:paraId="45C2E93D" w14:textId="74A9FD49" w:rsidR="006A0305" w:rsidRDefault="006A0305" w:rsidP="006A0305">
      <w:pPr>
        <w:pStyle w:val="Akapitzlist"/>
        <w:numPr>
          <w:ilvl w:val="3"/>
          <w:numId w:val="55"/>
        </w:numPr>
        <w:tabs>
          <w:tab w:val="left" w:pos="1260"/>
        </w:tabs>
        <w:spacing w:line="234" w:lineRule="auto"/>
        <w:ind w:left="1560" w:hanging="284"/>
        <w:jc w:val="both"/>
        <w:rPr>
          <w:rFonts w:eastAsia="Times New Roman"/>
          <w:szCs w:val="24"/>
        </w:rPr>
      </w:pPr>
      <w:r>
        <w:rPr>
          <w:rFonts w:eastAsia="Times New Roman"/>
          <w:szCs w:val="24"/>
        </w:rPr>
        <w:t>instalowane po dniu wejścia w życie RMKiŚ, które zostały zakupione lub były objęte postępowaniem przetargowym wszczętym przed tym dniem</w:t>
      </w:r>
    </w:p>
    <w:p w14:paraId="5C316629" w14:textId="488A83EE" w:rsidR="006A0305" w:rsidRPr="006A0305" w:rsidRDefault="006A0305" w:rsidP="006A0305">
      <w:pPr>
        <w:tabs>
          <w:tab w:val="left" w:pos="1260"/>
        </w:tabs>
        <w:spacing w:line="234" w:lineRule="auto"/>
        <w:ind w:left="1276"/>
        <w:jc w:val="both"/>
        <w:rPr>
          <w:rFonts w:eastAsia="Times New Roman"/>
          <w:szCs w:val="24"/>
        </w:rPr>
      </w:pPr>
      <w:r>
        <w:rPr>
          <w:rFonts w:eastAsia="Times New Roman"/>
          <w:szCs w:val="24"/>
        </w:rPr>
        <w:t>- dostosowuje się do wymagań określonych w RMKiŚ w terminie do dnia 4 lipca 2031 r.</w:t>
      </w:r>
    </w:p>
    <w:p w14:paraId="246A24C2" w14:textId="2A4D9C70" w:rsidR="00572BA3" w:rsidRDefault="00572BA3" w:rsidP="001B18B7">
      <w:pPr>
        <w:tabs>
          <w:tab w:val="left" w:pos="1260"/>
        </w:tabs>
        <w:spacing w:line="0" w:lineRule="atLeast"/>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.7.1.4.</w:t>
      </w:r>
      <w:r w:rsidRPr="00F5231A">
        <w:rPr>
          <w:rFonts w:eastAsia="Times New Roman"/>
          <w:szCs w:val="24"/>
        </w:rPr>
        <w:tab/>
        <w:t>Układy pomiarow</w:t>
      </w:r>
      <w:r w:rsidR="00BE3877">
        <w:rPr>
          <w:rFonts w:eastAsia="Times New Roman"/>
          <w:szCs w:val="24"/>
        </w:rPr>
        <w:t xml:space="preserve">o-rozliczeniowe </w:t>
      </w:r>
      <w:r w:rsidRPr="00F5231A">
        <w:rPr>
          <w:rFonts w:eastAsia="Times New Roman"/>
          <w:szCs w:val="24"/>
        </w:rPr>
        <w:t>muszą być zainstalowane:</w:t>
      </w:r>
    </w:p>
    <w:p w14:paraId="5887C42A" w14:textId="77777777" w:rsidR="00E94ED4" w:rsidRPr="00203F38" w:rsidRDefault="00E94ED4">
      <w:pPr>
        <w:pStyle w:val="Akapitzlist"/>
        <w:widowControl w:val="0"/>
        <w:numPr>
          <w:ilvl w:val="0"/>
          <w:numId w:val="341"/>
        </w:numPr>
        <w:autoSpaceDE w:val="0"/>
        <w:autoSpaceDN w:val="0"/>
        <w:spacing w:before="11" w:line="249" w:lineRule="auto"/>
        <w:ind w:left="1560" w:right="60" w:hanging="284"/>
        <w:jc w:val="both"/>
        <w:rPr>
          <w:color w:val="000000" w:themeColor="text1"/>
          <w:szCs w:val="24"/>
        </w:rPr>
      </w:pPr>
      <w:r w:rsidRPr="00203F38">
        <w:rPr>
          <w:color w:val="000000" w:themeColor="text1"/>
          <w:w w:val="105"/>
          <w:szCs w:val="24"/>
        </w:rPr>
        <w:t>wykorzystywane do rozliczeń za energię elektryczną, za usługi dystrybucji energii elektrycznej lub za usługi systemowe instaluje</w:t>
      </w:r>
      <w:r w:rsidRPr="00203F38">
        <w:rPr>
          <w:color w:val="000000" w:themeColor="text1"/>
          <w:spacing w:val="6"/>
          <w:w w:val="105"/>
          <w:szCs w:val="24"/>
        </w:rPr>
        <w:t xml:space="preserve"> </w:t>
      </w:r>
      <w:r w:rsidRPr="00203F38">
        <w:rPr>
          <w:color w:val="000000" w:themeColor="text1"/>
          <w:w w:val="105"/>
          <w:szCs w:val="24"/>
        </w:rPr>
        <w:t>się:</w:t>
      </w:r>
    </w:p>
    <w:p w14:paraId="6113AB7B" w14:textId="077A0EE3" w:rsidR="00E94ED4" w:rsidRPr="00203F38" w:rsidRDefault="00E94ED4">
      <w:pPr>
        <w:pStyle w:val="Akapitzlist"/>
        <w:widowControl w:val="0"/>
        <w:numPr>
          <w:ilvl w:val="1"/>
          <w:numId w:val="341"/>
        </w:numPr>
        <w:autoSpaceDE w:val="0"/>
        <w:autoSpaceDN w:val="0"/>
        <w:spacing w:line="254" w:lineRule="auto"/>
        <w:ind w:left="1701" w:right="60" w:hanging="283"/>
        <w:jc w:val="both"/>
        <w:rPr>
          <w:color w:val="000000" w:themeColor="text1"/>
          <w:szCs w:val="24"/>
        </w:rPr>
      </w:pPr>
      <w:r w:rsidRPr="00203F38">
        <w:rPr>
          <w:color w:val="000000" w:themeColor="text1"/>
          <w:szCs w:val="24"/>
        </w:rPr>
        <w:t>na zaciskach generatorów jednostek wytwórczych świadczących</w:t>
      </w:r>
      <w:r w:rsidR="000C3190">
        <w:rPr>
          <w:color w:val="000000" w:themeColor="text1"/>
          <w:szCs w:val="24"/>
        </w:rPr>
        <w:t xml:space="preserve"> </w:t>
      </w:r>
      <w:r w:rsidRPr="00203F38">
        <w:rPr>
          <w:color w:val="000000" w:themeColor="text1"/>
          <w:szCs w:val="24"/>
        </w:rPr>
        <w:t>usługi systemowe,</w:t>
      </w:r>
    </w:p>
    <w:p w14:paraId="4AA6699F" w14:textId="77777777" w:rsidR="00E94ED4" w:rsidRPr="00203F38" w:rsidRDefault="00E94ED4">
      <w:pPr>
        <w:pStyle w:val="Akapitzlist"/>
        <w:widowControl w:val="0"/>
        <w:numPr>
          <w:ilvl w:val="1"/>
          <w:numId w:val="341"/>
        </w:numPr>
        <w:autoSpaceDE w:val="0"/>
        <w:autoSpaceDN w:val="0"/>
        <w:spacing w:line="252" w:lineRule="auto"/>
        <w:ind w:left="1701" w:right="60" w:hanging="283"/>
        <w:jc w:val="both"/>
        <w:rPr>
          <w:color w:val="000000" w:themeColor="text1"/>
          <w:szCs w:val="24"/>
        </w:rPr>
      </w:pPr>
      <w:r w:rsidRPr="00203F38">
        <w:rPr>
          <w:color w:val="000000" w:themeColor="text1"/>
          <w:w w:val="105"/>
          <w:szCs w:val="24"/>
        </w:rPr>
        <w:t>w miejscach przyłączenia magazynów energii elektrycznej do sieci</w:t>
      </w:r>
      <w:r w:rsidRPr="00203F38">
        <w:rPr>
          <w:color w:val="000000" w:themeColor="text1"/>
          <w:spacing w:val="-39"/>
          <w:w w:val="105"/>
          <w:szCs w:val="24"/>
        </w:rPr>
        <w:t xml:space="preserve"> </w:t>
      </w:r>
      <w:r w:rsidRPr="00203F38">
        <w:rPr>
          <w:color w:val="000000" w:themeColor="text1"/>
          <w:w w:val="105"/>
          <w:szCs w:val="24"/>
        </w:rPr>
        <w:t>dystrybucyjnej oraz na zaciskach wejściowych lub wyjściowych magazynów energii elektrycznej o łącznej mocy zainstalowanej większej niż 50</w:t>
      </w:r>
      <w:r w:rsidRPr="00203F38">
        <w:rPr>
          <w:color w:val="000000" w:themeColor="text1"/>
          <w:spacing w:val="37"/>
          <w:w w:val="105"/>
          <w:szCs w:val="24"/>
        </w:rPr>
        <w:t xml:space="preserve"> </w:t>
      </w:r>
      <w:r w:rsidRPr="00203F38">
        <w:rPr>
          <w:color w:val="000000" w:themeColor="text1"/>
          <w:w w:val="105"/>
          <w:szCs w:val="24"/>
        </w:rPr>
        <w:t>kW,</w:t>
      </w:r>
    </w:p>
    <w:p w14:paraId="6D2ECDBA" w14:textId="7099C1BA" w:rsidR="00E94ED4" w:rsidRPr="00203F38" w:rsidRDefault="00E94ED4">
      <w:pPr>
        <w:pStyle w:val="Akapitzlist"/>
        <w:widowControl w:val="0"/>
        <w:numPr>
          <w:ilvl w:val="1"/>
          <w:numId w:val="341"/>
        </w:numPr>
        <w:tabs>
          <w:tab w:val="left" w:pos="1315"/>
        </w:tabs>
        <w:autoSpaceDE w:val="0"/>
        <w:autoSpaceDN w:val="0"/>
        <w:spacing w:line="254" w:lineRule="auto"/>
        <w:ind w:left="1701" w:right="60" w:hanging="283"/>
        <w:jc w:val="both"/>
        <w:rPr>
          <w:color w:val="000000" w:themeColor="text1"/>
          <w:szCs w:val="24"/>
        </w:rPr>
      </w:pPr>
      <w:r w:rsidRPr="00203F38">
        <w:rPr>
          <w:color w:val="000000" w:themeColor="text1"/>
          <w:szCs w:val="24"/>
        </w:rPr>
        <w:t xml:space="preserve">po stronie napięcia sieci, na której dany podmiot jest przyłączony - </w:t>
      </w:r>
      <w:r w:rsidR="000C3190">
        <w:rPr>
          <w:color w:val="000000" w:themeColor="text1"/>
          <w:szCs w:val="24"/>
        </w:rPr>
        <w:br/>
      </w:r>
      <w:r w:rsidRPr="00203F38">
        <w:rPr>
          <w:color w:val="000000" w:themeColor="text1"/>
          <w:szCs w:val="24"/>
        </w:rPr>
        <w:t>w przypadku podmiotów przyłączonych do sieci SN i</w:t>
      </w:r>
      <w:r w:rsidRPr="00203F38">
        <w:rPr>
          <w:color w:val="000000" w:themeColor="text1"/>
          <w:spacing w:val="8"/>
          <w:szCs w:val="24"/>
        </w:rPr>
        <w:t xml:space="preserve"> </w:t>
      </w:r>
      <w:r w:rsidRPr="00203F38">
        <w:rPr>
          <w:color w:val="000000" w:themeColor="text1"/>
          <w:szCs w:val="24"/>
        </w:rPr>
        <w:t>nN,</w:t>
      </w:r>
    </w:p>
    <w:p w14:paraId="37975806" w14:textId="77777777" w:rsidR="00E94ED4" w:rsidRPr="00203F38" w:rsidRDefault="00E94ED4">
      <w:pPr>
        <w:pStyle w:val="Akapitzlist"/>
        <w:widowControl w:val="0"/>
        <w:numPr>
          <w:ilvl w:val="1"/>
          <w:numId w:val="341"/>
        </w:numPr>
        <w:tabs>
          <w:tab w:val="left" w:pos="1318"/>
        </w:tabs>
        <w:autoSpaceDE w:val="0"/>
        <w:autoSpaceDN w:val="0"/>
        <w:spacing w:line="250" w:lineRule="exact"/>
        <w:ind w:left="1701" w:right="60" w:hanging="283"/>
        <w:jc w:val="both"/>
        <w:rPr>
          <w:color w:val="000000" w:themeColor="text1"/>
          <w:szCs w:val="24"/>
        </w:rPr>
      </w:pPr>
      <w:r w:rsidRPr="00203F38">
        <w:rPr>
          <w:color w:val="000000" w:themeColor="text1"/>
          <w:w w:val="105"/>
          <w:szCs w:val="24"/>
        </w:rPr>
        <w:lastRenderedPageBreak/>
        <w:t>w miejscu przyłączenia ogólnodostępnej stacji ładowania do sieci</w:t>
      </w:r>
      <w:r w:rsidRPr="00203F38">
        <w:rPr>
          <w:color w:val="000000" w:themeColor="text1"/>
          <w:spacing w:val="29"/>
          <w:w w:val="105"/>
          <w:szCs w:val="24"/>
        </w:rPr>
        <w:t xml:space="preserve"> </w:t>
      </w:r>
      <w:r w:rsidRPr="00203F38">
        <w:rPr>
          <w:color w:val="000000" w:themeColor="text1"/>
          <w:w w:val="105"/>
          <w:szCs w:val="24"/>
        </w:rPr>
        <w:t>dystrybucyjnej,</w:t>
      </w:r>
    </w:p>
    <w:p w14:paraId="4418B6F8" w14:textId="2B32CF0D" w:rsidR="00E94ED4" w:rsidRPr="00203F38" w:rsidRDefault="00E94ED4">
      <w:pPr>
        <w:pStyle w:val="Akapitzlist"/>
        <w:widowControl w:val="0"/>
        <w:numPr>
          <w:ilvl w:val="1"/>
          <w:numId w:val="341"/>
        </w:numPr>
        <w:tabs>
          <w:tab w:val="left" w:pos="1318"/>
        </w:tabs>
        <w:autoSpaceDE w:val="0"/>
        <w:autoSpaceDN w:val="0"/>
        <w:spacing w:before="1" w:line="252" w:lineRule="auto"/>
        <w:ind w:left="1701" w:right="60" w:hanging="283"/>
        <w:jc w:val="both"/>
        <w:rPr>
          <w:color w:val="000000" w:themeColor="text1"/>
          <w:szCs w:val="24"/>
        </w:rPr>
      </w:pPr>
      <w:r w:rsidRPr="00203F38">
        <w:rPr>
          <w:color w:val="000000" w:themeColor="text1"/>
          <w:w w:val="105"/>
          <w:szCs w:val="24"/>
        </w:rPr>
        <w:t>w</w:t>
      </w:r>
      <w:r w:rsidRPr="00203F38">
        <w:rPr>
          <w:color w:val="000000" w:themeColor="text1"/>
          <w:spacing w:val="-22"/>
          <w:w w:val="105"/>
          <w:szCs w:val="24"/>
        </w:rPr>
        <w:t xml:space="preserve"> </w:t>
      </w:r>
      <w:r w:rsidRPr="00203F38">
        <w:rPr>
          <w:color w:val="000000" w:themeColor="text1"/>
          <w:w w:val="105"/>
          <w:szCs w:val="24"/>
        </w:rPr>
        <w:t>miejscu</w:t>
      </w:r>
      <w:r w:rsidRPr="00203F38">
        <w:rPr>
          <w:color w:val="000000" w:themeColor="text1"/>
          <w:spacing w:val="-12"/>
          <w:w w:val="105"/>
          <w:szCs w:val="24"/>
        </w:rPr>
        <w:t xml:space="preserve"> </w:t>
      </w:r>
      <w:r w:rsidRPr="00203F38">
        <w:rPr>
          <w:color w:val="000000" w:themeColor="text1"/>
          <w:w w:val="105"/>
          <w:szCs w:val="24"/>
        </w:rPr>
        <w:t>przyłączenia punktu</w:t>
      </w:r>
      <w:r w:rsidRPr="00203F38">
        <w:rPr>
          <w:color w:val="000000" w:themeColor="text1"/>
          <w:spacing w:val="-13"/>
          <w:w w:val="105"/>
          <w:szCs w:val="24"/>
        </w:rPr>
        <w:t xml:space="preserve"> </w:t>
      </w:r>
      <w:r w:rsidRPr="00203F38">
        <w:rPr>
          <w:color w:val="000000" w:themeColor="text1"/>
          <w:w w:val="105"/>
          <w:szCs w:val="24"/>
        </w:rPr>
        <w:t>ładowania</w:t>
      </w:r>
      <w:r w:rsidRPr="00203F38">
        <w:rPr>
          <w:color w:val="000000" w:themeColor="text1"/>
          <w:spacing w:val="-11"/>
          <w:w w:val="105"/>
          <w:szCs w:val="24"/>
        </w:rPr>
        <w:t xml:space="preserve"> </w:t>
      </w:r>
      <w:r w:rsidRPr="00203F38">
        <w:rPr>
          <w:color w:val="000000" w:themeColor="text1"/>
          <w:w w:val="105"/>
          <w:szCs w:val="24"/>
        </w:rPr>
        <w:t>należącego</w:t>
      </w:r>
      <w:r w:rsidRPr="00203F38">
        <w:rPr>
          <w:color w:val="000000" w:themeColor="text1"/>
          <w:spacing w:val="-9"/>
          <w:w w:val="105"/>
          <w:szCs w:val="24"/>
        </w:rPr>
        <w:t xml:space="preserve"> </w:t>
      </w:r>
      <w:r w:rsidRPr="00203F38">
        <w:rPr>
          <w:color w:val="000000" w:themeColor="text1"/>
          <w:w w:val="105"/>
          <w:szCs w:val="24"/>
        </w:rPr>
        <w:t>do</w:t>
      </w:r>
      <w:r w:rsidRPr="00203F38">
        <w:rPr>
          <w:color w:val="000000" w:themeColor="text1"/>
          <w:spacing w:val="-23"/>
          <w:w w:val="105"/>
          <w:szCs w:val="24"/>
        </w:rPr>
        <w:t xml:space="preserve"> </w:t>
      </w:r>
      <w:r w:rsidRPr="00203F38">
        <w:rPr>
          <w:color w:val="000000" w:themeColor="text1"/>
          <w:w w:val="105"/>
          <w:szCs w:val="24"/>
        </w:rPr>
        <w:t>odbiorcy</w:t>
      </w:r>
      <w:r w:rsidRPr="00203F38">
        <w:rPr>
          <w:color w:val="000000" w:themeColor="text1"/>
          <w:spacing w:val="-16"/>
          <w:w w:val="105"/>
          <w:szCs w:val="24"/>
        </w:rPr>
        <w:t xml:space="preserve"> </w:t>
      </w:r>
      <w:r w:rsidRPr="00203F38">
        <w:rPr>
          <w:color w:val="000000" w:themeColor="text1"/>
          <w:w w:val="105"/>
          <w:szCs w:val="24"/>
        </w:rPr>
        <w:t>końcowego</w:t>
      </w:r>
      <w:r w:rsidRPr="00203F38">
        <w:rPr>
          <w:color w:val="000000" w:themeColor="text1"/>
          <w:spacing w:val="-8"/>
          <w:w w:val="105"/>
          <w:szCs w:val="24"/>
        </w:rPr>
        <w:t xml:space="preserve"> </w:t>
      </w:r>
      <w:r w:rsidRPr="00203F38">
        <w:rPr>
          <w:color w:val="000000" w:themeColor="text1"/>
          <w:w w:val="105"/>
          <w:szCs w:val="24"/>
        </w:rPr>
        <w:t>oraz w budynku mieszkalnym wielorodzinnym - w przypadku</w:t>
      </w:r>
      <w:r w:rsidR="002F755C">
        <w:rPr>
          <w:color w:val="000000" w:themeColor="text1"/>
          <w:w w:val="105"/>
          <w:szCs w:val="24"/>
        </w:rPr>
        <w:t>,</w:t>
      </w:r>
      <w:r w:rsidRPr="00203F38">
        <w:rPr>
          <w:color w:val="000000" w:themeColor="text1"/>
          <w:w w:val="105"/>
          <w:szCs w:val="24"/>
        </w:rPr>
        <w:t xml:space="preserve"> gdy odbiorca końcowy posiada tytuł prawny do lokalu w tym budynku </w:t>
      </w:r>
      <w:r w:rsidR="004B4F05">
        <w:rPr>
          <w:color w:val="000000" w:themeColor="text1"/>
          <w:w w:val="105"/>
          <w:szCs w:val="24"/>
        </w:rPr>
        <w:br/>
      </w:r>
      <w:r w:rsidRPr="00203F38">
        <w:rPr>
          <w:color w:val="000000" w:themeColor="text1"/>
          <w:w w:val="105"/>
          <w:szCs w:val="24"/>
        </w:rPr>
        <w:t>i stanowisko postojowe do wyłącznego</w:t>
      </w:r>
      <w:r w:rsidRPr="00203F38">
        <w:rPr>
          <w:color w:val="000000" w:themeColor="text1"/>
          <w:spacing w:val="1"/>
          <w:w w:val="105"/>
          <w:szCs w:val="24"/>
        </w:rPr>
        <w:t xml:space="preserve"> </w:t>
      </w:r>
      <w:r w:rsidRPr="00203F38">
        <w:rPr>
          <w:color w:val="000000" w:themeColor="text1"/>
          <w:w w:val="105"/>
          <w:szCs w:val="24"/>
        </w:rPr>
        <w:t>użytku</w:t>
      </w:r>
      <w:r w:rsidRPr="00203F38">
        <w:rPr>
          <w:color w:val="000000" w:themeColor="text1"/>
          <w:spacing w:val="-6"/>
          <w:w w:val="105"/>
          <w:szCs w:val="24"/>
        </w:rPr>
        <w:t xml:space="preserve"> </w:t>
      </w:r>
      <w:r w:rsidRPr="00203F38">
        <w:rPr>
          <w:color w:val="000000" w:themeColor="text1"/>
          <w:w w:val="105"/>
          <w:szCs w:val="24"/>
        </w:rPr>
        <w:t>oraz</w:t>
      </w:r>
      <w:r w:rsidRPr="00203F38">
        <w:rPr>
          <w:color w:val="000000" w:themeColor="text1"/>
          <w:spacing w:val="-14"/>
          <w:w w:val="105"/>
          <w:szCs w:val="24"/>
        </w:rPr>
        <w:t xml:space="preserve"> </w:t>
      </w:r>
      <w:r w:rsidRPr="00203F38">
        <w:rPr>
          <w:color w:val="000000" w:themeColor="text1"/>
          <w:w w:val="105"/>
          <w:szCs w:val="24"/>
        </w:rPr>
        <w:t>zgodę</w:t>
      </w:r>
      <w:r w:rsidRPr="00203F38">
        <w:rPr>
          <w:color w:val="000000" w:themeColor="text1"/>
          <w:spacing w:val="-18"/>
          <w:w w:val="105"/>
          <w:szCs w:val="24"/>
        </w:rPr>
        <w:t xml:space="preserve"> </w:t>
      </w:r>
      <w:r w:rsidRPr="00203F38">
        <w:rPr>
          <w:color w:val="000000" w:themeColor="text1"/>
          <w:w w:val="105"/>
          <w:szCs w:val="24"/>
        </w:rPr>
        <w:t>zarządcy</w:t>
      </w:r>
      <w:r w:rsidRPr="00203F38">
        <w:rPr>
          <w:color w:val="000000" w:themeColor="text1"/>
          <w:spacing w:val="-9"/>
          <w:w w:val="105"/>
          <w:szCs w:val="24"/>
        </w:rPr>
        <w:t xml:space="preserve"> </w:t>
      </w:r>
      <w:r w:rsidRPr="00203F38">
        <w:rPr>
          <w:color w:val="000000" w:themeColor="text1"/>
          <w:w w:val="105"/>
          <w:szCs w:val="24"/>
        </w:rPr>
        <w:t>nieruchomości</w:t>
      </w:r>
      <w:r w:rsidRPr="00203F38">
        <w:rPr>
          <w:color w:val="000000" w:themeColor="text1"/>
          <w:spacing w:val="9"/>
          <w:w w:val="105"/>
          <w:szCs w:val="24"/>
        </w:rPr>
        <w:t xml:space="preserve"> </w:t>
      </w:r>
      <w:r w:rsidRPr="00203F38">
        <w:rPr>
          <w:color w:val="000000" w:themeColor="text1"/>
          <w:w w:val="105"/>
          <w:szCs w:val="24"/>
        </w:rPr>
        <w:t>lub</w:t>
      </w:r>
      <w:r w:rsidRPr="00203F38">
        <w:rPr>
          <w:color w:val="000000" w:themeColor="text1"/>
          <w:spacing w:val="-22"/>
          <w:w w:val="105"/>
          <w:szCs w:val="24"/>
        </w:rPr>
        <w:t xml:space="preserve"> </w:t>
      </w:r>
      <w:r w:rsidRPr="00203F38">
        <w:rPr>
          <w:color w:val="000000" w:themeColor="text1"/>
          <w:w w:val="105"/>
          <w:szCs w:val="24"/>
        </w:rPr>
        <w:t>zarządu</w:t>
      </w:r>
      <w:r w:rsidRPr="00203F38">
        <w:rPr>
          <w:color w:val="000000" w:themeColor="text1"/>
          <w:spacing w:val="-5"/>
          <w:w w:val="105"/>
          <w:szCs w:val="24"/>
        </w:rPr>
        <w:t xml:space="preserve"> </w:t>
      </w:r>
      <w:r w:rsidRPr="00203F38">
        <w:rPr>
          <w:color w:val="000000" w:themeColor="text1"/>
          <w:w w:val="105"/>
          <w:szCs w:val="24"/>
        </w:rPr>
        <w:t>wspólnoty</w:t>
      </w:r>
      <w:r w:rsidRPr="00203F38">
        <w:rPr>
          <w:color w:val="000000" w:themeColor="text1"/>
          <w:spacing w:val="-5"/>
          <w:w w:val="105"/>
          <w:szCs w:val="24"/>
        </w:rPr>
        <w:t xml:space="preserve"> </w:t>
      </w:r>
      <w:r w:rsidRPr="00203F38">
        <w:rPr>
          <w:color w:val="000000" w:themeColor="text1"/>
          <w:w w:val="105"/>
          <w:szCs w:val="24"/>
        </w:rPr>
        <w:t>lub spółdzielni,</w:t>
      </w:r>
      <w:r w:rsidRPr="00203F38">
        <w:rPr>
          <w:color w:val="000000" w:themeColor="text1"/>
          <w:spacing w:val="-9"/>
          <w:w w:val="105"/>
          <w:szCs w:val="24"/>
        </w:rPr>
        <w:t xml:space="preserve"> </w:t>
      </w:r>
      <w:r w:rsidRPr="00203F38">
        <w:rPr>
          <w:color w:val="000000" w:themeColor="text1"/>
          <w:w w:val="105"/>
          <w:szCs w:val="24"/>
        </w:rPr>
        <w:t>lub</w:t>
      </w:r>
      <w:r w:rsidRPr="00203F38">
        <w:rPr>
          <w:color w:val="000000" w:themeColor="text1"/>
          <w:spacing w:val="-19"/>
          <w:w w:val="105"/>
          <w:szCs w:val="24"/>
        </w:rPr>
        <w:t xml:space="preserve"> </w:t>
      </w:r>
      <w:r w:rsidRPr="00203F38">
        <w:rPr>
          <w:color w:val="000000" w:themeColor="text1"/>
          <w:w w:val="105"/>
          <w:szCs w:val="24"/>
        </w:rPr>
        <w:t>osoby</w:t>
      </w:r>
      <w:r w:rsidRPr="00203F38">
        <w:rPr>
          <w:color w:val="000000" w:themeColor="text1"/>
          <w:spacing w:val="-13"/>
          <w:w w:val="105"/>
          <w:szCs w:val="24"/>
        </w:rPr>
        <w:t xml:space="preserve"> </w:t>
      </w:r>
      <w:r w:rsidRPr="00203F38">
        <w:rPr>
          <w:color w:val="000000" w:themeColor="text1"/>
          <w:w w:val="105"/>
          <w:szCs w:val="24"/>
        </w:rPr>
        <w:t>sprawującej</w:t>
      </w:r>
      <w:r w:rsidRPr="00203F38">
        <w:rPr>
          <w:color w:val="000000" w:themeColor="text1"/>
          <w:spacing w:val="-9"/>
          <w:w w:val="105"/>
          <w:szCs w:val="24"/>
        </w:rPr>
        <w:t xml:space="preserve"> </w:t>
      </w:r>
      <w:r w:rsidRPr="00203F38">
        <w:rPr>
          <w:color w:val="000000" w:themeColor="text1"/>
          <w:w w:val="105"/>
          <w:szCs w:val="24"/>
        </w:rPr>
        <w:t>zarząd</w:t>
      </w:r>
      <w:r w:rsidRPr="00203F38">
        <w:rPr>
          <w:color w:val="000000" w:themeColor="text1"/>
          <w:spacing w:val="-5"/>
          <w:w w:val="105"/>
          <w:szCs w:val="24"/>
        </w:rPr>
        <w:t xml:space="preserve"> </w:t>
      </w:r>
      <w:r w:rsidRPr="00203F38">
        <w:rPr>
          <w:color w:val="000000" w:themeColor="text1"/>
          <w:w w:val="105"/>
          <w:szCs w:val="24"/>
        </w:rPr>
        <w:t>nad</w:t>
      </w:r>
      <w:r w:rsidRPr="00203F38">
        <w:rPr>
          <w:color w:val="000000" w:themeColor="text1"/>
          <w:spacing w:val="-11"/>
          <w:w w:val="105"/>
          <w:szCs w:val="24"/>
        </w:rPr>
        <w:t xml:space="preserve"> </w:t>
      </w:r>
      <w:r w:rsidRPr="00203F38">
        <w:rPr>
          <w:color w:val="000000" w:themeColor="text1"/>
          <w:w w:val="105"/>
          <w:szCs w:val="24"/>
        </w:rPr>
        <w:t>nieruchomością</w:t>
      </w:r>
      <w:r w:rsidRPr="00203F38">
        <w:rPr>
          <w:color w:val="000000" w:themeColor="text1"/>
          <w:spacing w:val="-17"/>
          <w:w w:val="105"/>
          <w:szCs w:val="24"/>
        </w:rPr>
        <w:t xml:space="preserve"> </w:t>
      </w:r>
      <w:r w:rsidRPr="00203F38">
        <w:rPr>
          <w:color w:val="000000" w:themeColor="text1"/>
          <w:w w:val="105"/>
          <w:szCs w:val="24"/>
        </w:rPr>
        <w:t>na</w:t>
      </w:r>
      <w:r w:rsidRPr="00203F38">
        <w:rPr>
          <w:color w:val="000000" w:themeColor="text1"/>
          <w:spacing w:val="-12"/>
          <w:w w:val="105"/>
          <w:szCs w:val="24"/>
        </w:rPr>
        <w:t xml:space="preserve"> </w:t>
      </w:r>
      <w:r w:rsidRPr="00203F38">
        <w:rPr>
          <w:color w:val="000000" w:themeColor="text1"/>
          <w:w w:val="105"/>
          <w:szCs w:val="24"/>
        </w:rPr>
        <w:t>instalację</w:t>
      </w:r>
      <w:r w:rsidRPr="00203F38">
        <w:rPr>
          <w:color w:val="000000" w:themeColor="text1"/>
          <w:spacing w:val="-7"/>
          <w:w w:val="105"/>
          <w:szCs w:val="24"/>
        </w:rPr>
        <w:t xml:space="preserve"> </w:t>
      </w:r>
      <w:r w:rsidRPr="00203F38">
        <w:rPr>
          <w:color w:val="000000" w:themeColor="text1"/>
          <w:w w:val="105"/>
          <w:szCs w:val="24"/>
        </w:rPr>
        <w:t>punktu ładowania,</w:t>
      </w:r>
    </w:p>
    <w:p w14:paraId="03302B4E" w14:textId="573DF1B3" w:rsidR="00E94ED4" w:rsidRPr="00203F38" w:rsidRDefault="00E94ED4">
      <w:pPr>
        <w:pStyle w:val="Akapitzlist"/>
        <w:widowControl w:val="0"/>
        <w:numPr>
          <w:ilvl w:val="1"/>
          <w:numId w:val="341"/>
        </w:numPr>
        <w:tabs>
          <w:tab w:val="left" w:pos="1323"/>
        </w:tabs>
        <w:autoSpaceDE w:val="0"/>
        <w:autoSpaceDN w:val="0"/>
        <w:spacing w:line="252" w:lineRule="auto"/>
        <w:ind w:left="1701" w:right="60" w:hanging="283"/>
        <w:jc w:val="both"/>
        <w:rPr>
          <w:color w:val="000000" w:themeColor="text1"/>
          <w:szCs w:val="24"/>
        </w:rPr>
      </w:pPr>
      <w:r w:rsidRPr="00203F38">
        <w:rPr>
          <w:color w:val="000000" w:themeColor="text1"/>
          <w:w w:val="105"/>
          <w:szCs w:val="24"/>
        </w:rPr>
        <w:t xml:space="preserve">w przypadku gdy magazyn energii elektrycznej jest częścią jednostki wytwórczej lub instalacji odnawialnego źródła energii niebędącej mikroinstalacją, lub hybrydowej instalacji odnawialnego źródła energii, </w:t>
      </w:r>
      <w:r w:rsidR="004B4F05">
        <w:rPr>
          <w:color w:val="000000" w:themeColor="text1"/>
          <w:w w:val="105"/>
          <w:szCs w:val="24"/>
        </w:rPr>
        <w:br/>
      </w:r>
      <w:r w:rsidRPr="00203F38">
        <w:rPr>
          <w:color w:val="000000" w:themeColor="text1"/>
          <w:w w:val="105"/>
          <w:szCs w:val="24"/>
        </w:rPr>
        <w:t>w miejscu przyłączenia odpowiednio magazynu energii elektrycznej</w:t>
      </w:r>
      <w:r w:rsidRPr="00203F38">
        <w:rPr>
          <w:color w:val="000000" w:themeColor="text1"/>
          <w:spacing w:val="7"/>
          <w:w w:val="105"/>
          <w:szCs w:val="24"/>
        </w:rPr>
        <w:t xml:space="preserve"> </w:t>
      </w:r>
      <w:r w:rsidRPr="00203F38">
        <w:rPr>
          <w:color w:val="000000" w:themeColor="text1"/>
          <w:w w:val="105"/>
          <w:szCs w:val="24"/>
        </w:rPr>
        <w:t>do:</w:t>
      </w:r>
    </w:p>
    <w:p w14:paraId="69F9EF54" w14:textId="77777777" w:rsidR="00E94ED4" w:rsidRPr="00203F38" w:rsidRDefault="00E94ED4">
      <w:pPr>
        <w:pStyle w:val="Akapitzlist"/>
        <w:widowControl w:val="0"/>
        <w:numPr>
          <w:ilvl w:val="2"/>
          <w:numId w:val="341"/>
        </w:numPr>
        <w:autoSpaceDE w:val="0"/>
        <w:autoSpaceDN w:val="0"/>
        <w:spacing w:line="253" w:lineRule="exact"/>
        <w:ind w:left="1985" w:right="60" w:hanging="284"/>
        <w:rPr>
          <w:color w:val="000000" w:themeColor="text1"/>
          <w:szCs w:val="24"/>
        </w:rPr>
      </w:pPr>
      <w:r w:rsidRPr="00203F38">
        <w:rPr>
          <w:color w:val="000000" w:themeColor="text1"/>
          <w:w w:val="105"/>
          <w:szCs w:val="24"/>
        </w:rPr>
        <w:t>jednostki wytwórczej</w:t>
      </w:r>
      <w:r w:rsidRPr="00203F38">
        <w:rPr>
          <w:color w:val="000000" w:themeColor="text1"/>
          <w:spacing w:val="-14"/>
          <w:w w:val="105"/>
          <w:szCs w:val="24"/>
        </w:rPr>
        <w:t xml:space="preserve"> </w:t>
      </w:r>
      <w:r w:rsidRPr="00203F38">
        <w:rPr>
          <w:color w:val="000000" w:themeColor="text1"/>
          <w:w w:val="105"/>
          <w:szCs w:val="24"/>
        </w:rPr>
        <w:t>lub</w:t>
      </w:r>
    </w:p>
    <w:p w14:paraId="345F58DD" w14:textId="468C9012" w:rsidR="00E94ED4" w:rsidRPr="00203F38" w:rsidRDefault="00E94ED4">
      <w:pPr>
        <w:pStyle w:val="Akapitzlist"/>
        <w:widowControl w:val="0"/>
        <w:numPr>
          <w:ilvl w:val="2"/>
          <w:numId w:val="341"/>
        </w:numPr>
        <w:autoSpaceDE w:val="0"/>
        <w:autoSpaceDN w:val="0"/>
        <w:spacing w:before="8"/>
        <w:ind w:left="1985" w:right="60" w:hanging="284"/>
        <w:rPr>
          <w:color w:val="000000" w:themeColor="text1"/>
          <w:szCs w:val="24"/>
        </w:rPr>
      </w:pPr>
      <w:r w:rsidRPr="00203F38">
        <w:rPr>
          <w:color w:val="000000" w:themeColor="text1"/>
          <w:w w:val="105"/>
          <w:szCs w:val="24"/>
        </w:rPr>
        <w:t>instalacji odnawialnego źródła energii</w:t>
      </w:r>
      <w:r w:rsidR="006366ED">
        <w:rPr>
          <w:color w:val="000000" w:themeColor="text1"/>
          <w:w w:val="105"/>
          <w:szCs w:val="24"/>
        </w:rPr>
        <w:t xml:space="preserve"> </w:t>
      </w:r>
      <w:r w:rsidRPr="00203F38">
        <w:rPr>
          <w:color w:val="000000" w:themeColor="text1"/>
          <w:w w:val="105"/>
          <w:szCs w:val="24"/>
        </w:rPr>
        <w:t>lub</w:t>
      </w:r>
    </w:p>
    <w:p w14:paraId="48E0DD9E" w14:textId="77777777" w:rsidR="00E94ED4" w:rsidRPr="00203F38" w:rsidRDefault="00E94ED4">
      <w:pPr>
        <w:pStyle w:val="Akapitzlist"/>
        <w:widowControl w:val="0"/>
        <w:numPr>
          <w:ilvl w:val="2"/>
          <w:numId w:val="341"/>
        </w:numPr>
        <w:autoSpaceDE w:val="0"/>
        <w:autoSpaceDN w:val="0"/>
        <w:spacing w:before="12"/>
        <w:ind w:left="1985" w:right="60" w:hanging="284"/>
        <w:rPr>
          <w:color w:val="000000" w:themeColor="text1"/>
          <w:szCs w:val="24"/>
        </w:rPr>
      </w:pPr>
      <w:r w:rsidRPr="00203F38">
        <w:rPr>
          <w:color w:val="000000" w:themeColor="text1"/>
          <w:szCs w:val="24"/>
        </w:rPr>
        <w:t>hybrydowej instalacji odnawialnego</w:t>
      </w:r>
      <w:r w:rsidRPr="00203F38">
        <w:rPr>
          <w:color w:val="000000" w:themeColor="text1"/>
          <w:spacing w:val="-15"/>
          <w:szCs w:val="24"/>
        </w:rPr>
        <w:t xml:space="preserve"> </w:t>
      </w:r>
      <w:r w:rsidRPr="00203F38">
        <w:rPr>
          <w:color w:val="000000" w:themeColor="text1"/>
          <w:szCs w:val="24"/>
        </w:rPr>
        <w:t>źródła energii</w:t>
      </w:r>
    </w:p>
    <w:p w14:paraId="75A2CD3D" w14:textId="77777777" w:rsidR="00E94ED4" w:rsidRPr="00203F38" w:rsidRDefault="00E94ED4" w:rsidP="00840635">
      <w:pPr>
        <w:pStyle w:val="Tekstpodstawowy"/>
        <w:spacing w:before="11" w:line="254" w:lineRule="auto"/>
        <w:ind w:left="1701" w:right="60" w:hanging="6"/>
        <w:rPr>
          <w:color w:val="000000" w:themeColor="text1"/>
          <w:szCs w:val="24"/>
        </w:rPr>
      </w:pPr>
      <w:r w:rsidRPr="00203F38">
        <w:rPr>
          <w:color w:val="000000" w:themeColor="text1"/>
          <w:w w:val="105"/>
          <w:szCs w:val="24"/>
        </w:rPr>
        <w:t>jako miejsce przyłączenia magazynu energii elektrycznej należy rozumieć zaciski wejściowe lub wyjściowe magazynów energii</w:t>
      </w:r>
      <w:r w:rsidRPr="00203F38">
        <w:rPr>
          <w:color w:val="000000" w:themeColor="text1"/>
          <w:spacing w:val="52"/>
          <w:w w:val="105"/>
          <w:szCs w:val="24"/>
        </w:rPr>
        <w:t xml:space="preserve"> </w:t>
      </w:r>
      <w:r w:rsidRPr="00203F38">
        <w:rPr>
          <w:color w:val="000000" w:themeColor="text1"/>
          <w:w w:val="105"/>
          <w:szCs w:val="24"/>
        </w:rPr>
        <w:t>elektrycznej.</w:t>
      </w:r>
    </w:p>
    <w:p w14:paraId="77B4E008" w14:textId="365F787F" w:rsidR="00E94ED4" w:rsidRPr="0043520B" w:rsidRDefault="00E94ED4">
      <w:pPr>
        <w:pStyle w:val="Akapitzlist"/>
        <w:widowControl w:val="0"/>
        <w:numPr>
          <w:ilvl w:val="0"/>
          <w:numId w:val="341"/>
        </w:numPr>
        <w:autoSpaceDE w:val="0"/>
        <w:autoSpaceDN w:val="0"/>
        <w:spacing w:before="2" w:line="249" w:lineRule="auto"/>
        <w:ind w:left="1331" w:right="60" w:hanging="284"/>
        <w:jc w:val="both"/>
        <w:rPr>
          <w:color w:val="000000" w:themeColor="text1"/>
          <w:szCs w:val="24"/>
        </w:rPr>
      </w:pPr>
      <w:r w:rsidRPr="0043520B">
        <w:rPr>
          <w:color w:val="000000" w:themeColor="text1"/>
          <w:w w:val="105"/>
          <w:szCs w:val="24"/>
        </w:rPr>
        <w:t>wykorzystywane do rozliczeń prowadzonych w ramach bilansowania systemu elektroenergetycznego i wymiany międzysystemowej instaluje</w:t>
      </w:r>
      <w:r w:rsidRPr="0043520B">
        <w:rPr>
          <w:color w:val="000000" w:themeColor="text1"/>
          <w:spacing w:val="28"/>
          <w:w w:val="105"/>
          <w:szCs w:val="24"/>
        </w:rPr>
        <w:t xml:space="preserve"> </w:t>
      </w:r>
      <w:r w:rsidRPr="0043520B">
        <w:rPr>
          <w:color w:val="000000" w:themeColor="text1"/>
          <w:w w:val="105"/>
          <w:szCs w:val="24"/>
        </w:rPr>
        <w:t>się</w:t>
      </w:r>
      <w:r w:rsidR="0043520B" w:rsidRPr="0043520B">
        <w:rPr>
          <w:color w:val="000000" w:themeColor="text1"/>
          <w:w w:val="105"/>
          <w:szCs w:val="24"/>
        </w:rPr>
        <w:t xml:space="preserve"> </w:t>
      </w:r>
      <w:r w:rsidRPr="0043520B">
        <w:rPr>
          <w:color w:val="000000" w:themeColor="text1"/>
          <w:szCs w:val="24"/>
        </w:rPr>
        <w:t>w miejscach połączenia między sieciami dystrybucyjnymi OSD na napięciu</w:t>
      </w:r>
      <w:r w:rsidRPr="0043520B">
        <w:rPr>
          <w:color w:val="000000" w:themeColor="text1"/>
          <w:spacing w:val="-11"/>
          <w:szCs w:val="24"/>
        </w:rPr>
        <w:t xml:space="preserve"> </w:t>
      </w:r>
      <w:r w:rsidR="0043520B" w:rsidRPr="0043520B">
        <w:rPr>
          <w:color w:val="000000" w:themeColor="text1"/>
          <w:spacing w:val="-11"/>
          <w:szCs w:val="24"/>
        </w:rPr>
        <w:br/>
      </w:r>
      <w:r w:rsidRPr="0043520B">
        <w:rPr>
          <w:color w:val="000000" w:themeColor="text1"/>
          <w:szCs w:val="24"/>
        </w:rPr>
        <w:t>SN</w:t>
      </w:r>
      <w:r w:rsidR="0043520B" w:rsidRPr="0043520B">
        <w:rPr>
          <w:color w:val="000000" w:themeColor="text1"/>
          <w:szCs w:val="24"/>
        </w:rPr>
        <w:t xml:space="preserve"> </w:t>
      </w:r>
      <w:r w:rsidRPr="0043520B">
        <w:rPr>
          <w:color w:val="000000" w:themeColor="text1"/>
          <w:szCs w:val="24"/>
        </w:rPr>
        <w:t>i nN;</w:t>
      </w:r>
    </w:p>
    <w:p w14:paraId="71038552" w14:textId="77777777" w:rsidR="00E94ED4" w:rsidRPr="00203F38" w:rsidRDefault="00E94ED4">
      <w:pPr>
        <w:pStyle w:val="Akapitzlist"/>
        <w:widowControl w:val="0"/>
        <w:numPr>
          <w:ilvl w:val="0"/>
          <w:numId w:val="341"/>
        </w:numPr>
        <w:autoSpaceDE w:val="0"/>
        <w:autoSpaceDN w:val="0"/>
        <w:spacing w:before="9"/>
        <w:ind w:left="1276" w:right="60" w:hanging="283"/>
        <w:jc w:val="both"/>
        <w:rPr>
          <w:color w:val="000000" w:themeColor="text1"/>
          <w:szCs w:val="24"/>
        </w:rPr>
      </w:pPr>
      <w:r w:rsidRPr="00203F38">
        <w:rPr>
          <w:color w:val="000000" w:themeColor="text1"/>
          <w:w w:val="105"/>
          <w:szCs w:val="24"/>
        </w:rPr>
        <w:t>wykorzystywane do realizacji innych procesów rynku energii instaluje</w:t>
      </w:r>
      <w:r w:rsidRPr="00203F38">
        <w:rPr>
          <w:color w:val="000000" w:themeColor="text1"/>
          <w:spacing w:val="16"/>
          <w:w w:val="105"/>
          <w:szCs w:val="24"/>
        </w:rPr>
        <w:t xml:space="preserve"> </w:t>
      </w:r>
      <w:r w:rsidRPr="00203F38">
        <w:rPr>
          <w:color w:val="000000" w:themeColor="text1"/>
          <w:w w:val="105"/>
          <w:szCs w:val="24"/>
        </w:rPr>
        <w:t>się:</w:t>
      </w:r>
    </w:p>
    <w:p w14:paraId="2F1E82B7" w14:textId="076E9F29" w:rsidR="00E94ED4" w:rsidRPr="00203F38" w:rsidRDefault="00E94ED4">
      <w:pPr>
        <w:pStyle w:val="Akapitzlist"/>
        <w:widowControl w:val="0"/>
        <w:numPr>
          <w:ilvl w:val="1"/>
          <w:numId w:val="341"/>
        </w:numPr>
        <w:autoSpaceDE w:val="0"/>
        <w:autoSpaceDN w:val="0"/>
        <w:spacing w:before="11"/>
        <w:ind w:left="1560" w:right="60" w:hanging="284"/>
        <w:jc w:val="both"/>
        <w:rPr>
          <w:color w:val="000000" w:themeColor="text1"/>
          <w:szCs w:val="24"/>
        </w:rPr>
      </w:pPr>
      <w:r w:rsidRPr="00203F38">
        <w:rPr>
          <w:color w:val="000000" w:themeColor="text1"/>
          <w:w w:val="105"/>
          <w:szCs w:val="24"/>
        </w:rPr>
        <w:t xml:space="preserve">w przypadku wytwórców, dla których jest wymagane potwierdzanie przez </w:t>
      </w:r>
      <w:r w:rsidR="00D97DC3">
        <w:rPr>
          <w:color w:val="000000" w:themeColor="text1"/>
          <w:w w:val="105"/>
          <w:szCs w:val="24"/>
        </w:rPr>
        <w:t>OSDn</w:t>
      </w:r>
      <w:r w:rsidRPr="00203F38">
        <w:rPr>
          <w:color w:val="000000" w:themeColor="text1"/>
          <w:w w:val="105"/>
          <w:szCs w:val="24"/>
        </w:rPr>
        <w:t xml:space="preserve"> ilości energii elektrycznej niezbędnej do posiadania uprawnień wynikających z systemów wsparcia w rozumieniu przepisów odrębnych, </w:t>
      </w:r>
      <w:r w:rsidR="00D97DC3">
        <w:rPr>
          <w:color w:val="000000" w:themeColor="text1"/>
          <w:w w:val="105"/>
          <w:szCs w:val="24"/>
        </w:rPr>
        <w:br/>
      </w:r>
      <w:r w:rsidRPr="00203F38">
        <w:rPr>
          <w:color w:val="000000" w:themeColor="text1"/>
          <w:w w:val="105"/>
          <w:szCs w:val="24"/>
        </w:rPr>
        <w:t>w miejscach określonych w tych</w:t>
      </w:r>
      <w:r w:rsidRPr="00203F38">
        <w:rPr>
          <w:color w:val="000000" w:themeColor="text1"/>
          <w:spacing w:val="43"/>
          <w:w w:val="105"/>
          <w:szCs w:val="24"/>
        </w:rPr>
        <w:t xml:space="preserve"> </w:t>
      </w:r>
      <w:r w:rsidRPr="00203F38">
        <w:rPr>
          <w:color w:val="000000" w:themeColor="text1"/>
          <w:w w:val="105"/>
          <w:szCs w:val="24"/>
        </w:rPr>
        <w:t>przepisach,</w:t>
      </w:r>
    </w:p>
    <w:p w14:paraId="40897DEC" w14:textId="6EE20372" w:rsidR="00E94ED4" w:rsidRPr="00203F38" w:rsidRDefault="00E94ED4">
      <w:pPr>
        <w:pStyle w:val="Akapitzlist"/>
        <w:widowControl w:val="0"/>
        <w:numPr>
          <w:ilvl w:val="1"/>
          <w:numId w:val="341"/>
        </w:numPr>
        <w:autoSpaceDE w:val="0"/>
        <w:autoSpaceDN w:val="0"/>
        <w:ind w:left="1560" w:right="60" w:hanging="284"/>
        <w:jc w:val="both"/>
        <w:rPr>
          <w:color w:val="000000" w:themeColor="text1"/>
          <w:szCs w:val="24"/>
        </w:rPr>
      </w:pPr>
      <w:r w:rsidRPr="00203F38">
        <w:rPr>
          <w:color w:val="000000" w:themeColor="text1"/>
          <w:w w:val="105"/>
          <w:szCs w:val="24"/>
        </w:rPr>
        <w:t xml:space="preserve">po stronie nN transformatora w stacjach elektroenergetycznych </w:t>
      </w:r>
      <w:r w:rsidR="007E480F">
        <w:rPr>
          <w:color w:val="000000" w:themeColor="text1"/>
          <w:w w:val="105"/>
          <w:szCs w:val="24"/>
        </w:rPr>
        <w:t>OSDn</w:t>
      </w:r>
      <w:r w:rsidRPr="00203F38">
        <w:rPr>
          <w:color w:val="000000" w:themeColor="text1"/>
          <w:w w:val="105"/>
          <w:szCs w:val="24"/>
        </w:rPr>
        <w:t xml:space="preserve"> transformujących napięcie</w:t>
      </w:r>
      <w:r w:rsidRPr="00203F38">
        <w:rPr>
          <w:color w:val="000000" w:themeColor="text1"/>
          <w:spacing w:val="33"/>
          <w:w w:val="105"/>
          <w:szCs w:val="24"/>
        </w:rPr>
        <w:t xml:space="preserve"> </w:t>
      </w:r>
      <w:r w:rsidRPr="00203F38">
        <w:rPr>
          <w:color w:val="000000" w:themeColor="text1"/>
          <w:w w:val="105"/>
          <w:szCs w:val="24"/>
        </w:rPr>
        <w:t>SN/nN,</w:t>
      </w:r>
    </w:p>
    <w:p w14:paraId="75B09F99" w14:textId="558BB5AA" w:rsidR="00E94ED4" w:rsidRPr="00203F38" w:rsidRDefault="00E94ED4">
      <w:pPr>
        <w:pStyle w:val="Akapitzlist"/>
        <w:widowControl w:val="0"/>
        <w:numPr>
          <w:ilvl w:val="1"/>
          <w:numId w:val="341"/>
        </w:numPr>
        <w:autoSpaceDE w:val="0"/>
        <w:autoSpaceDN w:val="0"/>
        <w:ind w:left="1560" w:right="60" w:hanging="284"/>
        <w:jc w:val="both"/>
        <w:rPr>
          <w:color w:val="000000" w:themeColor="text1"/>
          <w:szCs w:val="24"/>
        </w:rPr>
      </w:pPr>
      <w:r w:rsidRPr="00203F38">
        <w:rPr>
          <w:color w:val="000000" w:themeColor="text1"/>
          <w:w w:val="105"/>
          <w:szCs w:val="24"/>
        </w:rPr>
        <w:t xml:space="preserve">w miejscach w sieci na poziomie SN i nN, w których energia elektryczna jest zużywana na potrzeby własne </w:t>
      </w:r>
      <w:r w:rsidR="007E480F">
        <w:rPr>
          <w:color w:val="000000" w:themeColor="text1"/>
          <w:w w:val="105"/>
          <w:szCs w:val="24"/>
        </w:rPr>
        <w:t>OSDn</w:t>
      </w:r>
      <w:r w:rsidRPr="00203F38">
        <w:rPr>
          <w:color w:val="000000" w:themeColor="text1"/>
          <w:w w:val="105"/>
          <w:szCs w:val="24"/>
        </w:rPr>
        <w:t>, związan</w:t>
      </w:r>
      <w:r w:rsidR="007E480F">
        <w:rPr>
          <w:color w:val="000000" w:themeColor="text1"/>
          <w:w w:val="105"/>
          <w:szCs w:val="24"/>
        </w:rPr>
        <w:t>e</w:t>
      </w:r>
      <w:r w:rsidRPr="00203F38">
        <w:rPr>
          <w:color w:val="000000" w:themeColor="text1"/>
          <w:w w:val="105"/>
          <w:szCs w:val="24"/>
        </w:rPr>
        <w:t xml:space="preserve"> z wykonywaną działalnością gospodarczą w zakresie dystrybucji energii</w:t>
      </w:r>
      <w:r w:rsidRPr="00203F38">
        <w:rPr>
          <w:color w:val="000000" w:themeColor="text1"/>
          <w:spacing w:val="-8"/>
          <w:w w:val="105"/>
          <w:szCs w:val="24"/>
        </w:rPr>
        <w:t xml:space="preserve"> </w:t>
      </w:r>
      <w:r w:rsidRPr="00203F38">
        <w:rPr>
          <w:color w:val="000000" w:themeColor="text1"/>
          <w:w w:val="105"/>
          <w:szCs w:val="24"/>
        </w:rPr>
        <w:t>elektrycznej,</w:t>
      </w:r>
    </w:p>
    <w:p w14:paraId="3160238D" w14:textId="77777777" w:rsidR="00E94ED4" w:rsidRPr="003F4D24" w:rsidRDefault="00E94ED4">
      <w:pPr>
        <w:pStyle w:val="Akapitzlist"/>
        <w:widowControl w:val="0"/>
        <w:numPr>
          <w:ilvl w:val="0"/>
          <w:numId w:val="341"/>
        </w:numPr>
        <w:autoSpaceDE w:val="0"/>
        <w:autoSpaceDN w:val="0"/>
        <w:spacing w:before="91"/>
        <w:ind w:left="1276" w:right="60" w:hanging="283"/>
        <w:jc w:val="both"/>
        <w:rPr>
          <w:color w:val="000000" w:themeColor="text1"/>
          <w:szCs w:val="24"/>
        </w:rPr>
      </w:pPr>
      <w:r w:rsidRPr="00203F38">
        <w:rPr>
          <w:color w:val="000000" w:themeColor="text1"/>
          <w:w w:val="105"/>
          <w:szCs w:val="24"/>
        </w:rPr>
        <w:t xml:space="preserve">w pozostałych przypadkach - w miejscu wskazanym w umowie o przyłączenie lub </w:t>
      </w:r>
      <w:r w:rsidRPr="003F4D24">
        <w:rPr>
          <w:color w:val="000000" w:themeColor="text1"/>
          <w:w w:val="105"/>
          <w:szCs w:val="24"/>
        </w:rPr>
        <w:t>umowie dystrybucyjnej albo umowie</w:t>
      </w:r>
      <w:r w:rsidRPr="003F4D24">
        <w:rPr>
          <w:color w:val="000000" w:themeColor="text1"/>
          <w:spacing w:val="25"/>
          <w:w w:val="105"/>
          <w:szCs w:val="24"/>
        </w:rPr>
        <w:t xml:space="preserve"> </w:t>
      </w:r>
      <w:r w:rsidRPr="003F4D24">
        <w:rPr>
          <w:color w:val="000000" w:themeColor="text1"/>
          <w:w w:val="105"/>
          <w:szCs w:val="24"/>
        </w:rPr>
        <w:t>kompleksowej.</w:t>
      </w:r>
    </w:p>
    <w:p w14:paraId="5040A0FA" w14:textId="023C535C" w:rsidR="00E94ED4" w:rsidRPr="003F4D24" w:rsidRDefault="00E94ED4" w:rsidP="00B130BF">
      <w:pPr>
        <w:pStyle w:val="Tekstpodstawowy"/>
        <w:tabs>
          <w:tab w:val="clear" w:pos="4536"/>
          <w:tab w:val="clear" w:pos="9072"/>
        </w:tabs>
        <w:spacing w:before="108" w:line="240" w:lineRule="auto"/>
        <w:ind w:left="1276" w:right="60" w:hanging="2"/>
        <w:rPr>
          <w:color w:val="000000" w:themeColor="text1"/>
        </w:rPr>
      </w:pPr>
      <w:r w:rsidRPr="003F4D24">
        <w:rPr>
          <w:color w:val="000000" w:themeColor="text1"/>
          <w:w w:val="105"/>
        </w:rPr>
        <w:t xml:space="preserve">Za zgodą </w:t>
      </w:r>
      <w:r w:rsidR="005D4473" w:rsidRPr="003F4D24">
        <w:rPr>
          <w:color w:val="000000" w:themeColor="text1"/>
          <w:w w:val="105"/>
          <w:lang w:val="pl-PL"/>
        </w:rPr>
        <w:t>OSDn</w:t>
      </w:r>
      <w:r w:rsidRPr="003F4D24">
        <w:rPr>
          <w:color w:val="000000" w:themeColor="text1"/>
          <w:w w:val="105"/>
        </w:rPr>
        <w:t>, w uzasadnionych technicznie przypadkach, dopuszcza się instalację układów pomiarowo-rozliczeniowych po stronie niskiego napięcia transformatora SN/nN, dla układów pomiarowo-rozliczeniowych kategorii B2 i B</w:t>
      </w:r>
      <w:r w:rsidR="005D4473" w:rsidRPr="003F4D24">
        <w:rPr>
          <w:color w:val="000000" w:themeColor="text1"/>
          <w:w w:val="105"/>
          <w:lang w:val="pl-PL"/>
        </w:rPr>
        <w:t>1</w:t>
      </w:r>
      <w:r w:rsidRPr="003F4D24">
        <w:rPr>
          <w:color w:val="000000" w:themeColor="text1"/>
          <w:w w:val="105"/>
        </w:rPr>
        <w:t>, o ile moc znamionowa transformatora jest nie większa niż 400 kVA.</w:t>
      </w:r>
    </w:p>
    <w:p w14:paraId="433C86DE" w14:textId="20D4341E" w:rsidR="004477C0" w:rsidRPr="00F5231A" w:rsidRDefault="00E94ED4" w:rsidP="00B130BF">
      <w:pPr>
        <w:pStyle w:val="Tekstpodstawowy"/>
        <w:tabs>
          <w:tab w:val="clear" w:pos="4536"/>
          <w:tab w:val="clear" w:pos="9072"/>
        </w:tabs>
        <w:spacing w:line="240" w:lineRule="auto"/>
        <w:ind w:left="1276" w:right="60" w:hanging="5"/>
        <w:rPr>
          <w:szCs w:val="24"/>
        </w:rPr>
      </w:pPr>
      <w:r w:rsidRPr="003F4D24">
        <w:rPr>
          <w:color w:val="000000" w:themeColor="text1"/>
          <w:w w:val="105"/>
        </w:rPr>
        <w:t xml:space="preserve">Zgoda </w:t>
      </w:r>
      <w:r w:rsidR="004A1F65" w:rsidRPr="003F4D24">
        <w:rPr>
          <w:color w:val="000000" w:themeColor="text1"/>
          <w:w w:val="105"/>
          <w:lang w:val="pl-PL"/>
        </w:rPr>
        <w:t xml:space="preserve">OSDn </w:t>
      </w:r>
      <w:r w:rsidRPr="003F4D24">
        <w:rPr>
          <w:color w:val="000000" w:themeColor="text1"/>
          <w:w w:val="105"/>
        </w:rPr>
        <w:t xml:space="preserve">uwarunkowana jest akceptacją przez podmiot przyłączany lub odbiorcę, doliczenia ilości strat mocy i energii  elektrycznej  zapisanych  </w:t>
      </w:r>
      <w:r w:rsidR="00053784" w:rsidRPr="003F4D24">
        <w:rPr>
          <w:color w:val="000000" w:themeColor="text1"/>
          <w:w w:val="105"/>
        </w:rPr>
        <w:br/>
      </w:r>
      <w:r w:rsidRPr="003F4D24">
        <w:rPr>
          <w:color w:val="000000" w:themeColor="text1"/>
          <w:w w:val="105"/>
        </w:rPr>
        <w:t>w umowie  o przyłączenie lub umowie dystrybucyjnej albo umowie</w:t>
      </w:r>
      <w:r w:rsidRPr="003F4D24">
        <w:rPr>
          <w:color w:val="000000" w:themeColor="text1"/>
          <w:spacing w:val="-10"/>
          <w:w w:val="105"/>
        </w:rPr>
        <w:t xml:space="preserve"> </w:t>
      </w:r>
      <w:r w:rsidRPr="003F4D24">
        <w:rPr>
          <w:color w:val="000000" w:themeColor="text1"/>
          <w:w w:val="105"/>
        </w:rPr>
        <w:t>kompleksowej.</w:t>
      </w:r>
    </w:p>
    <w:p w14:paraId="08845547" w14:textId="77777777" w:rsidR="00572BA3" w:rsidRPr="00F5231A" w:rsidRDefault="00572BA3">
      <w:pPr>
        <w:spacing w:line="137" w:lineRule="exact"/>
        <w:rPr>
          <w:rFonts w:eastAsia="Times New Roman"/>
          <w:szCs w:val="24"/>
        </w:rPr>
      </w:pPr>
    </w:p>
    <w:p w14:paraId="57C83A4A" w14:textId="3388AEEC" w:rsidR="00572BA3" w:rsidRPr="00F5231A" w:rsidRDefault="00572BA3">
      <w:pPr>
        <w:tabs>
          <w:tab w:val="left" w:pos="1260"/>
        </w:tabs>
        <w:spacing w:line="237" w:lineRule="auto"/>
        <w:ind w:left="128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.7.1.5.</w:t>
      </w:r>
      <w:r w:rsidRPr="00F5231A">
        <w:rPr>
          <w:rFonts w:eastAsia="Times New Roman"/>
          <w:szCs w:val="24"/>
        </w:rPr>
        <w:tab/>
        <w:t xml:space="preserve">Podmioty przyłączone do sieci dystrybucyjnej </w:t>
      </w:r>
      <w:r w:rsidR="007A7E7F" w:rsidRPr="00F5231A">
        <w:rPr>
          <w:rFonts w:eastAsia="Times New Roman"/>
          <w:szCs w:val="24"/>
        </w:rPr>
        <w:t>OSDn</w:t>
      </w:r>
      <w:r w:rsidRPr="00F5231A">
        <w:rPr>
          <w:rFonts w:eastAsia="Times New Roman"/>
          <w:szCs w:val="24"/>
        </w:rPr>
        <w:t>, będące Uczestnikami Rynku Bilansującego instalują układy pomiarow</w:t>
      </w:r>
      <w:r w:rsidR="008849FA">
        <w:rPr>
          <w:rFonts w:eastAsia="Times New Roman"/>
          <w:szCs w:val="24"/>
        </w:rPr>
        <w:t>o-rozliczeniowe</w:t>
      </w:r>
      <w:r w:rsidRPr="00F5231A">
        <w:rPr>
          <w:rFonts w:eastAsia="Times New Roman"/>
          <w:szCs w:val="24"/>
        </w:rPr>
        <w:t xml:space="preserve"> zgodnie z wymaganiami określonymi w IRiESP.</w:t>
      </w:r>
    </w:p>
    <w:p w14:paraId="37711D3F" w14:textId="100D3219" w:rsidR="00572BA3" w:rsidRPr="00F5231A" w:rsidRDefault="00572BA3" w:rsidP="007A7E7F">
      <w:pPr>
        <w:tabs>
          <w:tab w:val="left" w:pos="1260"/>
        </w:tabs>
        <w:spacing w:line="234" w:lineRule="auto"/>
        <w:ind w:left="1280" w:right="2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.7.1.6.</w:t>
      </w:r>
      <w:r w:rsidRPr="00F5231A">
        <w:rPr>
          <w:rFonts w:eastAsia="Times New Roman"/>
          <w:szCs w:val="24"/>
        </w:rPr>
        <w:tab/>
      </w:r>
      <w:r w:rsidR="007A7E7F" w:rsidRPr="00F5231A">
        <w:rPr>
          <w:rFonts w:eastAsia="Times New Roman"/>
          <w:szCs w:val="24"/>
        </w:rPr>
        <w:t>OSDn</w:t>
      </w:r>
      <w:r w:rsidRPr="00F5231A">
        <w:rPr>
          <w:rFonts w:eastAsia="Times New Roman"/>
          <w:szCs w:val="24"/>
        </w:rPr>
        <w:t xml:space="preserve"> wraz z </w:t>
      </w:r>
      <w:r w:rsidR="007A7E7F" w:rsidRPr="00F5231A">
        <w:rPr>
          <w:rFonts w:eastAsia="Times New Roman"/>
          <w:szCs w:val="24"/>
        </w:rPr>
        <w:t>OSDp/</w:t>
      </w:r>
      <w:r w:rsidRPr="00F5231A">
        <w:rPr>
          <w:rFonts w:eastAsia="Times New Roman"/>
          <w:szCs w:val="24"/>
        </w:rPr>
        <w:t>OSP uzgadniają wspólne protokoły pobierania oraz przetwarzania danych pomiarowych</w:t>
      </w:r>
      <w:r w:rsidR="000A49E9">
        <w:rPr>
          <w:rFonts w:eastAsia="Times New Roman"/>
          <w:szCs w:val="24"/>
        </w:rPr>
        <w:t xml:space="preserve"> </w:t>
      </w:r>
      <w:r w:rsidRPr="00F5231A">
        <w:rPr>
          <w:rFonts w:eastAsia="Times New Roman"/>
          <w:szCs w:val="24"/>
        </w:rPr>
        <w:t xml:space="preserve">z uwzględnieniem </w:t>
      </w:r>
      <w:r w:rsidR="009A5F75">
        <w:rPr>
          <w:rFonts w:eastAsia="Times New Roman"/>
          <w:szCs w:val="24"/>
        </w:rPr>
        <w:t xml:space="preserve">uregulowań prawnych </w:t>
      </w:r>
      <w:r w:rsidR="009A5F75">
        <w:rPr>
          <w:rFonts w:eastAsia="Times New Roman"/>
          <w:szCs w:val="24"/>
        </w:rPr>
        <w:br/>
        <w:t xml:space="preserve">i </w:t>
      </w:r>
      <w:r w:rsidRPr="00F5231A">
        <w:rPr>
          <w:rFonts w:eastAsia="Times New Roman"/>
          <w:szCs w:val="24"/>
        </w:rPr>
        <w:t>postanowień</w:t>
      </w:r>
      <w:r w:rsidR="007A7E7F" w:rsidRPr="00F5231A">
        <w:rPr>
          <w:rFonts w:eastAsia="Times New Roman"/>
          <w:szCs w:val="24"/>
        </w:rPr>
        <w:t xml:space="preserve"> </w:t>
      </w:r>
      <w:r w:rsidRPr="00F5231A">
        <w:rPr>
          <w:rFonts w:eastAsia="Times New Roman"/>
          <w:szCs w:val="24"/>
        </w:rPr>
        <w:t>IRiESP, dla potrzeb transmisji danych do O</w:t>
      </w:r>
      <w:r w:rsidR="009A5F75">
        <w:rPr>
          <w:rFonts w:eastAsia="Times New Roman"/>
          <w:szCs w:val="24"/>
        </w:rPr>
        <w:t>SP</w:t>
      </w:r>
      <w:r w:rsidRPr="00F5231A">
        <w:rPr>
          <w:rFonts w:eastAsia="Times New Roman"/>
          <w:szCs w:val="24"/>
        </w:rPr>
        <w:t xml:space="preserve"> </w:t>
      </w:r>
      <w:r w:rsidR="00926875">
        <w:rPr>
          <w:rFonts w:eastAsia="Times New Roman"/>
          <w:szCs w:val="24"/>
        </w:rPr>
        <w:t>oraz</w:t>
      </w:r>
      <w:r w:rsidRPr="00F5231A">
        <w:rPr>
          <w:rFonts w:eastAsia="Times New Roman"/>
          <w:szCs w:val="24"/>
        </w:rPr>
        <w:t xml:space="preserve"> zabezpieczenia przed </w:t>
      </w:r>
      <w:r w:rsidR="00926875">
        <w:rPr>
          <w:rFonts w:eastAsia="Times New Roman"/>
          <w:szCs w:val="24"/>
        </w:rPr>
        <w:t xml:space="preserve">ich </w:t>
      </w:r>
      <w:r w:rsidRPr="00F5231A">
        <w:rPr>
          <w:rFonts w:eastAsia="Times New Roman"/>
          <w:szCs w:val="24"/>
        </w:rPr>
        <w:t>utratą.</w:t>
      </w:r>
    </w:p>
    <w:p w14:paraId="097BD71A" w14:textId="77777777" w:rsidR="00572BA3" w:rsidRPr="00F5231A" w:rsidRDefault="00572BA3">
      <w:pPr>
        <w:tabs>
          <w:tab w:val="left" w:pos="1260"/>
        </w:tabs>
        <w:spacing w:line="236" w:lineRule="auto"/>
        <w:ind w:left="1280" w:hanging="1279"/>
        <w:jc w:val="both"/>
        <w:rPr>
          <w:rFonts w:eastAsia="Times New Roman"/>
          <w:szCs w:val="24"/>
        </w:rPr>
      </w:pPr>
      <w:r w:rsidRPr="00F5231A">
        <w:rPr>
          <w:rFonts w:eastAsia="Times New Roman"/>
          <w:szCs w:val="24"/>
        </w:rPr>
        <w:lastRenderedPageBreak/>
        <w:t>II.</w:t>
      </w:r>
      <w:r w:rsidR="000F528D">
        <w:rPr>
          <w:rFonts w:eastAsia="Times New Roman"/>
          <w:szCs w:val="24"/>
        </w:rPr>
        <w:t>3</w:t>
      </w:r>
      <w:r w:rsidRPr="00F5231A">
        <w:rPr>
          <w:rFonts w:eastAsia="Times New Roman"/>
          <w:szCs w:val="24"/>
        </w:rPr>
        <w:t>.7.1.7.</w:t>
      </w:r>
      <w:r w:rsidRPr="00F5231A">
        <w:rPr>
          <w:rFonts w:eastAsia="Times New Roman"/>
          <w:szCs w:val="24"/>
        </w:rPr>
        <w:tab/>
        <w:t>OSD uzgadniają protokół transmisji danych pomiarowych pomiędzy sobą oraz określają standard protokołu transmisji obowiązujący wszystkie podmioty przyłączone do sieci dystrybucyjnej.</w:t>
      </w:r>
    </w:p>
    <w:p w14:paraId="6EF7B26C" w14:textId="77777777" w:rsidR="00572BA3" w:rsidRPr="00F5231A" w:rsidRDefault="00572BA3" w:rsidP="00121787">
      <w:pPr>
        <w:tabs>
          <w:tab w:val="left" w:pos="1260"/>
        </w:tabs>
        <w:spacing w:line="0" w:lineRule="atLeast"/>
        <w:ind w:left="1276" w:hanging="1276"/>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.7.1.8.</w:t>
      </w:r>
      <w:r w:rsidRPr="00F5231A">
        <w:rPr>
          <w:rFonts w:eastAsia="Times New Roman"/>
          <w:szCs w:val="24"/>
        </w:rPr>
        <w:tab/>
        <w:t xml:space="preserve">Rozwiązania techniczne poszczególnych układów pomiarowych </w:t>
      </w:r>
      <w:r w:rsidR="00D17235" w:rsidRPr="00F5231A">
        <w:rPr>
          <w:rFonts w:eastAsia="Times New Roman"/>
          <w:szCs w:val="24"/>
        </w:rPr>
        <w:t xml:space="preserve">w sieci OSDn </w:t>
      </w:r>
      <w:r w:rsidRPr="00F5231A">
        <w:rPr>
          <w:rFonts w:eastAsia="Times New Roman"/>
          <w:szCs w:val="24"/>
        </w:rPr>
        <w:t>dzieli się na</w:t>
      </w:r>
      <w:r w:rsidR="00D17235" w:rsidRPr="00F5231A">
        <w:rPr>
          <w:rFonts w:eastAsia="Times New Roman"/>
          <w:szCs w:val="24"/>
        </w:rPr>
        <w:t>:</w:t>
      </w:r>
    </w:p>
    <w:p w14:paraId="2F84B8FE" w14:textId="77777777" w:rsidR="00572BA3" w:rsidRPr="00F5231A" w:rsidRDefault="00572BA3" w:rsidP="00D17235">
      <w:pPr>
        <w:spacing w:line="12" w:lineRule="exact"/>
        <w:rPr>
          <w:rFonts w:eastAsia="Times New Roman"/>
          <w:szCs w:val="24"/>
        </w:rPr>
      </w:pPr>
    </w:p>
    <w:p w14:paraId="3A4E2F3D" w14:textId="77777777" w:rsidR="00E45289" w:rsidRPr="00E45289" w:rsidRDefault="00E45289">
      <w:pPr>
        <w:pStyle w:val="Akapitzlist"/>
        <w:widowControl w:val="0"/>
        <w:numPr>
          <w:ilvl w:val="1"/>
          <w:numId w:val="342"/>
        </w:numPr>
        <w:autoSpaceDE w:val="0"/>
        <w:autoSpaceDN w:val="0"/>
        <w:spacing w:before="3" w:line="249" w:lineRule="auto"/>
        <w:ind w:left="1560" w:right="60" w:hanging="284"/>
        <w:jc w:val="both"/>
        <w:rPr>
          <w:color w:val="000000" w:themeColor="text1"/>
          <w:szCs w:val="24"/>
        </w:rPr>
      </w:pPr>
      <w:r w:rsidRPr="00E45289">
        <w:rPr>
          <w:color w:val="000000" w:themeColor="text1"/>
          <w:w w:val="105"/>
          <w:szCs w:val="24"/>
        </w:rPr>
        <w:t>kategoria B3 - układy pomiarowo-rozliczeniowe dla urządzeń, instalacji lub sieci podmiotów zaliczonych do III grupy przyłączeniowej o mocy pobieranej lub wprowadzanej do sieci większej niż 5</w:t>
      </w:r>
      <w:r w:rsidRPr="00E45289">
        <w:rPr>
          <w:color w:val="000000" w:themeColor="text1"/>
          <w:spacing w:val="-1"/>
          <w:w w:val="105"/>
          <w:szCs w:val="24"/>
        </w:rPr>
        <w:t xml:space="preserve"> </w:t>
      </w:r>
      <w:r w:rsidRPr="00E45289">
        <w:rPr>
          <w:color w:val="000000" w:themeColor="text1"/>
          <w:w w:val="105"/>
          <w:szCs w:val="24"/>
        </w:rPr>
        <w:t>MW,</w:t>
      </w:r>
    </w:p>
    <w:p w14:paraId="647709F5" w14:textId="0F68F993" w:rsidR="00E45289" w:rsidRPr="00E45289" w:rsidRDefault="00E45289">
      <w:pPr>
        <w:pStyle w:val="Akapitzlist"/>
        <w:widowControl w:val="0"/>
        <w:numPr>
          <w:ilvl w:val="1"/>
          <w:numId w:val="342"/>
        </w:numPr>
        <w:autoSpaceDE w:val="0"/>
        <w:autoSpaceDN w:val="0"/>
        <w:spacing w:before="4" w:line="249" w:lineRule="auto"/>
        <w:ind w:left="1560" w:right="60" w:hanging="284"/>
        <w:jc w:val="both"/>
        <w:rPr>
          <w:color w:val="000000" w:themeColor="text1"/>
          <w:szCs w:val="24"/>
        </w:rPr>
      </w:pPr>
      <w:r w:rsidRPr="00E45289">
        <w:rPr>
          <w:color w:val="000000" w:themeColor="text1"/>
          <w:w w:val="105"/>
          <w:szCs w:val="24"/>
        </w:rPr>
        <w:t>kategoria B2 - układy pomiarowo-rozliczeniowe dla urządzeń, instalacji lub sieci podmiotów zaliczonych do III grupy przyłączeniowej, o mocy pobieranej lub wprowadzanej do sieci większej niż 40 kW i nie większej niż 5</w:t>
      </w:r>
      <w:r w:rsidRPr="00E45289">
        <w:rPr>
          <w:color w:val="000000" w:themeColor="text1"/>
          <w:spacing w:val="37"/>
          <w:w w:val="105"/>
          <w:szCs w:val="24"/>
        </w:rPr>
        <w:t xml:space="preserve"> </w:t>
      </w:r>
      <w:r w:rsidRPr="00E45289">
        <w:rPr>
          <w:color w:val="000000" w:themeColor="text1"/>
          <w:w w:val="105"/>
          <w:szCs w:val="24"/>
        </w:rPr>
        <w:t>MW,</w:t>
      </w:r>
    </w:p>
    <w:p w14:paraId="45C5D937" w14:textId="493B2DDB" w:rsidR="00E45289" w:rsidRPr="00E45289" w:rsidRDefault="00E45289">
      <w:pPr>
        <w:pStyle w:val="Akapitzlist"/>
        <w:widowControl w:val="0"/>
        <w:numPr>
          <w:ilvl w:val="1"/>
          <w:numId w:val="342"/>
        </w:numPr>
        <w:autoSpaceDE w:val="0"/>
        <w:autoSpaceDN w:val="0"/>
        <w:spacing w:before="4"/>
        <w:ind w:left="1560" w:right="60" w:hanging="284"/>
        <w:jc w:val="both"/>
        <w:rPr>
          <w:color w:val="000000" w:themeColor="text1"/>
          <w:szCs w:val="24"/>
        </w:rPr>
      </w:pPr>
      <w:r w:rsidRPr="00E45289">
        <w:rPr>
          <w:color w:val="000000" w:themeColor="text1"/>
          <w:w w:val="105"/>
          <w:szCs w:val="24"/>
        </w:rPr>
        <w:t>kategoria BI - układy pomiarowo-rozliczeniowe dla urząd zeń, instalacji lub sieci podmiotów zaliczonych do III grupy przyłączeniowej, o mocy pobieranej lub wprowadzanej do sieci nie większej niż 40</w:t>
      </w:r>
      <w:r w:rsidRPr="00E45289">
        <w:rPr>
          <w:color w:val="000000" w:themeColor="text1"/>
          <w:spacing w:val="-16"/>
          <w:w w:val="105"/>
          <w:szCs w:val="24"/>
        </w:rPr>
        <w:t xml:space="preserve"> </w:t>
      </w:r>
      <w:r w:rsidRPr="00E45289">
        <w:rPr>
          <w:color w:val="000000" w:themeColor="text1"/>
          <w:w w:val="105"/>
          <w:szCs w:val="24"/>
        </w:rPr>
        <w:t>kW,</w:t>
      </w:r>
    </w:p>
    <w:p w14:paraId="522AEB52" w14:textId="77777777" w:rsidR="00E45289" w:rsidRPr="00E45289" w:rsidRDefault="00E45289">
      <w:pPr>
        <w:pStyle w:val="Akapitzlist"/>
        <w:widowControl w:val="0"/>
        <w:numPr>
          <w:ilvl w:val="1"/>
          <w:numId w:val="342"/>
        </w:numPr>
        <w:autoSpaceDE w:val="0"/>
        <w:autoSpaceDN w:val="0"/>
        <w:ind w:left="1560" w:right="60" w:hanging="284"/>
        <w:jc w:val="both"/>
        <w:rPr>
          <w:color w:val="000000" w:themeColor="text1"/>
          <w:szCs w:val="24"/>
        </w:rPr>
      </w:pPr>
      <w:r w:rsidRPr="00E45289">
        <w:rPr>
          <w:color w:val="000000" w:themeColor="text1"/>
          <w:w w:val="105"/>
          <w:szCs w:val="24"/>
        </w:rPr>
        <w:t xml:space="preserve">kategoria C2 - układy pomiarowo-rozliczeniowe dla urz </w:t>
      </w:r>
      <w:r w:rsidRPr="00E45289">
        <w:rPr>
          <w:color w:val="000000" w:themeColor="text1"/>
          <w:spacing w:val="-3"/>
          <w:w w:val="105"/>
          <w:szCs w:val="24"/>
        </w:rPr>
        <w:t xml:space="preserve">ądzeń, </w:t>
      </w:r>
      <w:r w:rsidRPr="00E45289">
        <w:rPr>
          <w:color w:val="000000" w:themeColor="text1"/>
          <w:w w:val="105"/>
          <w:szCs w:val="24"/>
        </w:rPr>
        <w:t>instalacji lub sieci podmiotów zaliczonych do IV grupy przyłączeniowej o mocy pobieranej lub wprowadzanej do sieci większej niż 40</w:t>
      </w:r>
      <w:r w:rsidRPr="00E45289">
        <w:rPr>
          <w:color w:val="000000" w:themeColor="text1"/>
          <w:spacing w:val="-22"/>
          <w:w w:val="105"/>
          <w:szCs w:val="24"/>
        </w:rPr>
        <w:t xml:space="preserve"> </w:t>
      </w:r>
      <w:r w:rsidRPr="00E45289">
        <w:rPr>
          <w:color w:val="000000" w:themeColor="text1"/>
          <w:w w:val="105"/>
          <w:szCs w:val="24"/>
        </w:rPr>
        <w:t>kW,</w:t>
      </w:r>
    </w:p>
    <w:p w14:paraId="5392888C" w14:textId="7E5AFFE6" w:rsidR="00E45289" w:rsidRPr="00E45289" w:rsidRDefault="00E45289">
      <w:pPr>
        <w:pStyle w:val="Akapitzlist"/>
        <w:widowControl w:val="0"/>
        <w:numPr>
          <w:ilvl w:val="1"/>
          <w:numId w:val="342"/>
        </w:numPr>
        <w:autoSpaceDE w:val="0"/>
        <w:autoSpaceDN w:val="0"/>
        <w:ind w:left="1560" w:right="60" w:hanging="284"/>
        <w:jc w:val="both"/>
        <w:rPr>
          <w:color w:val="000000" w:themeColor="text1"/>
          <w:szCs w:val="24"/>
        </w:rPr>
      </w:pPr>
      <w:r w:rsidRPr="00E45289">
        <w:rPr>
          <w:color w:val="000000" w:themeColor="text1"/>
          <w:w w:val="105"/>
          <w:szCs w:val="24"/>
        </w:rPr>
        <w:t>kategoria Cl - układy pomiarowo-rozliczeniowe dla urządzeń, instalacji lub sieci podmiotów zaliczonych do V grupy przyłączeniowej o mocy pobieranej lub wprowadzanej do sieci nie większej niż 40</w:t>
      </w:r>
      <w:r w:rsidRPr="00E45289">
        <w:rPr>
          <w:color w:val="000000" w:themeColor="text1"/>
          <w:spacing w:val="-15"/>
          <w:w w:val="105"/>
          <w:szCs w:val="24"/>
        </w:rPr>
        <w:t xml:space="preserve"> </w:t>
      </w:r>
      <w:r w:rsidRPr="00E45289">
        <w:rPr>
          <w:color w:val="000000" w:themeColor="text1"/>
          <w:w w:val="105"/>
          <w:szCs w:val="24"/>
        </w:rPr>
        <w:t>kW.</w:t>
      </w:r>
    </w:p>
    <w:p w14:paraId="09739FFF" w14:textId="77777777" w:rsidR="00572BA3" w:rsidRPr="00E45289" w:rsidRDefault="00572BA3" w:rsidP="00307FDE">
      <w:pPr>
        <w:ind w:left="1560" w:right="60" w:hanging="284"/>
        <w:jc w:val="both"/>
        <w:rPr>
          <w:rFonts w:eastAsia="Times New Roman"/>
          <w:color w:val="000000" w:themeColor="text1"/>
          <w:szCs w:val="24"/>
        </w:rPr>
      </w:pPr>
    </w:p>
    <w:p w14:paraId="66873C4E" w14:textId="77777777" w:rsidR="00E45289" w:rsidRPr="00E45289" w:rsidRDefault="00E45289" w:rsidP="00307FDE">
      <w:pPr>
        <w:pStyle w:val="Tekstpodstawowy"/>
        <w:spacing w:before="91" w:line="240" w:lineRule="auto"/>
        <w:ind w:left="1560" w:right="60"/>
        <w:rPr>
          <w:color w:val="000000" w:themeColor="text1"/>
          <w:szCs w:val="24"/>
        </w:rPr>
      </w:pPr>
      <w:r w:rsidRPr="00E45289">
        <w:rPr>
          <w:color w:val="000000" w:themeColor="text1"/>
          <w:w w:val="105"/>
          <w:szCs w:val="24"/>
        </w:rPr>
        <w:t>Wartość mocy pobieranej lub wprowadzanej do sieci jest wyznaczana na podstawie wskazań licznika konwencjonalnego lub licznika zdalnego odczytu. W przypadku gdy wartość</w:t>
      </w:r>
      <w:r w:rsidRPr="00E45289">
        <w:rPr>
          <w:color w:val="000000" w:themeColor="text1"/>
          <w:spacing w:val="-19"/>
          <w:w w:val="105"/>
          <w:szCs w:val="24"/>
        </w:rPr>
        <w:t xml:space="preserve"> </w:t>
      </w:r>
      <w:r w:rsidRPr="00E45289">
        <w:rPr>
          <w:color w:val="000000" w:themeColor="text1"/>
          <w:w w:val="105"/>
          <w:szCs w:val="24"/>
        </w:rPr>
        <w:t>mocy</w:t>
      </w:r>
      <w:r w:rsidRPr="00E45289">
        <w:rPr>
          <w:color w:val="000000" w:themeColor="text1"/>
          <w:spacing w:val="-16"/>
          <w:w w:val="105"/>
          <w:szCs w:val="24"/>
        </w:rPr>
        <w:t xml:space="preserve"> </w:t>
      </w:r>
      <w:r w:rsidRPr="00E45289">
        <w:rPr>
          <w:color w:val="000000" w:themeColor="text1"/>
          <w:w w:val="105"/>
          <w:szCs w:val="24"/>
        </w:rPr>
        <w:t>pobieranej</w:t>
      </w:r>
      <w:r w:rsidRPr="00E45289">
        <w:rPr>
          <w:color w:val="000000" w:themeColor="text1"/>
          <w:spacing w:val="-7"/>
          <w:w w:val="105"/>
          <w:szCs w:val="24"/>
        </w:rPr>
        <w:t xml:space="preserve"> </w:t>
      </w:r>
      <w:r w:rsidRPr="00E45289">
        <w:rPr>
          <w:color w:val="000000" w:themeColor="text1"/>
          <w:w w:val="105"/>
          <w:szCs w:val="24"/>
        </w:rPr>
        <w:t>lub</w:t>
      </w:r>
      <w:r w:rsidRPr="00E45289">
        <w:rPr>
          <w:color w:val="000000" w:themeColor="text1"/>
          <w:spacing w:val="-27"/>
          <w:w w:val="105"/>
          <w:szCs w:val="24"/>
        </w:rPr>
        <w:t xml:space="preserve"> </w:t>
      </w:r>
      <w:r w:rsidRPr="00E45289">
        <w:rPr>
          <w:color w:val="000000" w:themeColor="text1"/>
          <w:w w:val="105"/>
          <w:szCs w:val="24"/>
        </w:rPr>
        <w:t>wprowadzanej</w:t>
      </w:r>
      <w:r w:rsidRPr="00E45289">
        <w:rPr>
          <w:color w:val="000000" w:themeColor="text1"/>
          <w:spacing w:val="-13"/>
          <w:w w:val="105"/>
          <w:szCs w:val="24"/>
        </w:rPr>
        <w:t xml:space="preserve"> </w:t>
      </w:r>
      <w:r w:rsidRPr="00E45289">
        <w:rPr>
          <w:color w:val="000000" w:themeColor="text1"/>
          <w:w w:val="105"/>
          <w:szCs w:val="24"/>
        </w:rPr>
        <w:t>do</w:t>
      </w:r>
      <w:r w:rsidRPr="00E45289">
        <w:rPr>
          <w:color w:val="000000" w:themeColor="text1"/>
          <w:spacing w:val="-23"/>
          <w:w w:val="105"/>
          <w:szCs w:val="24"/>
        </w:rPr>
        <w:t xml:space="preserve"> </w:t>
      </w:r>
      <w:r w:rsidRPr="00E45289">
        <w:rPr>
          <w:color w:val="000000" w:themeColor="text1"/>
          <w:w w:val="105"/>
          <w:szCs w:val="24"/>
        </w:rPr>
        <w:t>sieci</w:t>
      </w:r>
      <w:r w:rsidRPr="00E45289">
        <w:rPr>
          <w:color w:val="000000" w:themeColor="text1"/>
          <w:spacing w:val="-13"/>
          <w:w w:val="105"/>
          <w:szCs w:val="24"/>
        </w:rPr>
        <w:t xml:space="preserve"> </w:t>
      </w:r>
      <w:r w:rsidRPr="00E45289">
        <w:rPr>
          <w:color w:val="000000" w:themeColor="text1"/>
          <w:w w:val="105"/>
          <w:szCs w:val="24"/>
        </w:rPr>
        <w:t>przez</w:t>
      </w:r>
      <w:r w:rsidRPr="00E45289">
        <w:rPr>
          <w:color w:val="000000" w:themeColor="text1"/>
          <w:spacing w:val="-19"/>
          <w:w w:val="105"/>
          <w:szCs w:val="24"/>
        </w:rPr>
        <w:t xml:space="preserve"> </w:t>
      </w:r>
      <w:r w:rsidRPr="00E45289">
        <w:rPr>
          <w:color w:val="000000" w:themeColor="text1"/>
          <w:w w:val="105"/>
          <w:szCs w:val="24"/>
        </w:rPr>
        <w:t>podmiot</w:t>
      </w:r>
      <w:r w:rsidRPr="00E45289">
        <w:rPr>
          <w:color w:val="000000" w:themeColor="text1"/>
          <w:spacing w:val="-21"/>
          <w:w w:val="105"/>
          <w:szCs w:val="24"/>
        </w:rPr>
        <w:t xml:space="preserve"> </w:t>
      </w:r>
      <w:r w:rsidRPr="00E45289">
        <w:rPr>
          <w:color w:val="000000" w:themeColor="text1"/>
          <w:w w:val="105"/>
          <w:szCs w:val="24"/>
        </w:rPr>
        <w:t>jest</w:t>
      </w:r>
      <w:r w:rsidRPr="00E45289">
        <w:rPr>
          <w:color w:val="000000" w:themeColor="text1"/>
          <w:spacing w:val="-15"/>
          <w:w w:val="105"/>
          <w:szCs w:val="24"/>
        </w:rPr>
        <w:t xml:space="preserve"> </w:t>
      </w:r>
      <w:r w:rsidRPr="00E45289">
        <w:rPr>
          <w:color w:val="000000" w:themeColor="text1"/>
          <w:w w:val="105"/>
          <w:szCs w:val="24"/>
        </w:rPr>
        <w:t>nieznana,</w:t>
      </w:r>
      <w:r w:rsidRPr="00E45289">
        <w:rPr>
          <w:color w:val="000000" w:themeColor="text1"/>
          <w:spacing w:val="-12"/>
          <w:w w:val="105"/>
          <w:szCs w:val="24"/>
        </w:rPr>
        <w:t xml:space="preserve"> </w:t>
      </w:r>
      <w:r w:rsidRPr="00E45289">
        <w:rPr>
          <w:color w:val="000000" w:themeColor="text1"/>
          <w:w w:val="105"/>
          <w:szCs w:val="24"/>
        </w:rPr>
        <w:t>wartość</w:t>
      </w:r>
      <w:r w:rsidRPr="00E45289">
        <w:rPr>
          <w:color w:val="000000" w:themeColor="text1"/>
          <w:w w:val="105"/>
          <w:szCs w:val="24"/>
          <w:lang w:val="pl-PL"/>
        </w:rPr>
        <w:t xml:space="preserve"> </w:t>
      </w:r>
      <w:r w:rsidRPr="00E45289">
        <w:rPr>
          <w:color w:val="000000" w:themeColor="text1"/>
          <w:w w:val="105"/>
          <w:szCs w:val="24"/>
        </w:rPr>
        <w:t>mocy pobieranej lub wprowadzanej do s1ec1 jest wyznaczana jako wartość mocy przyłączeniowej.</w:t>
      </w:r>
    </w:p>
    <w:p w14:paraId="6D215D24" w14:textId="12CD8EBC" w:rsidR="00E45289" w:rsidRPr="00E45289" w:rsidRDefault="00E45289" w:rsidP="00307FDE">
      <w:pPr>
        <w:pStyle w:val="Tekstpodstawowy"/>
        <w:spacing w:before="149" w:line="240" w:lineRule="auto"/>
        <w:ind w:left="1560" w:right="60"/>
        <w:rPr>
          <w:color w:val="000000" w:themeColor="text1"/>
          <w:szCs w:val="24"/>
        </w:rPr>
      </w:pPr>
      <w:r w:rsidRPr="00E45289">
        <w:rPr>
          <w:color w:val="000000" w:themeColor="text1"/>
          <w:w w:val="105"/>
          <w:szCs w:val="24"/>
        </w:rPr>
        <w:t>Dla podmiotów zaliczonych do VI grupy przyłączeniowej stosuje się kategorię układu pomiarowo-rozliczeniowego odpowiednią do poziomu napięcia w miejscu przyłączenia podmiotu do sieci i mocy pobieranej lub wprowadzanej do sieci.</w:t>
      </w:r>
    </w:p>
    <w:p w14:paraId="63EA7296" w14:textId="77777777" w:rsidR="00572BA3" w:rsidRPr="00F5231A" w:rsidRDefault="00572BA3">
      <w:pPr>
        <w:spacing w:line="134" w:lineRule="exact"/>
        <w:rPr>
          <w:rFonts w:eastAsia="Times New Roman"/>
          <w:szCs w:val="24"/>
        </w:rPr>
      </w:pPr>
    </w:p>
    <w:p w14:paraId="4C2EA08A" w14:textId="24D37D16" w:rsidR="00572BA3" w:rsidRPr="00F5231A" w:rsidRDefault="00572BA3" w:rsidP="00C0375B">
      <w:pPr>
        <w:tabs>
          <w:tab w:val="left" w:pos="1260"/>
        </w:tabs>
        <w:spacing w:line="234" w:lineRule="auto"/>
        <w:ind w:left="1280" w:right="2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.7.1.9</w:t>
      </w:r>
      <w:r w:rsidRPr="00C0375B">
        <w:rPr>
          <w:rFonts w:eastAsia="Times New Roman"/>
          <w:color w:val="000000" w:themeColor="text1"/>
          <w:szCs w:val="24"/>
        </w:rPr>
        <w:t>.</w:t>
      </w:r>
      <w:r w:rsidRPr="00C0375B">
        <w:rPr>
          <w:rFonts w:eastAsia="Times New Roman"/>
          <w:color w:val="000000" w:themeColor="text1"/>
          <w:szCs w:val="24"/>
        </w:rPr>
        <w:tab/>
      </w:r>
      <w:r w:rsidR="00C0375B" w:rsidRPr="00C0375B">
        <w:rPr>
          <w:color w:val="000000" w:themeColor="text1"/>
        </w:rPr>
        <w:t>Liczniki zdalnego odczytu powinny umożliwiać pomiar i rejestrację wartości zgodnie z załącznikiem nr 1 i 3 do rozporządzenia pomiarowego</w:t>
      </w:r>
      <w:r w:rsidR="00C0375B">
        <w:rPr>
          <w:color w:val="000000" w:themeColor="text1"/>
        </w:rPr>
        <w:t>.</w:t>
      </w:r>
    </w:p>
    <w:p w14:paraId="0EC178CB" w14:textId="27E2A40D" w:rsidR="00572BA3" w:rsidRPr="0041063F" w:rsidRDefault="00572BA3" w:rsidP="00C917FE">
      <w:pPr>
        <w:tabs>
          <w:tab w:val="left" w:pos="1260"/>
        </w:tabs>
        <w:spacing w:line="0" w:lineRule="atLeast"/>
        <w:ind w:left="1276" w:hanging="1276"/>
        <w:jc w:val="both"/>
        <w:rPr>
          <w:rFonts w:eastAsia="Times New Roman"/>
          <w:color w:val="000000" w:themeColor="text1"/>
          <w:szCs w:val="24"/>
        </w:rPr>
      </w:pPr>
      <w:r w:rsidRPr="00F5231A">
        <w:rPr>
          <w:rFonts w:eastAsia="Times New Roman"/>
          <w:szCs w:val="24"/>
        </w:rPr>
        <w:t>II.</w:t>
      </w:r>
      <w:r w:rsidR="000F528D">
        <w:rPr>
          <w:rFonts w:eastAsia="Times New Roman"/>
          <w:szCs w:val="24"/>
        </w:rPr>
        <w:t>3</w:t>
      </w:r>
      <w:r w:rsidRPr="00F5231A">
        <w:rPr>
          <w:rFonts w:eastAsia="Times New Roman"/>
          <w:szCs w:val="24"/>
        </w:rPr>
        <w:t>.7.1.10.</w:t>
      </w:r>
      <w:r w:rsidRPr="00F5231A">
        <w:rPr>
          <w:rFonts w:eastAsia="Times New Roman"/>
          <w:szCs w:val="24"/>
        </w:rPr>
        <w:tab/>
      </w:r>
      <w:r w:rsidR="00C917FE" w:rsidRPr="00C917FE">
        <w:rPr>
          <w:color w:val="000000" w:themeColor="text1"/>
          <w:w w:val="105"/>
        </w:rPr>
        <w:t xml:space="preserve">Dane pomiarowe z układów pomiarowo-rozliczeniowych są pozyskiwane </w:t>
      </w:r>
      <w:r w:rsidR="00C917FE">
        <w:rPr>
          <w:color w:val="000000" w:themeColor="text1"/>
          <w:w w:val="105"/>
        </w:rPr>
        <w:br/>
      </w:r>
      <w:r w:rsidR="00C917FE" w:rsidRPr="00C917FE">
        <w:rPr>
          <w:color w:val="000000" w:themeColor="text1"/>
          <w:w w:val="105"/>
        </w:rPr>
        <w:t xml:space="preserve">i przekazywane do LSPR. Wymagania dotyczące technologii transmisji danych </w:t>
      </w:r>
      <w:r w:rsidR="00C917FE" w:rsidRPr="0041063F">
        <w:rPr>
          <w:color w:val="000000" w:themeColor="text1"/>
          <w:w w:val="105"/>
        </w:rPr>
        <w:t>określa OSDn.</w:t>
      </w:r>
    </w:p>
    <w:p w14:paraId="0D476527" w14:textId="41B3AB3E" w:rsidR="00572BA3" w:rsidRPr="0041063F" w:rsidRDefault="00572BA3" w:rsidP="0041063F">
      <w:pPr>
        <w:tabs>
          <w:tab w:val="left" w:pos="1260"/>
        </w:tabs>
        <w:spacing w:line="233" w:lineRule="auto"/>
        <w:ind w:left="1280" w:right="20" w:hanging="1279"/>
        <w:jc w:val="both"/>
        <w:rPr>
          <w:rFonts w:eastAsia="Times New Roman"/>
          <w:color w:val="000000" w:themeColor="text1"/>
          <w:szCs w:val="24"/>
        </w:rPr>
      </w:pPr>
      <w:r w:rsidRPr="0041063F">
        <w:rPr>
          <w:rFonts w:eastAsia="Times New Roman"/>
          <w:color w:val="000000" w:themeColor="text1"/>
          <w:szCs w:val="24"/>
        </w:rPr>
        <w:t>II.</w:t>
      </w:r>
      <w:r w:rsidR="000F528D" w:rsidRPr="0041063F">
        <w:rPr>
          <w:rFonts w:eastAsia="Times New Roman"/>
          <w:color w:val="000000" w:themeColor="text1"/>
          <w:szCs w:val="24"/>
        </w:rPr>
        <w:t>3</w:t>
      </w:r>
      <w:r w:rsidRPr="0041063F">
        <w:rPr>
          <w:rFonts w:eastAsia="Times New Roman"/>
          <w:color w:val="000000" w:themeColor="text1"/>
          <w:szCs w:val="24"/>
        </w:rPr>
        <w:t>.7.1.11.</w:t>
      </w:r>
      <w:r w:rsidRPr="0041063F">
        <w:rPr>
          <w:rFonts w:eastAsia="Times New Roman"/>
          <w:color w:val="000000" w:themeColor="text1"/>
          <w:szCs w:val="24"/>
        </w:rPr>
        <w:tab/>
      </w:r>
      <w:r w:rsidR="0041063F" w:rsidRPr="0041063F">
        <w:rPr>
          <w:color w:val="000000" w:themeColor="text1"/>
          <w:w w:val="105"/>
        </w:rPr>
        <w:t>Dla układów pomiarowo-rozliczeniowych kategorii B3 wymagane jest stosowanie dwóch układów pomiarowo-rozliczeniowych - układu pomiarowo­ rozliczeniowego podstawowego i układu pomiarowo-rozliczeniowego rezerwowego.</w:t>
      </w:r>
    </w:p>
    <w:p w14:paraId="1718DB69" w14:textId="5AC3874D" w:rsidR="004A4BD0" w:rsidRPr="004A4BD0" w:rsidRDefault="00572BA3" w:rsidP="004A4BD0">
      <w:pPr>
        <w:pStyle w:val="Tekstpodstawowy"/>
        <w:spacing w:before="126" w:line="271" w:lineRule="auto"/>
        <w:ind w:left="1276" w:right="60" w:hanging="1276"/>
        <w:rPr>
          <w:color w:val="000000" w:themeColor="text1"/>
        </w:rPr>
      </w:pPr>
      <w:r w:rsidRPr="00F5231A">
        <w:rPr>
          <w:szCs w:val="24"/>
        </w:rPr>
        <w:t>II.</w:t>
      </w:r>
      <w:r w:rsidR="000F528D">
        <w:rPr>
          <w:szCs w:val="24"/>
        </w:rPr>
        <w:t>3</w:t>
      </w:r>
      <w:r w:rsidRPr="00F5231A">
        <w:rPr>
          <w:szCs w:val="24"/>
        </w:rPr>
        <w:t>.7.1.1</w:t>
      </w:r>
      <w:r w:rsidRPr="004A4BD0">
        <w:rPr>
          <w:color w:val="000000" w:themeColor="text1"/>
          <w:szCs w:val="24"/>
        </w:rPr>
        <w:t>2.</w:t>
      </w:r>
      <w:r w:rsidRPr="004A4BD0">
        <w:rPr>
          <w:color w:val="000000" w:themeColor="text1"/>
          <w:szCs w:val="24"/>
        </w:rPr>
        <w:tab/>
      </w:r>
      <w:r w:rsidR="004A4BD0" w:rsidRPr="004A4BD0">
        <w:rPr>
          <w:color w:val="000000" w:themeColor="text1"/>
          <w:w w:val="105"/>
        </w:rPr>
        <w:t xml:space="preserve">Miejsce zainstalowania układu pomiarowo-rozliczeniowego określa </w:t>
      </w:r>
      <w:r w:rsidR="00667158">
        <w:rPr>
          <w:color w:val="000000" w:themeColor="text1"/>
          <w:w w:val="105"/>
          <w:lang w:val="pl-PL"/>
        </w:rPr>
        <w:t>OSDn</w:t>
      </w:r>
      <w:r w:rsidR="004A4BD0" w:rsidRPr="004A4BD0">
        <w:rPr>
          <w:color w:val="000000" w:themeColor="text1"/>
          <w:w w:val="105"/>
        </w:rPr>
        <w:t xml:space="preserve">, </w:t>
      </w:r>
      <w:r w:rsidR="00667158">
        <w:rPr>
          <w:color w:val="000000" w:themeColor="text1"/>
          <w:w w:val="105"/>
        </w:rPr>
        <w:br/>
      </w:r>
      <w:r w:rsidR="004A4BD0" w:rsidRPr="004A4BD0">
        <w:rPr>
          <w:color w:val="000000" w:themeColor="text1"/>
          <w:w w:val="105"/>
        </w:rPr>
        <w:t>w warunkach przyłączenia. Dodatkowo informacja o miejscu zainstalowania układu pomiarowo-rozliczeniowego może być zawarta w umowie dystrybucji albo w umowie kompleksowej.</w:t>
      </w:r>
    </w:p>
    <w:p w14:paraId="2FA5FCC0" w14:textId="10EECB18" w:rsidR="004A4BD0" w:rsidRPr="004A4BD0" w:rsidRDefault="004A4BD0" w:rsidP="00667158">
      <w:pPr>
        <w:pStyle w:val="Tekstpodstawowy"/>
        <w:spacing w:before="155" w:line="273" w:lineRule="auto"/>
        <w:ind w:left="1276" w:right="60" w:firstLine="1"/>
        <w:rPr>
          <w:color w:val="000000" w:themeColor="text1"/>
        </w:rPr>
      </w:pPr>
      <w:r w:rsidRPr="004A4BD0">
        <w:rPr>
          <w:color w:val="000000" w:themeColor="text1"/>
          <w:w w:val="105"/>
        </w:rPr>
        <w:t xml:space="preserve">W przypadku podmiotów zaliczonych  do III i VI grupy przyłączeniowej zasilanych  z sieci o napięciu znamionowym wyższym niż 1 kV, podmiot ten </w:t>
      </w:r>
      <w:r w:rsidRPr="004A4BD0">
        <w:rPr>
          <w:color w:val="000000" w:themeColor="text1"/>
          <w:w w:val="105"/>
        </w:rPr>
        <w:lastRenderedPageBreak/>
        <w:t>odpowiada za przygotowanie miejsca zainstalowania licznika zdalnego odczytu lub licznika konwencjonalnego, w przypadku układu  pomiarowo-rozliczeniowego zlokalizowanego w obiekcie będącym w eksploatacji tego</w:t>
      </w:r>
      <w:r w:rsidRPr="004A4BD0">
        <w:rPr>
          <w:color w:val="000000" w:themeColor="text1"/>
          <w:spacing w:val="8"/>
          <w:w w:val="105"/>
        </w:rPr>
        <w:t xml:space="preserve"> </w:t>
      </w:r>
      <w:r w:rsidRPr="004A4BD0">
        <w:rPr>
          <w:color w:val="000000" w:themeColor="text1"/>
          <w:w w:val="105"/>
        </w:rPr>
        <w:t>podmiotu.</w:t>
      </w:r>
    </w:p>
    <w:p w14:paraId="070049FC" w14:textId="0064194F" w:rsidR="00572BA3" w:rsidRPr="004A4BD0" w:rsidRDefault="004A4BD0" w:rsidP="00667158">
      <w:pPr>
        <w:tabs>
          <w:tab w:val="left" w:pos="1260"/>
        </w:tabs>
        <w:spacing w:line="237" w:lineRule="auto"/>
        <w:ind w:left="1280" w:right="60" w:hanging="4"/>
        <w:jc w:val="both"/>
        <w:rPr>
          <w:rFonts w:eastAsia="Times New Roman"/>
          <w:color w:val="000000" w:themeColor="text1"/>
          <w:szCs w:val="24"/>
        </w:rPr>
      </w:pPr>
      <w:r w:rsidRPr="004A4BD0">
        <w:rPr>
          <w:color w:val="000000" w:themeColor="text1"/>
          <w:w w:val="105"/>
        </w:rPr>
        <w:t>W przypadku podmiotów zaliczonych do IV, V i VI grupy przyłączeniowej zasilanych z sieci o napięciu znamionowym nie wyższym niż 1 kV, podmiot ten odpowiada za przygotowanie miejsca zainstalowania układu pomiarowo-rozliczeniowego, w przypadku układu pomiarowo-rozliczeniowego zlokalizowanego w obiekcie przyłączonym do</w:t>
      </w:r>
      <w:r w:rsidRPr="004A4BD0">
        <w:rPr>
          <w:color w:val="000000" w:themeColor="text1"/>
          <w:spacing w:val="-41"/>
          <w:w w:val="105"/>
        </w:rPr>
        <w:t xml:space="preserve"> </w:t>
      </w:r>
      <w:r w:rsidRPr="004A4BD0">
        <w:rPr>
          <w:color w:val="000000" w:themeColor="text1"/>
          <w:w w:val="105"/>
        </w:rPr>
        <w:t>sieci</w:t>
      </w:r>
      <w:r w:rsidR="00667158">
        <w:rPr>
          <w:color w:val="000000" w:themeColor="text1"/>
          <w:w w:val="105"/>
        </w:rPr>
        <w:t>.</w:t>
      </w:r>
    </w:p>
    <w:p w14:paraId="488EC18D" w14:textId="6714CBE2" w:rsidR="004F2426" w:rsidRPr="004F2426" w:rsidRDefault="00572BA3" w:rsidP="004F2426">
      <w:pPr>
        <w:pStyle w:val="Tekstpodstawowy"/>
        <w:spacing w:before="132" w:line="271" w:lineRule="auto"/>
        <w:ind w:left="1276" w:right="60" w:hanging="1275"/>
        <w:rPr>
          <w:color w:val="000000" w:themeColor="text1"/>
        </w:rPr>
      </w:pPr>
      <w:r w:rsidRPr="004F2426">
        <w:rPr>
          <w:color w:val="000000" w:themeColor="text1"/>
          <w:szCs w:val="24"/>
        </w:rPr>
        <w:t>II.</w:t>
      </w:r>
      <w:r w:rsidR="000F528D" w:rsidRPr="004F2426">
        <w:rPr>
          <w:color w:val="000000" w:themeColor="text1"/>
          <w:szCs w:val="24"/>
        </w:rPr>
        <w:t>3.</w:t>
      </w:r>
      <w:r w:rsidRPr="004F2426">
        <w:rPr>
          <w:color w:val="000000" w:themeColor="text1"/>
          <w:szCs w:val="24"/>
        </w:rPr>
        <w:t>7.1.13.</w:t>
      </w:r>
      <w:r w:rsidRPr="004F2426">
        <w:rPr>
          <w:color w:val="000000" w:themeColor="text1"/>
          <w:szCs w:val="24"/>
        </w:rPr>
        <w:tab/>
      </w:r>
      <w:r w:rsidR="004F2426" w:rsidRPr="004F2426">
        <w:rPr>
          <w:color w:val="000000" w:themeColor="text1"/>
          <w:w w:val="105"/>
        </w:rPr>
        <w:t>Przekładniki</w:t>
      </w:r>
      <w:r w:rsidR="004F2426" w:rsidRPr="004F2426">
        <w:rPr>
          <w:color w:val="000000" w:themeColor="text1"/>
          <w:spacing w:val="-5"/>
          <w:w w:val="105"/>
        </w:rPr>
        <w:t xml:space="preserve"> </w:t>
      </w:r>
      <w:r w:rsidR="004F2426" w:rsidRPr="004F2426">
        <w:rPr>
          <w:color w:val="000000" w:themeColor="text1"/>
          <w:w w:val="105"/>
        </w:rPr>
        <w:t>prądowe</w:t>
      </w:r>
      <w:r w:rsidR="004F2426" w:rsidRPr="004F2426">
        <w:rPr>
          <w:color w:val="000000" w:themeColor="text1"/>
          <w:spacing w:val="-11"/>
          <w:w w:val="105"/>
        </w:rPr>
        <w:t xml:space="preserve"> </w:t>
      </w:r>
      <w:r w:rsidR="004F2426" w:rsidRPr="004F2426">
        <w:rPr>
          <w:color w:val="000000" w:themeColor="text1"/>
          <w:w w:val="105"/>
        </w:rPr>
        <w:t>i</w:t>
      </w:r>
      <w:r w:rsidR="004F2426" w:rsidRPr="004F2426">
        <w:rPr>
          <w:color w:val="000000" w:themeColor="text1"/>
          <w:spacing w:val="-21"/>
          <w:w w:val="105"/>
        </w:rPr>
        <w:t xml:space="preserve"> </w:t>
      </w:r>
      <w:r w:rsidR="004F2426" w:rsidRPr="004F2426">
        <w:rPr>
          <w:color w:val="000000" w:themeColor="text1"/>
          <w:w w:val="105"/>
        </w:rPr>
        <w:t>napięciowe</w:t>
      </w:r>
      <w:r w:rsidR="004F2426" w:rsidRPr="004F2426">
        <w:rPr>
          <w:color w:val="000000" w:themeColor="text1"/>
          <w:spacing w:val="-13"/>
          <w:w w:val="105"/>
        </w:rPr>
        <w:t xml:space="preserve"> </w:t>
      </w:r>
      <w:r w:rsidR="004F2426" w:rsidRPr="004F2426">
        <w:rPr>
          <w:color w:val="000000" w:themeColor="text1"/>
          <w:w w:val="105"/>
        </w:rPr>
        <w:t>powinny</w:t>
      </w:r>
      <w:r w:rsidR="004F2426" w:rsidRPr="004F2426">
        <w:rPr>
          <w:color w:val="000000" w:themeColor="text1"/>
          <w:spacing w:val="-13"/>
          <w:w w:val="105"/>
        </w:rPr>
        <w:t xml:space="preserve"> </w:t>
      </w:r>
      <w:r w:rsidR="004F2426" w:rsidRPr="004F2426">
        <w:rPr>
          <w:color w:val="000000" w:themeColor="text1"/>
          <w:w w:val="105"/>
        </w:rPr>
        <w:t>być</w:t>
      </w:r>
      <w:r w:rsidR="004F2426" w:rsidRPr="004F2426">
        <w:rPr>
          <w:color w:val="000000" w:themeColor="text1"/>
          <w:spacing w:val="-24"/>
          <w:w w:val="105"/>
        </w:rPr>
        <w:t xml:space="preserve"> </w:t>
      </w:r>
      <w:r w:rsidR="004F2426" w:rsidRPr="004F2426">
        <w:rPr>
          <w:color w:val="000000" w:themeColor="text1"/>
          <w:w w:val="105"/>
        </w:rPr>
        <w:t>dobrane</w:t>
      </w:r>
      <w:r w:rsidR="004F2426" w:rsidRPr="004F2426">
        <w:rPr>
          <w:color w:val="000000" w:themeColor="text1"/>
          <w:spacing w:val="-21"/>
          <w:w w:val="105"/>
        </w:rPr>
        <w:t xml:space="preserve"> </w:t>
      </w:r>
      <w:r w:rsidR="004F2426" w:rsidRPr="004F2426">
        <w:rPr>
          <w:color w:val="000000" w:themeColor="text1"/>
          <w:w w:val="105"/>
        </w:rPr>
        <w:t>zgodnie</w:t>
      </w:r>
      <w:r w:rsidR="004F2426" w:rsidRPr="004F2426">
        <w:rPr>
          <w:color w:val="000000" w:themeColor="text1"/>
          <w:spacing w:val="-14"/>
          <w:w w:val="105"/>
        </w:rPr>
        <w:t xml:space="preserve"> </w:t>
      </w:r>
      <w:r w:rsidR="004F2426" w:rsidRPr="004F2426">
        <w:rPr>
          <w:color w:val="000000" w:themeColor="text1"/>
          <w:w w:val="105"/>
        </w:rPr>
        <w:t>z</w:t>
      </w:r>
      <w:r w:rsidR="004F2426" w:rsidRPr="004F2426">
        <w:rPr>
          <w:color w:val="000000" w:themeColor="text1"/>
          <w:spacing w:val="-27"/>
          <w:w w:val="105"/>
        </w:rPr>
        <w:t xml:space="preserve"> </w:t>
      </w:r>
      <w:r w:rsidR="004F2426" w:rsidRPr="004F2426">
        <w:rPr>
          <w:color w:val="000000" w:themeColor="text1"/>
          <w:w w:val="105"/>
        </w:rPr>
        <w:t xml:space="preserve">kategorią układu pomiarowo-rozliczeniowego określoną w pkt </w:t>
      </w:r>
      <w:r w:rsidR="004F2426">
        <w:rPr>
          <w:color w:val="000000" w:themeColor="text1"/>
          <w:w w:val="105"/>
          <w:lang w:val="pl-PL"/>
        </w:rPr>
        <w:t>II</w:t>
      </w:r>
      <w:r w:rsidR="004F2426" w:rsidRPr="004F2426">
        <w:rPr>
          <w:color w:val="000000" w:themeColor="text1"/>
          <w:w w:val="105"/>
        </w:rPr>
        <w:t>.</w:t>
      </w:r>
      <w:r w:rsidR="004F2426">
        <w:rPr>
          <w:color w:val="000000" w:themeColor="text1"/>
          <w:w w:val="105"/>
          <w:lang w:val="pl-PL"/>
        </w:rPr>
        <w:t>3</w:t>
      </w:r>
      <w:r w:rsidR="004F2426" w:rsidRPr="004F2426">
        <w:rPr>
          <w:color w:val="000000" w:themeColor="text1"/>
          <w:w w:val="105"/>
        </w:rPr>
        <w:t>.7.2. i zainstalowane  w każdej z faz. Prąd znamionowy przekładników prądowych winien być dostosowany do mocy umownej, tak aby prąd pierwotny wynikający z mocy umownej mieścił się w</w:t>
      </w:r>
      <w:r w:rsidR="004F2426" w:rsidRPr="004F2426">
        <w:rPr>
          <w:color w:val="000000" w:themeColor="text1"/>
          <w:spacing w:val="-29"/>
          <w:w w:val="105"/>
        </w:rPr>
        <w:t xml:space="preserve"> </w:t>
      </w:r>
      <w:r w:rsidR="004F2426" w:rsidRPr="004F2426">
        <w:rPr>
          <w:color w:val="000000" w:themeColor="text1"/>
          <w:w w:val="105"/>
        </w:rPr>
        <w:t>granicach:</w:t>
      </w:r>
    </w:p>
    <w:p w14:paraId="27A42A59" w14:textId="77777777" w:rsidR="004F2426" w:rsidRPr="00B26FED" w:rsidRDefault="004F2426">
      <w:pPr>
        <w:pStyle w:val="Akapitzlist"/>
        <w:widowControl w:val="0"/>
        <w:numPr>
          <w:ilvl w:val="0"/>
          <w:numId w:val="343"/>
        </w:numPr>
        <w:autoSpaceDE w:val="0"/>
        <w:autoSpaceDN w:val="0"/>
        <w:spacing w:before="154"/>
        <w:ind w:left="1560" w:right="60" w:hanging="284"/>
        <w:jc w:val="both"/>
        <w:rPr>
          <w:color w:val="000000" w:themeColor="text1"/>
          <w:szCs w:val="24"/>
        </w:rPr>
      </w:pPr>
      <w:r w:rsidRPr="00B26FED">
        <w:rPr>
          <w:color w:val="000000" w:themeColor="text1"/>
          <w:w w:val="105"/>
          <w:szCs w:val="24"/>
        </w:rPr>
        <w:t>20 - 120 % ich prądu znamionowego dla klasy 0,5,</w:t>
      </w:r>
      <w:r w:rsidRPr="00B26FED">
        <w:rPr>
          <w:color w:val="000000" w:themeColor="text1"/>
          <w:spacing w:val="8"/>
          <w:w w:val="105"/>
          <w:szCs w:val="24"/>
        </w:rPr>
        <w:t xml:space="preserve"> </w:t>
      </w:r>
      <w:r w:rsidRPr="00B26FED">
        <w:rPr>
          <w:color w:val="000000" w:themeColor="text1"/>
          <w:w w:val="105"/>
          <w:szCs w:val="24"/>
        </w:rPr>
        <w:t>albo</w:t>
      </w:r>
    </w:p>
    <w:p w14:paraId="5FF94FED" w14:textId="77777777" w:rsidR="004F2426" w:rsidRPr="00B26FED" w:rsidRDefault="004F2426">
      <w:pPr>
        <w:pStyle w:val="Akapitzlist"/>
        <w:widowControl w:val="0"/>
        <w:numPr>
          <w:ilvl w:val="0"/>
          <w:numId w:val="343"/>
        </w:numPr>
        <w:autoSpaceDE w:val="0"/>
        <w:autoSpaceDN w:val="0"/>
        <w:spacing w:before="11"/>
        <w:ind w:left="1560" w:right="60" w:hanging="284"/>
        <w:jc w:val="both"/>
        <w:rPr>
          <w:color w:val="000000" w:themeColor="text1"/>
          <w:szCs w:val="24"/>
        </w:rPr>
      </w:pPr>
      <w:r w:rsidRPr="00B26FED">
        <w:rPr>
          <w:color w:val="000000" w:themeColor="text1"/>
          <w:w w:val="105"/>
          <w:szCs w:val="24"/>
        </w:rPr>
        <w:t>5 - 120 % ich prądu znamionowego dla klasy 0,2 lub 0,5S,</w:t>
      </w:r>
      <w:r w:rsidRPr="00B26FED">
        <w:rPr>
          <w:color w:val="000000" w:themeColor="text1"/>
          <w:spacing w:val="-39"/>
          <w:w w:val="105"/>
          <w:szCs w:val="24"/>
        </w:rPr>
        <w:t xml:space="preserve"> </w:t>
      </w:r>
      <w:r w:rsidRPr="00B26FED">
        <w:rPr>
          <w:color w:val="000000" w:themeColor="text1"/>
          <w:w w:val="105"/>
          <w:szCs w:val="24"/>
        </w:rPr>
        <w:t>albo</w:t>
      </w:r>
    </w:p>
    <w:p w14:paraId="47A68616" w14:textId="77777777" w:rsidR="004F2426" w:rsidRPr="00B26FED" w:rsidRDefault="004F2426">
      <w:pPr>
        <w:pStyle w:val="Akapitzlist"/>
        <w:widowControl w:val="0"/>
        <w:numPr>
          <w:ilvl w:val="0"/>
          <w:numId w:val="343"/>
        </w:numPr>
        <w:autoSpaceDE w:val="0"/>
        <w:autoSpaceDN w:val="0"/>
        <w:spacing w:before="91"/>
        <w:ind w:left="1560" w:right="60" w:hanging="284"/>
        <w:jc w:val="both"/>
        <w:rPr>
          <w:color w:val="000000" w:themeColor="text1"/>
          <w:szCs w:val="24"/>
        </w:rPr>
      </w:pPr>
      <w:r w:rsidRPr="00B26FED">
        <w:rPr>
          <w:color w:val="000000" w:themeColor="text1"/>
          <w:szCs w:val="24"/>
        </w:rPr>
        <w:t>1 - 120 % ich prądu znamionowego dla klasy</w:t>
      </w:r>
      <w:r w:rsidRPr="00B26FED">
        <w:rPr>
          <w:color w:val="000000" w:themeColor="text1"/>
          <w:spacing w:val="17"/>
          <w:szCs w:val="24"/>
        </w:rPr>
        <w:t xml:space="preserve"> </w:t>
      </w:r>
      <w:r w:rsidRPr="00B26FED">
        <w:rPr>
          <w:color w:val="000000" w:themeColor="text1"/>
          <w:szCs w:val="24"/>
        </w:rPr>
        <w:t>0,2S.</w:t>
      </w:r>
    </w:p>
    <w:p w14:paraId="5A72C8F7" w14:textId="3FB7F5DC" w:rsidR="004F2426" w:rsidRPr="004F2426" w:rsidRDefault="004F2426" w:rsidP="00B26FED">
      <w:pPr>
        <w:pStyle w:val="Tekstpodstawowy"/>
        <w:spacing w:before="16" w:line="271" w:lineRule="auto"/>
        <w:ind w:left="1276" w:right="60" w:firstLine="7"/>
        <w:rPr>
          <w:color w:val="000000" w:themeColor="text1"/>
        </w:rPr>
      </w:pPr>
      <w:r w:rsidRPr="00B26FED">
        <w:rPr>
          <w:color w:val="000000" w:themeColor="text1"/>
          <w:w w:val="105"/>
          <w:szCs w:val="24"/>
        </w:rPr>
        <w:t xml:space="preserve">W uzasadnionych przypadkach, za zgodą </w:t>
      </w:r>
      <w:r w:rsidR="00B26FED">
        <w:rPr>
          <w:color w:val="000000" w:themeColor="text1"/>
          <w:w w:val="105"/>
          <w:szCs w:val="24"/>
          <w:lang w:val="pl-PL"/>
        </w:rPr>
        <w:t>OSDn</w:t>
      </w:r>
      <w:r w:rsidRPr="00B26FED">
        <w:rPr>
          <w:color w:val="000000" w:themeColor="text1"/>
          <w:w w:val="105"/>
          <w:szCs w:val="24"/>
        </w:rPr>
        <w:t>, dopuszcza się stosowanie przekładników prądowych o przeciążalności do 200% prądu znamionowego, przy zachowaniu</w:t>
      </w:r>
      <w:r w:rsidRPr="004F2426">
        <w:rPr>
          <w:color w:val="000000" w:themeColor="text1"/>
          <w:w w:val="105"/>
        </w:rPr>
        <w:t xml:space="preserve"> dokładności pomiaru wymaganego w danej klasie.</w:t>
      </w:r>
    </w:p>
    <w:p w14:paraId="70124E53" w14:textId="5F2A0D91" w:rsidR="00572BA3" w:rsidRPr="009B426E" w:rsidRDefault="004F2426" w:rsidP="00B26FED">
      <w:pPr>
        <w:spacing w:line="0" w:lineRule="atLeast"/>
        <w:ind w:left="1276" w:right="60"/>
        <w:jc w:val="both"/>
        <w:rPr>
          <w:rFonts w:eastAsia="Times New Roman"/>
          <w:color w:val="000000" w:themeColor="text1"/>
          <w:szCs w:val="24"/>
        </w:rPr>
      </w:pPr>
      <w:r w:rsidRPr="009B426E">
        <w:rPr>
          <w:color w:val="000000" w:themeColor="text1"/>
          <w:w w:val="105"/>
        </w:rPr>
        <w:t>Przekładniki prądowe i napięciowe powinny być tak dobrane, aby obciążenie strony wtórnej zawierało się miedzy 25%, a 100% wartości nominalnej mocy uzwojeń/rdzeni przekładników</w:t>
      </w:r>
      <w:r w:rsidR="0013068C" w:rsidRPr="009B426E">
        <w:rPr>
          <w:color w:val="000000" w:themeColor="text1"/>
          <w:w w:val="105"/>
        </w:rPr>
        <w:t>.</w:t>
      </w:r>
    </w:p>
    <w:p w14:paraId="0953C815" w14:textId="1110F129" w:rsidR="00572BA3" w:rsidRPr="009B426E" w:rsidRDefault="00572BA3" w:rsidP="00F5231A">
      <w:pPr>
        <w:tabs>
          <w:tab w:val="left" w:pos="1260"/>
        </w:tabs>
        <w:spacing w:line="234" w:lineRule="auto"/>
        <w:ind w:left="1280" w:right="20" w:hanging="1279"/>
        <w:jc w:val="both"/>
        <w:rPr>
          <w:rFonts w:eastAsia="Times New Roman"/>
          <w:color w:val="000000" w:themeColor="text1"/>
          <w:szCs w:val="24"/>
        </w:rPr>
      </w:pPr>
      <w:r w:rsidRPr="009B426E">
        <w:rPr>
          <w:rFonts w:eastAsia="Times New Roman"/>
          <w:color w:val="000000" w:themeColor="text1"/>
          <w:szCs w:val="24"/>
        </w:rPr>
        <w:t>II.</w:t>
      </w:r>
      <w:r w:rsidR="000F528D" w:rsidRPr="009B426E">
        <w:rPr>
          <w:rFonts w:eastAsia="Times New Roman"/>
          <w:color w:val="000000" w:themeColor="text1"/>
          <w:szCs w:val="24"/>
        </w:rPr>
        <w:t>3</w:t>
      </w:r>
      <w:r w:rsidRPr="009B426E">
        <w:rPr>
          <w:rFonts w:eastAsia="Times New Roman"/>
          <w:color w:val="000000" w:themeColor="text1"/>
          <w:szCs w:val="24"/>
        </w:rPr>
        <w:t>.7.1.14.</w:t>
      </w:r>
      <w:r w:rsidRPr="009B426E">
        <w:rPr>
          <w:rFonts w:eastAsia="Times New Roman"/>
          <w:color w:val="000000" w:themeColor="text1"/>
          <w:szCs w:val="24"/>
        </w:rPr>
        <w:tab/>
      </w:r>
      <w:r w:rsidR="009B426E" w:rsidRPr="009B426E">
        <w:rPr>
          <w:color w:val="000000" w:themeColor="text1"/>
          <w:w w:val="105"/>
        </w:rPr>
        <w:t xml:space="preserve">Do   pomiarowego    uzwojenia    wtórnego    przekładników    prądowych </w:t>
      </w:r>
      <w:r w:rsidR="009B426E">
        <w:rPr>
          <w:color w:val="000000" w:themeColor="text1"/>
          <w:w w:val="105"/>
        </w:rPr>
        <w:br/>
      </w:r>
      <w:r w:rsidR="009B426E" w:rsidRPr="009B426E">
        <w:rPr>
          <w:color w:val="000000" w:themeColor="text1"/>
          <w:w w:val="105"/>
        </w:rPr>
        <w:t>i napięciowych w układach pomiarowo-rozliczeniowych nie można przyłączać innych przyrządów poza licznikami energii elektrycznej i analizatorami jakości energii elektrycznej. W uzasadnionych przypadkach dopuszcza się dociążenie przekładników prądowych i napięciowych atestowanymi</w:t>
      </w:r>
      <w:r w:rsidR="009B426E">
        <w:rPr>
          <w:color w:val="000000" w:themeColor="text1"/>
          <w:w w:val="105"/>
        </w:rPr>
        <w:t xml:space="preserve"> </w:t>
      </w:r>
      <w:r w:rsidR="009B426E" w:rsidRPr="009B426E">
        <w:rPr>
          <w:color w:val="000000" w:themeColor="text1"/>
          <w:w w:val="105"/>
        </w:rPr>
        <w:t>rezystorami  dociążającymi instalowanymi w obudowach przystosowanych do</w:t>
      </w:r>
      <w:r w:rsidR="009B426E" w:rsidRPr="009B426E">
        <w:rPr>
          <w:color w:val="000000" w:themeColor="text1"/>
          <w:spacing w:val="-32"/>
          <w:w w:val="105"/>
        </w:rPr>
        <w:t xml:space="preserve"> </w:t>
      </w:r>
      <w:r w:rsidR="009B426E" w:rsidRPr="009B426E">
        <w:rPr>
          <w:color w:val="000000" w:themeColor="text1"/>
          <w:w w:val="105"/>
        </w:rPr>
        <w:t>plombowania</w:t>
      </w:r>
      <w:r w:rsidRPr="009B426E">
        <w:rPr>
          <w:rFonts w:eastAsia="Times New Roman"/>
          <w:color w:val="000000" w:themeColor="text1"/>
          <w:szCs w:val="24"/>
        </w:rPr>
        <w:t>.</w:t>
      </w:r>
    </w:p>
    <w:p w14:paraId="6E2F7FE7" w14:textId="77777777" w:rsidR="00572BA3" w:rsidRPr="00F5231A" w:rsidRDefault="00572BA3" w:rsidP="00F5231A">
      <w:pPr>
        <w:tabs>
          <w:tab w:val="left" w:pos="1260"/>
        </w:tabs>
        <w:spacing w:line="234" w:lineRule="auto"/>
        <w:ind w:left="1280" w:right="2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.7.1.15.</w:t>
      </w:r>
      <w:r w:rsidRPr="00F5231A">
        <w:rPr>
          <w:rFonts w:eastAsia="Times New Roman"/>
          <w:szCs w:val="24"/>
        </w:rPr>
        <w:tab/>
        <w:t>Współczynnik bezpieczeństwa przyrządu (FS) dl</w:t>
      </w:r>
      <w:r w:rsidR="00B51938">
        <w:rPr>
          <w:rFonts w:eastAsia="Times New Roman"/>
          <w:szCs w:val="24"/>
        </w:rPr>
        <w:t>a</w:t>
      </w:r>
      <w:r w:rsidRPr="00F5231A">
        <w:rPr>
          <w:rFonts w:eastAsia="Times New Roman"/>
          <w:szCs w:val="24"/>
        </w:rPr>
        <w:t xml:space="preserve"> przekładników prądowych </w:t>
      </w:r>
      <w:r w:rsidR="00B51938">
        <w:rPr>
          <w:rFonts w:eastAsia="Times New Roman"/>
          <w:szCs w:val="24"/>
        </w:rPr>
        <w:br/>
      </w:r>
      <w:r w:rsidRPr="00F5231A">
        <w:rPr>
          <w:rFonts w:eastAsia="Times New Roman"/>
          <w:szCs w:val="24"/>
        </w:rPr>
        <w:t>w układach pomiarowych podstawowych i rezerwowych nowobudowanych</w:t>
      </w:r>
      <w:r w:rsidR="00F5231A" w:rsidRPr="00F5231A">
        <w:rPr>
          <w:rFonts w:eastAsia="Times New Roman"/>
          <w:szCs w:val="24"/>
        </w:rPr>
        <w:t xml:space="preserve"> </w:t>
      </w:r>
      <w:r w:rsidRPr="00F5231A">
        <w:rPr>
          <w:rFonts w:eastAsia="Times New Roman"/>
          <w:szCs w:val="24"/>
        </w:rPr>
        <w:t>modernizowanych powinien być ≤5. W przypadku modernizacji układów pomiarowo-rozliczeniowych dopuszcza się pozostawienie dotychczasowych przekładników prądowych o współczynniku FS &gt; 5, o ile spełniają one pozostałe wymagania IRiESD.</w:t>
      </w:r>
    </w:p>
    <w:p w14:paraId="2F4ABC8D" w14:textId="77777777" w:rsidR="00572BA3" w:rsidRPr="00F5231A" w:rsidRDefault="00572BA3">
      <w:pPr>
        <w:tabs>
          <w:tab w:val="left" w:pos="1260"/>
        </w:tabs>
        <w:spacing w:line="237" w:lineRule="auto"/>
        <w:ind w:left="128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.7.1.16.</w:t>
      </w:r>
      <w:r w:rsidRPr="00F5231A">
        <w:rPr>
          <w:rFonts w:eastAsia="Times New Roman"/>
          <w:szCs w:val="24"/>
        </w:rPr>
        <w:tab/>
        <w:t xml:space="preserve">Wszystkie elementy członu zasilającego oraz osłony i urządzenia wchodzące </w:t>
      </w:r>
      <w:r w:rsidR="00F5231A" w:rsidRPr="00F5231A">
        <w:rPr>
          <w:rFonts w:eastAsia="Times New Roman"/>
          <w:szCs w:val="24"/>
        </w:rPr>
        <w:br/>
      </w:r>
      <w:r w:rsidRPr="00F5231A">
        <w:rPr>
          <w:rFonts w:eastAsia="Times New Roman"/>
          <w:szCs w:val="24"/>
        </w:rPr>
        <w:t>w skład układu pomiarowego energii elektrycznej muszą być przystosowane do plombowania. Plombowanie musi umożliwiać zabezpieczenie przed: zmianą parametrów lub nastaw urządzeń wchodzących w skład układu pomiarowego oraz ingerencją powodującą zafałszowanie jego wskazań.</w:t>
      </w:r>
    </w:p>
    <w:p w14:paraId="61303BF8" w14:textId="77777777" w:rsidR="00572BA3" w:rsidRPr="00F5231A" w:rsidRDefault="00572BA3">
      <w:pPr>
        <w:tabs>
          <w:tab w:val="left" w:pos="1260"/>
        </w:tabs>
        <w:spacing w:line="250" w:lineRule="auto"/>
        <w:ind w:left="128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.7.1.17.</w:t>
      </w:r>
      <w:r w:rsidRPr="00F5231A">
        <w:rPr>
          <w:rFonts w:eastAsia="Times New Roman"/>
          <w:szCs w:val="24"/>
        </w:rPr>
        <w:tab/>
        <w:t xml:space="preserve">Zmiana kwalifikacji układu pomiarowego do </w:t>
      </w:r>
      <w:r w:rsidRPr="004276FC">
        <w:rPr>
          <w:rFonts w:eastAsia="Times New Roman"/>
          <w:szCs w:val="24"/>
        </w:rPr>
        <w:t>kategorii określonej w pkt. II.</w:t>
      </w:r>
      <w:r w:rsidR="000F528D" w:rsidRPr="004276FC">
        <w:rPr>
          <w:rFonts w:eastAsia="Times New Roman"/>
          <w:szCs w:val="24"/>
        </w:rPr>
        <w:t>3</w:t>
      </w:r>
      <w:r w:rsidRPr="004276FC">
        <w:rPr>
          <w:rFonts w:eastAsia="Times New Roman"/>
          <w:szCs w:val="24"/>
        </w:rPr>
        <w:t xml:space="preserve">.7.1.8., następuje na wniosek odbiorcy lub </w:t>
      </w:r>
      <w:r w:rsidR="00F5231A" w:rsidRPr="004276FC">
        <w:rPr>
          <w:rFonts w:eastAsia="Times New Roman"/>
          <w:szCs w:val="24"/>
        </w:rPr>
        <w:t>OSDn</w:t>
      </w:r>
      <w:r w:rsidRPr="004276FC">
        <w:rPr>
          <w:rFonts w:eastAsia="Times New Roman"/>
          <w:szCs w:val="24"/>
        </w:rPr>
        <w:t>. Dostosowanie układu do wymagań nowej kategorii spoczywa na właścicielu układu pomiarowego</w:t>
      </w:r>
      <w:r w:rsidRPr="00F5231A">
        <w:rPr>
          <w:rFonts w:eastAsia="Times New Roman"/>
          <w:szCs w:val="24"/>
        </w:rPr>
        <w:t>.</w:t>
      </w:r>
    </w:p>
    <w:p w14:paraId="127995A1" w14:textId="77777777" w:rsidR="00572BA3" w:rsidRPr="00F5231A" w:rsidRDefault="00572BA3" w:rsidP="004276FC">
      <w:pPr>
        <w:tabs>
          <w:tab w:val="left" w:pos="1260"/>
        </w:tabs>
        <w:spacing w:line="276" w:lineRule="auto"/>
        <w:ind w:left="128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.7.1.18.</w:t>
      </w:r>
      <w:r w:rsidRPr="00F5231A">
        <w:rPr>
          <w:rFonts w:eastAsia="Times New Roman"/>
          <w:szCs w:val="24"/>
        </w:rPr>
        <w:tab/>
        <w:t xml:space="preserve">W przypadku zmiany charakteru odbioru, </w:t>
      </w:r>
      <w:r w:rsidR="00F5231A">
        <w:rPr>
          <w:rFonts w:eastAsia="Times New Roman"/>
          <w:szCs w:val="24"/>
        </w:rPr>
        <w:t>OSDn</w:t>
      </w:r>
      <w:r w:rsidRPr="00F5231A">
        <w:rPr>
          <w:rFonts w:eastAsia="Times New Roman"/>
          <w:szCs w:val="24"/>
        </w:rPr>
        <w:t xml:space="preserve"> może nakazać wprowadzenie zmian w istniejącym układzie pomiarowo-rozliczeniowym zgodnie</w:t>
      </w:r>
      <w:r w:rsidR="007E0B42">
        <w:rPr>
          <w:rFonts w:eastAsia="Times New Roman"/>
          <w:szCs w:val="24"/>
        </w:rPr>
        <w:t xml:space="preserve"> </w:t>
      </w:r>
      <w:r w:rsidR="00493359">
        <w:rPr>
          <w:rFonts w:eastAsia="Times New Roman"/>
          <w:szCs w:val="24"/>
        </w:rPr>
        <w:br/>
      </w:r>
      <w:r w:rsidRPr="00F5231A">
        <w:rPr>
          <w:rFonts w:eastAsia="Times New Roman"/>
          <w:szCs w:val="24"/>
        </w:rPr>
        <w:t>z wymaganiami określonymi w niniejszej IRiESD.</w:t>
      </w:r>
    </w:p>
    <w:p w14:paraId="5D6DF09E" w14:textId="77777777" w:rsidR="00572BA3" w:rsidRPr="00F5231A" w:rsidRDefault="00572BA3" w:rsidP="004276FC">
      <w:pPr>
        <w:tabs>
          <w:tab w:val="left" w:pos="1260"/>
        </w:tabs>
        <w:spacing w:line="276" w:lineRule="auto"/>
        <w:ind w:left="1280" w:hanging="1279"/>
        <w:jc w:val="both"/>
        <w:rPr>
          <w:rFonts w:eastAsia="Times New Roman"/>
          <w:szCs w:val="24"/>
        </w:rPr>
      </w:pPr>
      <w:r w:rsidRPr="00F5231A">
        <w:rPr>
          <w:rFonts w:eastAsia="Times New Roman"/>
          <w:szCs w:val="24"/>
        </w:rPr>
        <w:lastRenderedPageBreak/>
        <w:t>II.</w:t>
      </w:r>
      <w:r w:rsidR="000F528D">
        <w:rPr>
          <w:rFonts w:eastAsia="Times New Roman"/>
          <w:szCs w:val="24"/>
        </w:rPr>
        <w:t>3</w:t>
      </w:r>
      <w:r w:rsidRPr="00F5231A">
        <w:rPr>
          <w:rFonts w:eastAsia="Times New Roman"/>
          <w:szCs w:val="24"/>
        </w:rPr>
        <w:t>.7.1.19.</w:t>
      </w:r>
      <w:r w:rsidRPr="00F5231A">
        <w:rPr>
          <w:rFonts w:eastAsia="Times New Roman"/>
          <w:szCs w:val="24"/>
        </w:rPr>
        <w:tab/>
        <w:t>Wszelkie stwierdzone nieprawidłowości w działaniu układu pomiarowego lub jego elementu winny być niezwłocznie zgłaszane przez odbiorcę lub</w:t>
      </w:r>
      <w:r w:rsidR="00F5231A">
        <w:rPr>
          <w:rFonts w:eastAsia="Times New Roman"/>
          <w:szCs w:val="24"/>
        </w:rPr>
        <w:t xml:space="preserve"> OSDn</w:t>
      </w:r>
      <w:r w:rsidRPr="00F5231A">
        <w:rPr>
          <w:rFonts w:eastAsia="Times New Roman"/>
          <w:szCs w:val="24"/>
        </w:rPr>
        <w:t>.</w:t>
      </w:r>
    </w:p>
    <w:p w14:paraId="5DB4C0E7" w14:textId="77777777" w:rsidR="00572BA3" w:rsidRPr="00F5231A" w:rsidRDefault="00572BA3">
      <w:pPr>
        <w:tabs>
          <w:tab w:val="left" w:pos="1260"/>
        </w:tabs>
        <w:spacing w:line="237" w:lineRule="auto"/>
        <w:ind w:left="128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.7.1.20.</w:t>
      </w:r>
      <w:r w:rsidRPr="00F5231A">
        <w:rPr>
          <w:rFonts w:eastAsia="Times New Roman"/>
          <w:szCs w:val="24"/>
        </w:rPr>
        <w:tab/>
        <w:t xml:space="preserve">W przypadku podejrzenia nieprawidłowości działania układu pomiarowego lub jego elementu, odbiorca lub </w:t>
      </w:r>
      <w:r w:rsidR="00F5231A">
        <w:rPr>
          <w:rFonts w:eastAsia="Times New Roman"/>
          <w:szCs w:val="24"/>
        </w:rPr>
        <w:t>OSDn</w:t>
      </w:r>
      <w:r w:rsidRPr="00F5231A">
        <w:rPr>
          <w:rFonts w:eastAsia="Times New Roman"/>
          <w:szCs w:val="24"/>
        </w:rPr>
        <w:t xml:space="preserve"> ma prawo żądać laboratoryjnego sprawdzenia prawidłowości działania układu pomiarowego lub jego elementu.</w:t>
      </w:r>
    </w:p>
    <w:p w14:paraId="7A594025" w14:textId="77777777" w:rsidR="00572BA3" w:rsidRPr="00F5231A" w:rsidRDefault="00572BA3">
      <w:pPr>
        <w:tabs>
          <w:tab w:val="left" w:pos="1260"/>
        </w:tabs>
        <w:spacing w:line="237" w:lineRule="auto"/>
        <w:ind w:left="1280" w:right="20" w:hanging="1279"/>
        <w:jc w:val="both"/>
        <w:rPr>
          <w:rFonts w:eastAsia="Times New Roman"/>
          <w:szCs w:val="24"/>
        </w:rPr>
      </w:pPr>
      <w:r w:rsidRPr="00F5231A">
        <w:rPr>
          <w:rFonts w:eastAsia="Times New Roman"/>
          <w:szCs w:val="24"/>
        </w:rPr>
        <w:t>II.</w:t>
      </w:r>
      <w:r w:rsidR="000F528D">
        <w:rPr>
          <w:rFonts w:eastAsia="Times New Roman"/>
          <w:szCs w:val="24"/>
        </w:rPr>
        <w:t>3</w:t>
      </w:r>
      <w:r w:rsidRPr="00F5231A">
        <w:rPr>
          <w:rFonts w:eastAsia="Times New Roman"/>
          <w:szCs w:val="24"/>
        </w:rPr>
        <w:t>.7.1.21.</w:t>
      </w:r>
      <w:r w:rsidRPr="00F5231A">
        <w:rPr>
          <w:rFonts w:eastAsia="Times New Roman"/>
          <w:szCs w:val="24"/>
        </w:rPr>
        <w:tab/>
        <w:t xml:space="preserve">W przypadku zgłoszenia żądania laboratoryjnego sprawdzenia prawidłowości działania układu pomiarowego lub jego elementu, właściciel układu pomiarowego zapewnia demontaż wskazanego elementu układu pomiarowego. Demontaż następuje w obecności przedstawiciela odbiorcy i </w:t>
      </w:r>
      <w:r w:rsidR="00F5231A">
        <w:rPr>
          <w:rFonts w:eastAsia="Times New Roman"/>
          <w:szCs w:val="24"/>
        </w:rPr>
        <w:t>OSDn</w:t>
      </w:r>
      <w:r w:rsidRPr="00F5231A">
        <w:rPr>
          <w:rFonts w:eastAsia="Times New Roman"/>
          <w:szCs w:val="24"/>
        </w:rPr>
        <w:t>.</w:t>
      </w:r>
    </w:p>
    <w:p w14:paraId="4CFED0AA" w14:textId="77777777" w:rsidR="00572BA3" w:rsidRDefault="00572BA3">
      <w:pPr>
        <w:tabs>
          <w:tab w:val="left" w:pos="1260"/>
        </w:tabs>
        <w:spacing w:line="238" w:lineRule="auto"/>
        <w:ind w:left="1280" w:hanging="1279"/>
        <w:jc w:val="both"/>
        <w:rPr>
          <w:rFonts w:eastAsia="Times New Roman"/>
        </w:rPr>
      </w:pPr>
      <w:r w:rsidRPr="00F5231A">
        <w:rPr>
          <w:rFonts w:eastAsia="Times New Roman"/>
          <w:szCs w:val="24"/>
        </w:rPr>
        <w:t>II.</w:t>
      </w:r>
      <w:r w:rsidR="000F528D">
        <w:rPr>
          <w:rFonts w:eastAsia="Times New Roman"/>
          <w:szCs w:val="24"/>
        </w:rPr>
        <w:t>3</w:t>
      </w:r>
      <w:r w:rsidRPr="00F5231A">
        <w:rPr>
          <w:rFonts w:eastAsia="Times New Roman"/>
          <w:szCs w:val="24"/>
        </w:rPr>
        <w:t>.7.1.22.</w:t>
      </w:r>
      <w:r w:rsidRPr="00F5231A">
        <w:rPr>
          <w:rFonts w:eastAsia="Times New Roman"/>
          <w:szCs w:val="24"/>
        </w:rPr>
        <w:tab/>
      </w:r>
      <w:r w:rsidR="008A5CAF">
        <w:rPr>
          <w:rFonts w:eastAsia="Times New Roman"/>
          <w:szCs w:val="24"/>
        </w:rPr>
        <w:t>OSDn</w:t>
      </w:r>
      <w:r w:rsidRPr="00F5231A">
        <w:rPr>
          <w:rFonts w:eastAsia="Times New Roman"/>
          <w:szCs w:val="24"/>
        </w:rPr>
        <w:t xml:space="preserve"> przekazuje zdemontowany element układu pomiarowego do laboratoryjnego sprawdzenia prawidłowości działania w terminie 14-stu dni kalendarzowych od dnia zgłoszenia żądania. Jeżeli właścicielem układu pomiarowego jest podmiot inny niż </w:t>
      </w:r>
      <w:r w:rsidR="00C5012B">
        <w:rPr>
          <w:rFonts w:eastAsia="Times New Roman"/>
          <w:szCs w:val="24"/>
        </w:rPr>
        <w:t>OSDn</w:t>
      </w:r>
      <w:r w:rsidRPr="00F5231A">
        <w:rPr>
          <w:rFonts w:eastAsia="Times New Roman"/>
          <w:szCs w:val="24"/>
        </w:rPr>
        <w:t xml:space="preserve">, to podmiot ten ma obowiązek przekazać </w:t>
      </w:r>
      <w:r w:rsidR="00C5012B">
        <w:rPr>
          <w:rFonts w:eastAsia="Times New Roman"/>
          <w:szCs w:val="24"/>
        </w:rPr>
        <w:t>OSDn</w:t>
      </w:r>
      <w:r w:rsidRPr="00F5231A">
        <w:rPr>
          <w:rFonts w:eastAsia="Times New Roman"/>
          <w:szCs w:val="24"/>
        </w:rPr>
        <w:t xml:space="preserve"> zdemontowany element układu pomiarowego bezpośrednio </w:t>
      </w:r>
      <w:r>
        <w:rPr>
          <w:rFonts w:eastAsia="Times New Roman"/>
        </w:rPr>
        <w:t>po jego demontażu.</w:t>
      </w:r>
    </w:p>
    <w:p w14:paraId="6697E219" w14:textId="77777777" w:rsidR="00572BA3" w:rsidRDefault="00572BA3">
      <w:pPr>
        <w:tabs>
          <w:tab w:val="left" w:pos="1260"/>
        </w:tabs>
        <w:spacing w:line="250" w:lineRule="auto"/>
        <w:ind w:left="1280" w:hanging="1279"/>
        <w:jc w:val="both"/>
        <w:rPr>
          <w:rFonts w:eastAsia="Times New Roman"/>
          <w:sz w:val="23"/>
        </w:rPr>
      </w:pPr>
      <w:r>
        <w:rPr>
          <w:rFonts w:eastAsia="Times New Roman"/>
          <w:sz w:val="23"/>
        </w:rPr>
        <w:t>II.</w:t>
      </w:r>
      <w:r w:rsidR="000F528D">
        <w:rPr>
          <w:rFonts w:eastAsia="Times New Roman"/>
          <w:sz w:val="23"/>
        </w:rPr>
        <w:t>3</w:t>
      </w:r>
      <w:r>
        <w:rPr>
          <w:rFonts w:eastAsia="Times New Roman"/>
          <w:sz w:val="23"/>
        </w:rPr>
        <w:t>.7.1.23.</w:t>
      </w:r>
      <w:r>
        <w:rPr>
          <w:rFonts w:eastAsia="Times New Roman"/>
        </w:rPr>
        <w:tab/>
      </w:r>
      <w:r>
        <w:rPr>
          <w:rFonts w:eastAsia="Times New Roman"/>
          <w:sz w:val="23"/>
        </w:rPr>
        <w:t>Jeżeli laboratoryjne sprawdzenie nie wykaże błędów w działaniu zdemontowanego elementu układu pomiarowego, to podmiot wnioskujący o sprawdzenie ponosi koszty sprawdzenia oraz demontażu i montażu badanego elementu.</w:t>
      </w:r>
    </w:p>
    <w:p w14:paraId="6BC9B8D7" w14:textId="77777777" w:rsidR="00572BA3" w:rsidRDefault="00572BA3">
      <w:pPr>
        <w:tabs>
          <w:tab w:val="left" w:pos="1260"/>
        </w:tabs>
        <w:spacing w:line="234" w:lineRule="auto"/>
        <w:ind w:left="1280" w:right="20" w:hanging="1279"/>
        <w:jc w:val="both"/>
        <w:rPr>
          <w:rFonts w:eastAsia="Times New Roman"/>
        </w:rPr>
      </w:pPr>
      <w:r>
        <w:rPr>
          <w:rFonts w:eastAsia="Times New Roman"/>
        </w:rPr>
        <w:t>II.</w:t>
      </w:r>
      <w:r w:rsidR="000F528D">
        <w:rPr>
          <w:rFonts w:eastAsia="Times New Roman"/>
        </w:rPr>
        <w:t>3</w:t>
      </w:r>
      <w:r>
        <w:rPr>
          <w:rFonts w:eastAsia="Times New Roman"/>
        </w:rPr>
        <w:t>.7.1.24.</w:t>
      </w:r>
      <w:r>
        <w:rPr>
          <w:rFonts w:eastAsia="Times New Roman"/>
        </w:rPr>
        <w:tab/>
      </w:r>
      <w:r w:rsidR="00C5012B">
        <w:rPr>
          <w:rFonts w:eastAsia="Times New Roman"/>
        </w:rPr>
        <w:t>OSDn</w:t>
      </w:r>
      <w:r>
        <w:rPr>
          <w:rFonts w:eastAsia="Times New Roman"/>
        </w:rPr>
        <w:t xml:space="preserve"> przekazuje odbiorcy kopię wyniku laboratoryjnego sprawdzenia, niezwłocznie po jego otrzymaniu.</w:t>
      </w:r>
    </w:p>
    <w:p w14:paraId="34C4EF31" w14:textId="77777777" w:rsidR="00572BA3" w:rsidRDefault="00572BA3">
      <w:pPr>
        <w:tabs>
          <w:tab w:val="left" w:pos="1260"/>
        </w:tabs>
        <w:spacing w:line="237" w:lineRule="auto"/>
        <w:ind w:left="1280" w:hanging="1279"/>
        <w:jc w:val="both"/>
        <w:rPr>
          <w:rFonts w:eastAsia="Times New Roman"/>
        </w:rPr>
      </w:pPr>
      <w:r>
        <w:rPr>
          <w:rFonts w:eastAsia="Times New Roman"/>
        </w:rPr>
        <w:t>II.</w:t>
      </w:r>
      <w:r w:rsidR="000F528D">
        <w:rPr>
          <w:rFonts w:eastAsia="Times New Roman"/>
        </w:rPr>
        <w:t>3</w:t>
      </w:r>
      <w:r>
        <w:rPr>
          <w:rFonts w:eastAsia="Times New Roman"/>
        </w:rPr>
        <w:t>.7.1.25.</w:t>
      </w:r>
      <w:r>
        <w:rPr>
          <w:rFonts w:eastAsia="Times New Roman"/>
        </w:rPr>
        <w:tab/>
        <w:t xml:space="preserve">Jeżeli </w:t>
      </w:r>
      <w:r w:rsidR="00C5012B">
        <w:rPr>
          <w:rFonts w:eastAsia="Times New Roman"/>
        </w:rPr>
        <w:t>OSDn</w:t>
      </w:r>
      <w:r>
        <w:rPr>
          <w:rFonts w:eastAsia="Times New Roman"/>
        </w:rPr>
        <w:t xml:space="preserve"> nie jest właścicielem układu pomiarowego, </w:t>
      </w:r>
      <w:r w:rsidR="00C5012B">
        <w:rPr>
          <w:rFonts w:eastAsia="Times New Roman"/>
        </w:rPr>
        <w:t>OSDn</w:t>
      </w:r>
      <w:r>
        <w:rPr>
          <w:rFonts w:eastAsia="Times New Roman"/>
        </w:rPr>
        <w:t xml:space="preserve"> zwraca zdemontowany element układu pomiarowego właścicielowi w terminie do 60-go dnia od dnia jego otrzymania od podmiotu wykonującego laboratoryjne sprawdzenie prawidłowości działania, o ile żadna ze stron nie wystąpi </w:t>
      </w:r>
      <w:r w:rsidR="00C5012B">
        <w:rPr>
          <w:rFonts w:eastAsia="Times New Roman"/>
        </w:rPr>
        <w:br/>
      </w:r>
      <w:r>
        <w:rPr>
          <w:rFonts w:eastAsia="Times New Roman"/>
        </w:rPr>
        <w:t>z wnioskiem, o którym mowa w pkt</w:t>
      </w:r>
      <w:r w:rsidRPr="004276FC">
        <w:rPr>
          <w:rFonts w:eastAsia="Times New Roman"/>
        </w:rPr>
        <w:t>. II.</w:t>
      </w:r>
      <w:r w:rsidR="000F528D" w:rsidRPr="004276FC">
        <w:rPr>
          <w:rFonts w:eastAsia="Times New Roman"/>
        </w:rPr>
        <w:t>3</w:t>
      </w:r>
      <w:r w:rsidRPr="004276FC">
        <w:rPr>
          <w:rFonts w:eastAsia="Times New Roman"/>
        </w:rPr>
        <w:t>.7.1.26.</w:t>
      </w:r>
    </w:p>
    <w:p w14:paraId="0218F19D" w14:textId="77777777" w:rsidR="00572BA3" w:rsidRDefault="00572BA3">
      <w:pPr>
        <w:tabs>
          <w:tab w:val="left" w:pos="1260"/>
        </w:tabs>
        <w:spacing w:line="237" w:lineRule="auto"/>
        <w:ind w:left="1280" w:hanging="1279"/>
        <w:jc w:val="both"/>
        <w:rPr>
          <w:rFonts w:eastAsia="Times New Roman"/>
        </w:rPr>
      </w:pPr>
      <w:r>
        <w:rPr>
          <w:rFonts w:eastAsia="Times New Roman"/>
        </w:rPr>
        <w:t>II.</w:t>
      </w:r>
      <w:r w:rsidR="000F528D">
        <w:rPr>
          <w:rFonts w:eastAsia="Times New Roman"/>
        </w:rPr>
        <w:t>3</w:t>
      </w:r>
      <w:r>
        <w:rPr>
          <w:rFonts w:eastAsia="Times New Roman"/>
        </w:rPr>
        <w:t>.7.1.26.</w:t>
      </w:r>
      <w:r>
        <w:rPr>
          <w:rFonts w:eastAsia="Times New Roman"/>
        </w:rPr>
        <w:tab/>
        <w:t xml:space="preserve">W ciągu 30-stu dni kalendarzowych od dnia otrzymania kopii wyniku badania laboratoryjnego, odbiorca lub </w:t>
      </w:r>
      <w:r w:rsidR="00C5012B">
        <w:rPr>
          <w:rFonts w:eastAsia="Times New Roman"/>
        </w:rPr>
        <w:t>OSDn</w:t>
      </w:r>
      <w:r>
        <w:rPr>
          <w:rFonts w:eastAsia="Times New Roman"/>
        </w:rPr>
        <w:t xml:space="preserve"> może zlecić wykonanie dodatkowej ekspertyzy badanego uprzednio zdemontowanego elementu układu pomiarowego. </w:t>
      </w:r>
      <w:r w:rsidR="00C5012B">
        <w:rPr>
          <w:rFonts w:eastAsia="Times New Roman"/>
        </w:rPr>
        <w:t>OSDn</w:t>
      </w:r>
      <w:r>
        <w:rPr>
          <w:rFonts w:eastAsia="Times New Roman"/>
        </w:rPr>
        <w:t xml:space="preserve"> umożliwia przeprowadzenie takiej ekspertyzy.</w:t>
      </w:r>
    </w:p>
    <w:p w14:paraId="11F9BA1A" w14:textId="77777777" w:rsidR="00572BA3" w:rsidRDefault="00572BA3">
      <w:pPr>
        <w:tabs>
          <w:tab w:val="left" w:pos="1260"/>
        </w:tabs>
        <w:spacing w:line="234" w:lineRule="auto"/>
        <w:ind w:left="1280" w:hanging="1279"/>
        <w:jc w:val="both"/>
        <w:rPr>
          <w:rFonts w:eastAsia="Times New Roman"/>
        </w:rPr>
      </w:pPr>
      <w:r>
        <w:rPr>
          <w:rFonts w:eastAsia="Times New Roman"/>
        </w:rPr>
        <w:t>II.</w:t>
      </w:r>
      <w:r w:rsidR="000F528D">
        <w:rPr>
          <w:rFonts w:eastAsia="Times New Roman"/>
        </w:rPr>
        <w:t>3</w:t>
      </w:r>
      <w:r>
        <w:rPr>
          <w:rFonts w:eastAsia="Times New Roman"/>
        </w:rPr>
        <w:t>.7.1.27.</w:t>
      </w:r>
      <w:r>
        <w:rPr>
          <w:rFonts w:eastAsia="Times New Roman"/>
        </w:rPr>
        <w:tab/>
        <w:t xml:space="preserve">Koszt ekspertyzy, o której mowa </w:t>
      </w:r>
      <w:r w:rsidRPr="004276FC">
        <w:rPr>
          <w:rFonts w:eastAsia="Times New Roman"/>
        </w:rPr>
        <w:t>w pkt. II.</w:t>
      </w:r>
      <w:r w:rsidR="000F528D" w:rsidRPr="004276FC">
        <w:rPr>
          <w:rFonts w:eastAsia="Times New Roman"/>
        </w:rPr>
        <w:t>3</w:t>
      </w:r>
      <w:r w:rsidRPr="004276FC">
        <w:rPr>
          <w:rFonts w:eastAsia="Times New Roman"/>
        </w:rPr>
        <w:t>.7.1.26. pokrywa podmiot, który wnioskuje o jej przeprowadzenie.</w:t>
      </w:r>
    </w:p>
    <w:p w14:paraId="3465356A" w14:textId="77777777" w:rsidR="00572BA3" w:rsidRDefault="00572BA3">
      <w:pPr>
        <w:tabs>
          <w:tab w:val="left" w:pos="1260"/>
        </w:tabs>
        <w:spacing w:line="236" w:lineRule="auto"/>
        <w:ind w:left="1280" w:hanging="1279"/>
        <w:jc w:val="both"/>
        <w:rPr>
          <w:rFonts w:eastAsia="Times New Roman"/>
        </w:rPr>
      </w:pPr>
      <w:r>
        <w:rPr>
          <w:rFonts w:eastAsia="Times New Roman"/>
        </w:rPr>
        <w:t>II.</w:t>
      </w:r>
      <w:r w:rsidR="000F528D">
        <w:rPr>
          <w:rFonts w:eastAsia="Times New Roman"/>
        </w:rPr>
        <w:t>3</w:t>
      </w:r>
      <w:r>
        <w:rPr>
          <w:rFonts w:eastAsia="Times New Roman"/>
        </w:rPr>
        <w:t>.7.1.28.</w:t>
      </w:r>
      <w:r>
        <w:rPr>
          <w:rFonts w:eastAsia="Times New Roman"/>
        </w:rPr>
        <w:tab/>
        <w:t>W okresie zdemontowania elementu układu pomiarowego, właściciel układu pomiarowego zapewni zastępczy element układu pomiarowego, który będzie spełniał wymagania techniczne określone w niniejszej IRiESD.</w:t>
      </w:r>
    </w:p>
    <w:p w14:paraId="29BEF64E" w14:textId="77777777" w:rsidR="00572BA3" w:rsidRDefault="00572BA3" w:rsidP="00C5012B">
      <w:pPr>
        <w:tabs>
          <w:tab w:val="left" w:pos="1260"/>
        </w:tabs>
        <w:spacing w:line="237" w:lineRule="auto"/>
        <w:ind w:left="1280" w:hanging="1279"/>
        <w:jc w:val="both"/>
        <w:rPr>
          <w:rFonts w:eastAsia="Times New Roman"/>
        </w:rPr>
      </w:pPr>
      <w:r>
        <w:rPr>
          <w:rFonts w:eastAsia="Times New Roman"/>
        </w:rPr>
        <w:t>II.</w:t>
      </w:r>
      <w:r w:rsidR="000F528D">
        <w:rPr>
          <w:rFonts w:eastAsia="Times New Roman"/>
        </w:rPr>
        <w:t>3</w:t>
      </w:r>
      <w:r>
        <w:rPr>
          <w:rFonts w:eastAsia="Times New Roman"/>
        </w:rPr>
        <w:t>.7.1.29.</w:t>
      </w:r>
      <w:r>
        <w:rPr>
          <w:rFonts w:eastAsia="Times New Roman"/>
        </w:rPr>
        <w:tab/>
        <w:t xml:space="preserve">W przypadku stwierdzenia nieprawidłowości w działaniu układu pomiarowego, </w:t>
      </w:r>
      <w:r w:rsidR="00C5012B">
        <w:rPr>
          <w:rFonts w:eastAsia="Times New Roman"/>
        </w:rPr>
        <w:br/>
      </w:r>
      <w:r>
        <w:rPr>
          <w:rFonts w:eastAsia="Times New Roman"/>
        </w:rPr>
        <w:t xml:space="preserve">z wyłączeniem nielegalnego poboru energii </w:t>
      </w:r>
      <w:r w:rsidRPr="0049469A">
        <w:rPr>
          <w:rFonts w:eastAsia="Times New Roman"/>
        </w:rPr>
        <w:t>elektrycznej, właściciel układu pomiarowego zwraca koszty, o których mowa w pkt. II.</w:t>
      </w:r>
      <w:r w:rsidR="000F528D" w:rsidRPr="0049469A">
        <w:rPr>
          <w:rFonts w:eastAsia="Times New Roman"/>
        </w:rPr>
        <w:t>3</w:t>
      </w:r>
      <w:r w:rsidRPr="0049469A">
        <w:rPr>
          <w:rFonts w:eastAsia="Times New Roman"/>
        </w:rPr>
        <w:t>.7.1.23. i II.</w:t>
      </w:r>
      <w:r w:rsidR="000F528D" w:rsidRPr="0049469A">
        <w:rPr>
          <w:rFonts w:eastAsia="Times New Roman"/>
        </w:rPr>
        <w:t>3</w:t>
      </w:r>
      <w:r w:rsidRPr="0049469A">
        <w:rPr>
          <w:rFonts w:eastAsia="Times New Roman"/>
        </w:rPr>
        <w:t xml:space="preserve">.7.1.27., </w:t>
      </w:r>
      <w:r w:rsidR="00C5012B" w:rsidRPr="0049469A">
        <w:rPr>
          <w:rFonts w:eastAsia="Times New Roman"/>
        </w:rPr>
        <w:br/>
      </w:r>
      <w:r w:rsidRPr="0049469A">
        <w:rPr>
          <w:rFonts w:eastAsia="Times New Roman"/>
        </w:rPr>
        <w:t xml:space="preserve">a </w:t>
      </w:r>
      <w:r w:rsidR="00C5012B" w:rsidRPr="0049469A">
        <w:rPr>
          <w:rFonts w:eastAsia="Times New Roman"/>
        </w:rPr>
        <w:t>OSDn</w:t>
      </w:r>
      <w:r w:rsidRPr="0049469A">
        <w:rPr>
          <w:rFonts w:eastAsia="Times New Roman"/>
        </w:rPr>
        <w:t xml:space="preserve"> dokonuje korekty dostarczonej/odebranej energii elektrycznej, na podstawie której dokonywane są korekty rozliczeń pomiędzy</w:t>
      </w:r>
      <w:r w:rsidR="00C5012B" w:rsidRPr="0049469A">
        <w:rPr>
          <w:rFonts w:eastAsia="Times New Roman"/>
        </w:rPr>
        <w:t xml:space="preserve"> </w:t>
      </w:r>
      <w:r w:rsidRPr="0049469A">
        <w:rPr>
          <w:rFonts w:eastAsia="Times New Roman"/>
        </w:rPr>
        <w:t>podmiotami prowadzącymi rozliczenia tego podmiotu, o ile do rozliczeń</w:t>
      </w:r>
      <w:r>
        <w:rPr>
          <w:rFonts w:eastAsia="Times New Roman"/>
        </w:rPr>
        <w:t xml:space="preserve"> nie można było wykorzystać wskazań innego układu pomiarowego.</w:t>
      </w:r>
    </w:p>
    <w:p w14:paraId="1DFBDD2A" w14:textId="1D815084" w:rsidR="00572BA3" w:rsidRDefault="00572BA3">
      <w:pPr>
        <w:tabs>
          <w:tab w:val="left" w:pos="1260"/>
        </w:tabs>
        <w:spacing w:line="237" w:lineRule="auto"/>
        <w:ind w:left="1280" w:hanging="1279"/>
        <w:jc w:val="both"/>
        <w:rPr>
          <w:rFonts w:eastAsia="Times New Roman"/>
        </w:rPr>
      </w:pPr>
      <w:r>
        <w:rPr>
          <w:rFonts w:eastAsia="Times New Roman"/>
        </w:rPr>
        <w:t>II.</w:t>
      </w:r>
      <w:r w:rsidR="000F528D">
        <w:rPr>
          <w:rFonts w:eastAsia="Times New Roman"/>
        </w:rPr>
        <w:t>3</w:t>
      </w:r>
      <w:r>
        <w:rPr>
          <w:rFonts w:eastAsia="Times New Roman"/>
        </w:rPr>
        <w:t>.7.1.30</w:t>
      </w:r>
      <w:r>
        <w:rPr>
          <w:rFonts w:eastAsia="Times New Roman"/>
        </w:rPr>
        <w:tab/>
        <w:t>W przypadku stwierdzenia prawidłowości w działaniu układu pomiarowego energii elektrycznej, strona wnioskująca o sprawdzenie układu pomiarowego pokrywa uzasadnione koszty związane z demontażem, montażem i wypożyczeniem zastępczego elementu układu pomiarowego.</w:t>
      </w:r>
    </w:p>
    <w:p w14:paraId="62604B07" w14:textId="77777777" w:rsidR="00572BA3" w:rsidRDefault="00572BA3">
      <w:pPr>
        <w:tabs>
          <w:tab w:val="left" w:pos="1260"/>
        </w:tabs>
        <w:spacing w:line="237" w:lineRule="auto"/>
        <w:ind w:left="1280" w:right="20" w:hanging="1279"/>
        <w:jc w:val="both"/>
        <w:rPr>
          <w:rFonts w:eastAsia="Times New Roman"/>
        </w:rPr>
      </w:pPr>
      <w:r>
        <w:rPr>
          <w:rFonts w:eastAsia="Times New Roman"/>
        </w:rPr>
        <w:t>II.</w:t>
      </w:r>
      <w:r w:rsidR="000F528D">
        <w:rPr>
          <w:rFonts w:eastAsia="Times New Roman"/>
        </w:rPr>
        <w:t>3</w:t>
      </w:r>
      <w:r>
        <w:rPr>
          <w:rFonts w:eastAsia="Times New Roman"/>
        </w:rPr>
        <w:t>.7.1.31.</w:t>
      </w:r>
      <w:r>
        <w:rPr>
          <w:rFonts w:eastAsia="Times New Roman"/>
        </w:rPr>
        <w:tab/>
        <w:t xml:space="preserve">W przypadku wymiany układu pomiarowego lub jego elementu w trakcie dostarczania energii elektrycznej, a także po zakończeniu jej dostarczania, </w:t>
      </w:r>
      <w:r w:rsidR="007742C8">
        <w:rPr>
          <w:rFonts w:eastAsia="Times New Roman"/>
        </w:rPr>
        <w:t xml:space="preserve">OSDn </w:t>
      </w:r>
      <w:r>
        <w:rPr>
          <w:rFonts w:eastAsia="Times New Roman"/>
        </w:rPr>
        <w:t>wydaje odbiorcy/wytwórcy dokument zawierający dane identyfikujące układ pomiarowy i stan wskazań licznika w chwili demontażu.</w:t>
      </w:r>
    </w:p>
    <w:p w14:paraId="232B4348" w14:textId="77777777" w:rsidR="00572BA3" w:rsidRDefault="00572BA3">
      <w:pPr>
        <w:spacing w:line="122" w:lineRule="exact"/>
        <w:rPr>
          <w:rFonts w:eastAsia="Times New Roman"/>
        </w:rPr>
      </w:pPr>
    </w:p>
    <w:p w14:paraId="4DC0DEAC" w14:textId="77777777" w:rsidR="00572BA3" w:rsidRPr="003D6E44" w:rsidRDefault="00572BA3" w:rsidP="003D6E44">
      <w:pPr>
        <w:pStyle w:val="Nagwek4"/>
      </w:pPr>
      <w:r w:rsidRPr="003D6E44">
        <w:lastRenderedPageBreak/>
        <w:t>II.</w:t>
      </w:r>
      <w:r w:rsidR="000F528D">
        <w:t>3</w:t>
      </w:r>
      <w:r w:rsidRPr="003D6E44">
        <w:t>.7.</w:t>
      </w:r>
      <w:r w:rsidR="001F081C" w:rsidRPr="003D6E44">
        <w:t>2</w:t>
      </w:r>
      <w:r w:rsidRPr="003D6E44">
        <w:t>.</w:t>
      </w:r>
      <w:r w:rsidRPr="003D6E44">
        <w:tab/>
        <w:t>Wymagania dla układów pomiarowo-rozliczeniowych kategorii B.</w:t>
      </w:r>
    </w:p>
    <w:p w14:paraId="7B2B4B31" w14:textId="77777777" w:rsidR="00572BA3" w:rsidRDefault="00572BA3">
      <w:pPr>
        <w:spacing w:line="132" w:lineRule="exact"/>
        <w:rPr>
          <w:rFonts w:eastAsia="Times New Roman"/>
        </w:rPr>
      </w:pPr>
    </w:p>
    <w:p w14:paraId="46F0876B" w14:textId="7E107E66" w:rsidR="00572BA3" w:rsidRDefault="00572BA3">
      <w:pPr>
        <w:tabs>
          <w:tab w:val="left" w:pos="1260"/>
        </w:tabs>
        <w:spacing w:line="234" w:lineRule="auto"/>
        <w:ind w:left="1280" w:right="20" w:hanging="1279"/>
        <w:jc w:val="both"/>
        <w:rPr>
          <w:rFonts w:eastAsia="Times New Roman"/>
        </w:rPr>
      </w:pPr>
      <w:r>
        <w:rPr>
          <w:rFonts w:eastAsia="Times New Roman"/>
        </w:rPr>
        <w:t>II.</w:t>
      </w:r>
      <w:r w:rsidR="000F528D">
        <w:rPr>
          <w:rFonts w:eastAsia="Times New Roman"/>
        </w:rPr>
        <w:t>3</w:t>
      </w:r>
      <w:r>
        <w:rPr>
          <w:rFonts w:eastAsia="Times New Roman"/>
        </w:rPr>
        <w:t>.7.</w:t>
      </w:r>
      <w:r w:rsidR="001F081C">
        <w:rPr>
          <w:rFonts w:eastAsia="Times New Roman"/>
        </w:rPr>
        <w:t>2</w:t>
      </w:r>
      <w:r>
        <w:rPr>
          <w:rFonts w:eastAsia="Times New Roman"/>
        </w:rPr>
        <w:t>.1.</w:t>
      </w:r>
      <w:r>
        <w:rPr>
          <w:rFonts w:eastAsia="Times New Roman"/>
        </w:rPr>
        <w:tab/>
      </w:r>
      <w:r w:rsidR="00DD4082">
        <w:rPr>
          <w:rFonts w:eastAsia="Times New Roman"/>
        </w:rPr>
        <w:t>U</w:t>
      </w:r>
      <w:r>
        <w:rPr>
          <w:rFonts w:eastAsia="Times New Roman"/>
        </w:rPr>
        <w:t>kład</w:t>
      </w:r>
      <w:r w:rsidR="00DD4082">
        <w:rPr>
          <w:rFonts w:eastAsia="Times New Roman"/>
        </w:rPr>
        <w:t>y</w:t>
      </w:r>
      <w:r>
        <w:rPr>
          <w:rFonts w:eastAsia="Times New Roman"/>
        </w:rPr>
        <w:t xml:space="preserve"> pomiarow</w:t>
      </w:r>
      <w:r w:rsidR="00DD4082">
        <w:rPr>
          <w:rFonts w:eastAsia="Times New Roman"/>
        </w:rPr>
        <w:t>o-rozliczeniowe</w:t>
      </w:r>
      <w:r>
        <w:rPr>
          <w:rFonts w:eastAsia="Times New Roman"/>
        </w:rPr>
        <w:t xml:space="preserve"> kategorii </w:t>
      </w:r>
      <w:r w:rsidR="00DD4082">
        <w:rPr>
          <w:rFonts w:eastAsia="Times New Roman"/>
        </w:rPr>
        <w:t xml:space="preserve">B3, B2 i </w:t>
      </w:r>
      <w:r>
        <w:rPr>
          <w:rFonts w:eastAsia="Times New Roman"/>
        </w:rPr>
        <w:t>B1, spełni</w:t>
      </w:r>
      <w:r w:rsidR="00DD4082">
        <w:rPr>
          <w:rFonts w:eastAsia="Times New Roman"/>
        </w:rPr>
        <w:t>ają</w:t>
      </w:r>
      <w:r>
        <w:rPr>
          <w:rFonts w:eastAsia="Times New Roman"/>
        </w:rPr>
        <w:t xml:space="preserve"> następujące wymagania:</w:t>
      </w:r>
    </w:p>
    <w:p w14:paraId="350369C9" w14:textId="34C586D7" w:rsidR="006A338F" w:rsidRPr="006A338F" w:rsidRDefault="006A338F">
      <w:pPr>
        <w:pStyle w:val="Akapitzlist"/>
        <w:widowControl w:val="0"/>
        <w:numPr>
          <w:ilvl w:val="5"/>
          <w:numId w:val="344"/>
        </w:numPr>
        <w:autoSpaceDE w:val="0"/>
        <w:autoSpaceDN w:val="0"/>
        <w:spacing w:before="144"/>
        <w:ind w:left="1560" w:hanging="284"/>
        <w:jc w:val="both"/>
        <w:rPr>
          <w:color w:val="000000" w:themeColor="text1"/>
          <w:szCs w:val="24"/>
        </w:rPr>
      </w:pPr>
      <w:r w:rsidRPr="006A338F">
        <w:rPr>
          <w:color w:val="000000" w:themeColor="text1"/>
          <w:szCs w:val="24"/>
        </w:rPr>
        <w:t>przekładniki prądowe mają klasę dokładności nie gorszą niż</w:t>
      </w:r>
      <w:r w:rsidRPr="006A338F">
        <w:rPr>
          <w:color w:val="000000" w:themeColor="text1"/>
          <w:spacing w:val="-23"/>
          <w:szCs w:val="24"/>
        </w:rPr>
        <w:t xml:space="preserve"> </w:t>
      </w:r>
      <w:r w:rsidRPr="006A338F">
        <w:rPr>
          <w:color w:val="000000" w:themeColor="text1"/>
          <w:szCs w:val="24"/>
        </w:rPr>
        <w:t>0,2S,</w:t>
      </w:r>
    </w:p>
    <w:p w14:paraId="1C34FE33" w14:textId="77777777" w:rsidR="006A338F" w:rsidRPr="006A338F" w:rsidRDefault="006A338F">
      <w:pPr>
        <w:pStyle w:val="Akapitzlist"/>
        <w:widowControl w:val="0"/>
        <w:numPr>
          <w:ilvl w:val="5"/>
          <w:numId w:val="344"/>
        </w:numPr>
        <w:autoSpaceDE w:val="0"/>
        <w:autoSpaceDN w:val="0"/>
        <w:spacing w:before="91" w:line="249" w:lineRule="auto"/>
        <w:ind w:left="1560" w:right="60" w:hanging="284"/>
        <w:jc w:val="both"/>
        <w:rPr>
          <w:color w:val="000000" w:themeColor="text1"/>
          <w:szCs w:val="24"/>
        </w:rPr>
      </w:pPr>
      <w:r w:rsidRPr="006A338F">
        <w:rPr>
          <w:color w:val="000000" w:themeColor="text1"/>
          <w:w w:val="105"/>
          <w:szCs w:val="24"/>
        </w:rPr>
        <w:t>przekładniki napięciowe mają klasę dokładności nie gorszą niż</w:t>
      </w:r>
      <w:r w:rsidRPr="006A338F">
        <w:rPr>
          <w:color w:val="000000" w:themeColor="text1"/>
          <w:spacing w:val="12"/>
          <w:w w:val="105"/>
          <w:szCs w:val="24"/>
        </w:rPr>
        <w:t xml:space="preserve"> </w:t>
      </w:r>
      <w:r w:rsidRPr="006A338F">
        <w:rPr>
          <w:color w:val="000000" w:themeColor="text1"/>
          <w:w w:val="105"/>
          <w:szCs w:val="24"/>
        </w:rPr>
        <w:t xml:space="preserve">0,2, </w:t>
      </w:r>
    </w:p>
    <w:p w14:paraId="5AB033EF" w14:textId="4F95AB4B" w:rsidR="006A338F" w:rsidRPr="006A338F" w:rsidRDefault="006A338F">
      <w:pPr>
        <w:pStyle w:val="Akapitzlist"/>
        <w:widowControl w:val="0"/>
        <w:numPr>
          <w:ilvl w:val="5"/>
          <w:numId w:val="344"/>
        </w:numPr>
        <w:autoSpaceDE w:val="0"/>
        <w:autoSpaceDN w:val="0"/>
        <w:spacing w:before="91" w:line="249" w:lineRule="auto"/>
        <w:ind w:left="1560" w:right="60" w:hanging="284"/>
        <w:jc w:val="both"/>
        <w:rPr>
          <w:color w:val="000000" w:themeColor="text1"/>
          <w:szCs w:val="24"/>
        </w:rPr>
      </w:pPr>
      <w:r w:rsidRPr="006A338F">
        <w:rPr>
          <w:color w:val="000000" w:themeColor="text1"/>
          <w:w w:val="105"/>
          <w:szCs w:val="24"/>
        </w:rPr>
        <w:t>liczniki</w:t>
      </w:r>
      <w:r w:rsidRPr="006A338F">
        <w:rPr>
          <w:color w:val="000000" w:themeColor="text1"/>
          <w:spacing w:val="-14"/>
          <w:w w:val="105"/>
          <w:szCs w:val="24"/>
        </w:rPr>
        <w:t xml:space="preserve"> </w:t>
      </w:r>
      <w:r w:rsidRPr="006A338F">
        <w:rPr>
          <w:color w:val="000000" w:themeColor="text1"/>
          <w:w w:val="105"/>
          <w:szCs w:val="24"/>
        </w:rPr>
        <w:t>zdalnego</w:t>
      </w:r>
      <w:r w:rsidRPr="006A338F">
        <w:rPr>
          <w:color w:val="000000" w:themeColor="text1"/>
          <w:spacing w:val="-9"/>
          <w:w w:val="105"/>
          <w:szCs w:val="24"/>
        </w:rPr>
        <w:t xml:space="preserve"> </w:t>
      </w:r>
      <w:r w:rsidRPr="006A338F">
        <w:rPr>
          <w:color w:val="000000" w:themeColor="text1"/>
          <w:w w:val="105"/>
          <w:szCs w:val="24"/>
        </w:rPr>
        <w:t>odczytu</w:t>
      </w:r>
      <w:r w:rsidRPr="006A338F">
        <w:rPr>
          <w:color w:val="000000" w:themeColor="text1"/>
          <w:spacing w:val="-7"/>
          <w:w w:val="105"/>
          <w:szCs w:val="24"/>
        </w:rPr>
        <w:t xml:space="preserve"> </w:t>
      </w:r>
      <w:r w:rsidRPr="006A338F">
        <w:rPr>
          <w:color w:val="000000" w:themeColor="text1"/>
          <w:w w:val="105"/>
          <w:szCs w:val="24"/>
        </w:rPr>
        <w:t>mają</w:t>
      </w:r>
      <w:r w:rsidRPr="006A338F">
        <w:rPr>
          <w:color w:val="000000" w:themeColor="text1"/>
          <w:spacing w:val="-8"/>
          <w:w w:val="105"/>
          <w:szCs w:val="24"/>
        </w:rPr>
        <w:t xml:space="preserve"> </w:t>
      </w:r>
      <w:r w:rsidRPr="006A338F">
        <w:rPr>
          <w:color w:val="000000" w:themeColor="text1"/>
          <w:w w:val="105"/>
          <w:szCs w:val="24"/>
        </w:rPr>
        <w:t>klasę</w:t>
      </w:r>
      <w:r w:rsidRPr="006A338F">
        <w:rPr>
          <w:color w:val="000000" w:themeColor="text1"/>
          <w:spacing w:val="-12"/>
          <w:w w:val="105"/>
          <w:szCs w:val="24"/>
        </w:rPr>
        <w:t xml:space="preserve"> </w:t>
      </w:r>
      <w:r w:rsidRPr="006A338F">
        <w:rPr>
          <w:color w:val="000000" w:themeColor="text1"/>
          <w:w w:val="105"/>
          <w:szCs w:val="24"/>
        </w:rPr>
        <w:t>dokładności</w:t>
      </w:r>
      <w:r w:rsidRPr="006A338F">
        <w:rPr>
          <w:color w:val="000000" w:themeColor="text1"/>
          <w:spacing w:val="3"/>
          <w:w w:val="105"/>
          <w:szCs w:val="24"/>
        </w:rPr>
        <w:t xml:space="preserve"> </w:t>
      </w:r>
      <w:r w:rsidRPr="006A338F">
        <w:rPr>
          <w:color w:val="000000" w:themeColor="text1"/>
          <w:w w:val="105"/>
          <w:szCs w:val="24"/>
        </w:rPr>
        <w:t>nie</w:t>
      </w:r>
      <w:r w:rsidRPr="006A338F">
        <w:rPr>
          <w:color w:val="000000" w:themeColor="text1"/>
          <w:spacing w:val="-19"/>
          <w:w w:val="105"/>
          <w:szCs w:val="24"/>
        </w:rPr>
        <w:t xml:space="preserve"> </w:t>
      </w:r>
      <w:r w:rsidRPr="006A338F">
        <w:rPr>
          <w:color w:val="000000" w:themeColor="text1"/>
          <w:w w:val="105"/>
          <w:szCs w:val="24"/>
        </w:rPr>
        <w:t>gorszą</w:t>
      </w:r>
      <w:r w:rsidRPr="006A338F">
        <w:rPr>
          <w:color w:val="000000" w:themeColor="text1"/>
          <w:spacing w:val="-12"/>
          <w:w w:val="105"/>
          <w:szCs w:val="24"/>
        </w:rPr>
        <w:t xml:space="preserve"> </w:t>
      </w:r>
      <w:r w:rsidRPr="006A338F">
        <w:rPr>
          <w:color w:val="000000" w:themeColor="text1"/>
          <w:w w:val="105"/>
          <w:szCs w:val="24"/>
        </w:rPr>
        <w:t>niż</w:t>
      </w:r>
      <w:r w:rsidRPr="006A338F">
        <w:rPr>
          <w:color w:val="000000" w:themeColor="text1"/>
          <w:spacing w:val="-19"/>
          <w:w w:val="105"/>
          <w:szCs w:val="24"/>
        </w:rPr>
        <w:t xml:space="preserve"> </w:t>
      </w:r>
      <w:r w:rsidRPr="006A338F">
        <w:rPr>
          <w:color w:val="000000" w:themeColor="text1"/>
          <w:w w:val="105"/>
          <w:szCs w:val="24"/>
        </w:rPr>
        <w:t>C</w:t>
      </w:r>
      <w:r w:rsidRPr="006A338F">
        <w:rPr>
          <w:color w:val="000000" w:themeColor="text1"/>
          <w:spacing w:val="-20"/>
          <w:w w:val="105"/>
          <w:szCs w:val="24"/>
        </w:rPr>
        <w:t xml:space="preserve"> </w:t>
      </w:r>
      <w:r w:rsidRPr="006A338F">
        <w:rPr>
          <w:color w:val="000000" w:themeColor="text1"/>
          <w:w w:val="105"/>
          <w:szCs w:val="24"/>
        </w:rPr>
        <w:t>dla</w:t>
      </w:r>
      <w:r w:rsidRPr="006A338F">
        <w:rPr>
          <w:color w:val="000000" w:themeColor="text1"/>
          <w:spacing w:val="-20"/>
          <w:w w:val="105"/>
          <w:szCs w:val="24"/>
        </w:rPr>
        <w:t xml:space="preserve"> </w:t>
      </w:r>
      <w:r w:rsidRPr="006A338F">
        <w:rPr>
          <w:color w:val="000000" w:themeColor="text1"/>
          <w:w w:val="105"/>
          <w:szCs w:val="24"/>
        </w:rPr>
        <w:t>pomiaru</w:t>
      </w:r>
      <w:r w:rsidRPr="006A338F">
        <w:rPr>
          <w:color w:val="000000" w:themeColor="text1"/>
          <w:spacing w:val="-4"/>
          <w:w w:val="105"/>
          <w:szCs w:val="24"/>
        </w:rPr>
        <w:t xml:space="preserve"> </w:t>
      </w:r>
      <w:r w:rsidRPr="006A338F">
        <w:rPr>
          <w:color w:val="000000" w:themeColor="text1"/>
          <w:w w:val="105"/>
          <w:szCs w:val="24"/>
        </w:rPr>
        <w:t xml:space="preserve">energii czynnej i nie gorszą niż </w:t>
      </w:r>
      <w:r>
        <w:rPr>
          <w:color w:val="000000" w:themeColor="text1"/>
          <w:w w:val="105"/>
          <w:szCs w:val="24"/>
        </w:rPr>
        <w:t>1</w:t>
      </w:r>
      <w:r w:rsidRPr="006A338F">
        <w:rPr>
          <w:color w:val="000000" w:themeColor="text1"/>
          <w:w w:val="105"/>
          <w:szCs w:val="24"/>
        </w:rPr>
        <w:t xml:space="preserve"> lub </w:t>
      </w:r>
      <w:r>
        <w:rPr>
          <w:color w:val="000000" w:themeColor="text1"/>
          <w:w w:val="105"/>
          <w:szCs w:val="24"/>
        </w:rPr>
        <w:t>1</w:t>
      </w:r>
      <w:r w:rsidRPr="006A338F">
        <w:rPr>
          <w:color w:val="000000" w:themeColor="text1"/>
          <w:w w:val="105"/>
          <w:szCs w:val="24"/>
        </w:rPr>
        <w:t>S dla pomiaru energii</w:t>
      </w:r>
      <w:r w:rsidRPr="006A338F">
        <w:rPr>
          <w:color w:val="000000" w:themeColor="text1"/>
          <w:spacing w:val="-24"/>
          <w:w w:val="105"/>
          <w:szCs w:val="24"/>
        </w:rPr>
        <w:t xml:space="preserve"> </w:t>
      </w:r>
      <w:r w:rsidRPr="006A338F">
        <w:rPr>
          <w:color w:val="000000" w:themeColor="text1"/>
          <w:w w:val="105"/>
          <w:szCs w:val="24"/>
        </w:rPr>
        <w:t>biernej,</w:t>
      </w:r>
    </w:p>
    <w:p w14:paraId="34C538B5" w14:textId="77777777" w:rsidR="006A338F" w:rsidRPr="006A338F" w:rsidRDefault="006A338F">
      <w:pPr>
        <w:pStyle w:val="Akapitzlist"/>
        <w:widowControl w:val="0"/>
        <w:numPr>
          <w:ilvl w:val="5"/>
          <w:numId w:val="344"/>
        </w:numPr>
        <w:tabs>
          <w:tab w:val="left" w:pos="1016"/>
        </w:tabs>
        <w:autoSpaceDE w:val="0"/>
        <w:autoSpaceDN w:val="0"/>
        <w:spacing w:before="3" w:line="249" w:lineRule="auto"/>
        <w:ind w:left="1560" w:right="60" w:hanging="284"/>
        <w:jc w:val="both"/>
        <w:rPr>
          <w:color w:val="000000" w:themeColor="text1"/>
          <w:szCs w:val="24"/>
        </w:rPr>
      </w:pPr>
      <w:r w:rsidRPr="006A338F">
        <w:rPr>
          <w:color w:val="000000" w:themeColor="text1"/>
          <w:w w:val="105"/>
          <w:szCs w:val="24"/>
        </w:rPr>
        <w:t>w przypadku kategorii B3 liczniki zdalnego odczytu w układzie pomiarowo­ rozliczeniowym podstawowym i rezerwowym mogą być zasilane z jednego rdzenia lub uzwojenia</w:t>
      </w:r>
      <w:r w:rsidRPr="006A338F">
        <w:rPr>
          <w:color w:val="000000" w:themeColor="text1"/>
          <w:spacing w:val="35"/>
          <w:w w:val="105"/>
          <w:szCs w:val="24"/>
        </w:rPr>
        <w:t xml:space="preserve"> </w:t>
      </w:r>
      <w:r w:rsidRPr="006A338F">
        <w:rPr>
          <w:color w:val="000000" w:themeColor="text1"/>
          <w:w w:val="105"/>
          <w:szCs w:val="24"/>
        </w:rPr>
        <w:t>przekładników.</w:t>
      </w:r>
    </w:p>
    <w:p w14:paraId="01E8ABCD" w14:textId="77777777" w:rsidR="00572BA3" w:rsidRDefault="00572BA3" w:rsidP="007B593C">
      <w:pPr>
        <w:spacing w:line="318" w:lineRule="exact"/>
        <w:rPr>
          <w:rFonts w:eastAsia="Times New Roman"/>
        </w:rPr>
      </w:pPr>
    </w:p>
    <w:p w14:paraId="56139669" w14:textId="77777777" w:rsidR="00572BA3" w:rsidRDefault="00572BA3" w:rsidP="007B593C">
      <w:pPr>
        <w:rPr>
          <w:rFonts w:eastAsia="Times New Roman"/>
        </w:rPr>
      </w:pPr>
      <w:r w:rsidRPr="003D6E44">
        <w:rPr>
          <w:rStyle w:val="Nagwek4Znak"/>
          <w:rFonts w:eastAsia="Calibri"/>
        </w:rPr>
        <w:t>II.</w:t>
      </w:r>
      <w:r w:rsidR="000F528D">
        <w:rPr>
          <w:rStyle w:val="Nagwek4Znak"/>
          <w:rFonts w:eastAsia="Calibri"/>
        </w:rPr>
        <w:t>3</w:t>
      </w:r>
      <w:r w:rsidRPr="003D6E44">
        <w:rPr>
          <w:rStyle w:val="Nagwek4Znak"/>
          <w:rFonts w:eastAsia="Calibri"/>
        </w:rPr>
        <w:t>.7.</w:t>
      </w:r>
      <w:r w:rsidR="00EE7B30" w:rsidRPr="003D6E44">
        <w:rPr>
          <w:rStyle w:val="Nagwek4Znak"/>
          <w:rFonts w:eastAsia="Calibri"/>
        </w:rPr>
        <w:t>3</w:t>
      </w:r>
      <w:r w:rsidRPr="003D6E44">
        <w:rPr>
          <w:rStyle w:val="Nagwek4Znak"/>
          <w:rFonts w:eastAsia="Calibri"/>
        </w:rPr>
        <w:t>.</w:t>
      </w:r>
      <w:r w:rsidRPr="003D6E44">
        <w:rPr>
          <w:rStyle w:val="Nagwek4Znak"/>
          <w:rFonts w:eastAsia="Calibri"/>
        </w:rPr>
        <w:tab/>
        <w:t>Wymagania dla układów pomiarowo-rozliczeniowych kategorii C</w:t>
      </w:r>
      <w:r>
        <w:rPr>
          <w:rFonts w:eastAsia="Times New Roman"/>
        </w:rPr>
        <w:t>.</w:t>
      </w:r>
    </w:p>
    <w:p w14:paraId="487E2A2A" w14:textId="77777777" w:rsidR="00572BA3" w:rsidRDefault="00572BA3" w:rsidP="007B593C">
      <w:pPr>
        <w:spacing w:line="120" w:lineRule="exact"/>
        <w:rPr>
          <w:rFonts w:eastAsia="Times New Roman"/>
        </w:rPr>
      </w:pPr>
    </w:p>
    <w:p w14:paraId="2B246CF1" w14:textId="75D95F68" w:rsidR="00572BA3" w:rsidRDefault="00572BA3" w:rsidP="007B593C">
      <w:pPr>
        <w:tabs>
          <w:tab w:val="left" w:pos="1260"/>
        </w:tabs>
        <w:spacing w:line="0" w:lineRule="atLeast"/>
        <w:jc w:val="both"/>
        <w:rPr>
          <w:rFonts w:eastAsia="Times New Roman"/>
          <w:szCs w:val="24"/>
        </w:rPr>
      </w:pPr>
      <w:r>
        <w:rPr>
          <w:rFonts w:eastAsia="Times New Roman"/>
        </w:rPr>
        <w:t>II.</w:t>
      </w:r>
      <w:r w:rsidR="000F528D">
        <w:rPr>
          <w:rFonts w:eastAsia="Times New Roman"/>
        </w:rPr>
        <w:t>3</w:t>
      </w:r>
      <w:r>
        <w:rPr>
          <w:rFonts w:eastAsia="Times New Roman"/>
        </w:rPr>
        <w:t>.7.</w:t>
      </w:r>
      <w:r w:rsidR="00EE7B30">
        <w:rPr>
          <w:rFonts w:eastAsia="Times New Roman"/>
        </w:rPr>
        <w:t>3</w:t>
      </w:r>
      <w:r>
        <w:rPr>
          <w:rFonts w:eastAsia="Times New Roman"/>
        </w:rPr>
        <w:t>.1.</w:t>
      </w:r>
      <w:r>
        <w:rPr>
          <w:rFonts w:eastAsia="Times New Roman"/>
        </w:rPr>
        <w:tab/>
      </w:r>
      <w:r w:rsidR="004E20BB">
        <w:rPr>
          <w:rFonts w:eastAsia="Times New Roman"/>
        </w:rPr>
        <w:t xml:space="preserve">Układy </w:t>
      </w:r>
      <w:r w:rsidRPr="00AC7303">
        <w:rPr>
          <w:rFonts w:eastAsia="Times New Roman"/>
          <w:szCs w:val="24"/>
        </w:rPr>
        <w:t>pomiarow</w:t>
      </w:r>
      <w:r w:rsidR="004E20BB">
        <w:rPr>
          <w:rFonts w:eastAsia="Times New Roman"/>
          <w:szCs w:val="24"/>
        </w:rPr>
        <w:t>o-rozliczeniowe</w:t>
      </w:r>
      <w:r w:rsidRPr="00AC7303">
        <w:rPr>
          <w:rFonts w:eastAsia="Times New Roman"/>
          <w:szCs w:val="24"/>
        </w:rPr>
        <w:t xml:space="preserve"> kategorii C1 </w:t>
      </w:r>
      <w:r w:rsidR="004E20BB">
        <w:rPr>
          <w:rFonts w:eastAsia="Times New Roman"/>
          <w:szCs w:val="24"/>
        </w:rPr>
        <w:t xml:space="preserve">spełniają </w:t>
      </w:r>
      <w:r w:rsidRPr="00AC7303">
        <w:rPr>
          <w:rFonts w:eastAsia="Times New Roman"/>
          <w:szCs w:val="24"/>
        </w:rPr>
        <w:t>następujące</w:t>
      </w:r>
      <w:r w:rsidR="004E20BB">
        <w:rPr>
          <w:rFonts w:eastAsia="Times New Roman"/>
          <w:szCs w:val="24"/>
        </w:rPr>
        <w:t xml:space="preserve"> wymagania</w:t>
      </w:r>
      <w:r w:rsidRPr="00AC7303">
        <w:rPr>
          <w:rFonts w:eastAsia="Times New Roman"/>
          <w:szCs w:val="24"/>
        </w:rPr>
        <w:t>:</w:t>
      </w:r>
    </w:p>
    <w:p w14:paraId="386D2A42" w14:textId="77777777" w:rsidR="00A23A9F" w:rsidRPr="00A23A9F" w:rsidRDefault="00A23A9F">
      <w:pPr>
        <w:pStyle w:val="Akapitzlist"/>
        <w:widowControl w:val="0"/>
        <w:numPr>
          <w:ilvl w:val="5"/>
          <w:numId w:val="345"/>
        </w:numPr>
        <w:autoSpaceDE w:val="0"/>
        <w:autoSpaceDN w:val="0"/>
        <w:spacing w:before="5" w:line="249" w:lineRule="auto"/>
        <w:ind w:left="1560" w:right="-82" w:hanging="284"/>
        <w:jc w:val="both"/>
        <w:rPr>
          <w:color w:val="000000" w:themeColor="text1"/>
          <w:szCs w:val="24"/>
        </w:rPr>
      </w:pPr>
      <w:r w:rsidRPr="00A23A9F">
        <w:rPr>
          <w:color w:val="000000" w:themeColor="text1"/>
          <w:w w:val="105"/>
          <w:szCs w:val="24"/>
        </w:rPr>
        <w:t>przekładniki prądowe, o ile występują w układzie pomiarowo-rozliczeniowym, mają klasę dokładności nie gorszą niż</w:t>
      </w:r>
      <w:r w:rsidRPr="00A23A9F">
        <w:rPr>
          <w:color w:val="000000" w:themeColor="text1"/>
          <w:spacing w:val="-14"/>
          <w:w w:val="105"/>
          <w:szCs w:val="24"/>
        </w:rPr>
        <w:t xml:space="preserve"> </w:t>
      </w:r>
      <w:r w:rsidRPr="00A23A9F">
        <w:rPr>
          <w:color w:val="000000" w:themeColor="text1"/>
          <w:w w:val="105"/>
          <w:szCs w:val="24"/>
        </w:rPr>
        <w:t>0,2,</w:t>
      </w:r>
    </w:p>
    <w:p w14:paraId="4EFAFACB" w14:textId="58BD7FBA" w:rsidR="00A23A9F" w:rsidRPr="00A23A9F" w:rsidRDefault="00A23A9F">
      <w:pPr>
        <w:pStyle w:val="Akapitzlist"/>
        <w:widowControl w:val="0"/>
        <w:numPr>
          <w:ilvl w:val="5"/>
          <w:numId w:val="345"/>
        </w:numPr>
        <w:autoSpaceDE w:val="0"/>
        <w:autoSpaceDN w:val="0"/>
        <w:spacing w:before="2" w:line="249" w:lineRule="auto"/>
        <w:ind w:left="1560" w:right="-82" w:hanging="284"/>
        <w:jc w:val="both"/>
        <w:rPr>
          <w:color w:val="000000" w:themeColor="text1"/>
          <w:szCs w:val="24"/>
        </w:rPr>
      </w:pPr>
      <w:r w:rsidRPr="00A23A9F">
        <w:rPr>
          <w:color w:val="000000" w:themeColor="text1"/>
          <w:szCs w:val="24"/>
        </w:rPr>
        <w:t xml:space="preserve">liczniki konwencjonalne i liczniki zdalnego odczytu mają klasę dokładności nie gorszą niż B dla pomiaru energii czynnej oraz nie gorszą niż </w:t>
      </w:r>
      <w:r w:rsidR="00EE5458">
        <w:rPr>
          <w:color w:val="000000" w:themeColor="text1"/>
          <w:szCs w:val="24"/>
        </w:rPr>
        <w:t>1</w:t>
      </w:r>
      <w:r w:rsidRPr="00A23A9F">
        <w:rPr>
          <w:color w:val="000000" w:themeColor="text1"/>
          <w:szCs w:val="24"/>
        </w:rPr>
        <w:t xml:space="preserve"> dla pomiaru energii</w:t>
      </w:r>
      <w:r w:rsidRPr="00A23A9F">
        <w:rPr>
          <w:color w:val="000000" w:themeColor="text1"/>
          <w:spacing w:val="8"/>
          <w:szCs w:val="24"/>
        </w:rPr>
        <w:t xml:space="preserve"> </w:t>
      </w:r>
      <w:r w:rsidRPr="00A23A9F">
        <w:rPr>
          <w:color w:val="000000" w:themeColor="text1"/>
          <w:szCs w:val="24"/>
        </w:rPr>
        <w:t>biernej.</w:t>
      </w:r>
    </w:p>
    <w:p w14:paraId="2F7431AB" w14:textId="77777777" w:rsidR="00572BA3" w:rsidRPr="00AC7303" w:rsidRDefault="00572BA3" w:rsidP="007B593C">
      <w:pPr>
        <w:spacing w:line="12" w:lineRule="exact"/>
        <w:jc w:val="both"/>
        <w:rPr>
          <w:rFonts w:eastAsia="Times New Roman"/>
          <w:szCs w:val="24"/>
        </w:rPr>
      </w:pPr>
    </w:p>
    <w:p w14:paraId="29FFAA70" w14:textId="08B84596" w:rsidR="00C40932" w:rsidRDefault="00572BA3" w:rsidP="00C40932">
      <w:pPr>
        <w:tabs>
          <w:tab w:val="left" w:pos="1260"/>
        </w:tabs>
        <w:spacing w:line="0" w:lineRule="atLeast"/>
        <w:jc w:val="both"/>
        <w:rPr>
          <w:rFonts w:eastAsia="Times New Roman"/>
          <w:szCs w:val="24"/>
        </w:rPr>
      </w:pPr>
      <w:r w:rsidRPr="00AC7303">
        <w:rPr>
          <w:rFonts w:eastAsia="Times New Roman"/>
          <w:szCs w:val="24"/>
        </w:rPr>
        <w:t>II.</w:t>
      </w:r>
      <w:r w:rsidR="000F528D" w:rsidRPr="00AC7303">
        <w:rPr>
          <w:rFonts w:eastAsia="Times New Roman"/>
          <w:szCs w:val="24"/>
        </w:rPr>
        <w:t>3</w:t>
      </w:r>
      <w:r w:rsidRPr="00AC7303">
        <w:rPr>
          <w:rFonts w:eastAsia="Times New Roman"/>
          <w:szCs w:val="24"/>
        </w:rPr>
        <w:t>.7.</w:t>
      </w:r>
      <w:r w:rsidR="00EE7B30" w:rsidRPr="00AC7303">
        <w:rPr>
          <w:rFonts w:eastAsia="Times New Roman"/>
          <w:szCs w:val="24"/>
        </w:rPr>
        <w:t>3</w:t>
      </w:r>
      <w:r w:rsidRPr="00AC7303">
        <w:rPr>
          <w:rFonts w:eastAsia="Times New Roman"/>
          <w:szCs w:val="24"/>
        </w:rPr>
        <w:t>.2.</w:t>
      </w:r>
      <w:r w:rsidRPr="00AC7303">
        <w:rPr>
          <w:rFonts w:eastAsia="Times New Roman"/>
          <w:szCs w:val="24"/>
        </w:rPr>
        <w:tab/>
      </w:r>
      <w:r w:rsidR="00C40932">
        <w:rPr>
          <w:rFonts w:eastAsia="Times New Roman"/>
        </w:rPr>
        <w:t xml:space="preserve">Układy </w:t>
      </w:r>
      <w:r w:rsidR="00C40932" w:rsidRPr="00AC7303">
        <w:rPr>
          <w:rFonts w:eastAsia="Times New Roman"/>
          <w:szCs w:val="24"/>
        </w:rPr>
        <w:t>pomiarow</w:t>
      </w:r>
      <w:r w:rsidR="00C40932">
        <w:rPr>
          <w:rFonts w:eastAsia="Times New Roman"/>
          <w:szCs w:val="24"/>
        </w:rPr>
        <w:t>o-rozliczeniowe</w:t>
      </w:r>
      <w:r w:rsidR="00C40932" w:rsidRPr="00AC7303">
        <w:rPr>
          <w:rFonts w:eastAsia="Times New Roman"/>
          <w:szCs w:val="24"/>
        </w:rPr>
        <w:t xml:space="preserve"> kategorii C</w:t>
      </w:r>
      <w:r w:rsidR="00EE5458">
        <w:rPr>
          <w:rFonts w:eastAsia="Times New Roman"/>
          <w:szCs w:val="24"/>
        </w:rPr>
        <w:t>2</w:t>
      </w:r>
      <w:r w:rsidR="00C40932" w:rsidRPr="00AC7303">
        <w:rPr>
          <w:rFonts w:eastAsia="Times New Roman"/>
          <w:szCs w:val="24"/>
        </w:rPr>
        <w:t xml:space="preserve"> </w:t>
      </w:r>
      <w:r w:rsidR="00C40932">
        <w:rPr>
          <w:rFonts w:eastAsia="Times New Roman"/>
          <w:szCs w:val="24"/>
        </w:rPr>
        <w:t xml:space="preserve">spełniają </w:t>
      </w:r>
      <w:r w:rsidR="00C40932" w:rsidRPr="00AC7303">
        <w:rPr>
          <w:rFonts w:eastAsia="Times New Roman"/>
          <w:szCs w:val="24"/>
        </w:rPr>
        <w:t>następujące</w:t>
      </w:r>
      <w:r w:rsidR="00C40932">
        <w:rPr>
          <w:rFonts w:eastAsia="Times New Roman"/>
          <w:szCs w:val="24"/>
        </w:rPr>
        <w:t xml:space="preserve"> wymagania</w:t>
      </w:r>
      <w:r w:rsidR="00C40932" w:rsidRPr="00AC7303">
        <w:rPr>
          <w:rFonts w:eastAsia="Times New Roman"/>
          <w:szCs w:val="24"/>
        </w:rPr>
        <w:t>:</w:t>
      </w:r>
    </w:p>
    <w:p w14:paraId="503A6114" w14:textId="1740DA6C" w:rsidR="00C40932" w:rsidRPr="00A23A9F" w:rsidRDefault="00C40932">
      <w:pPr>
        <w:pStyle w:val="Akapitzlist"/>
        <w:widowControl w:val="0"/>
        <w:numPr>
          <w:ilvl w:val="5"/>
          <w:numId w:val="346"/>
        </w:numPr>
        <w:autoSpaceDE w:val="0"/>
        <w:autoSpaceDN w:val="0"/>
        <w:spacing w:before="5" w:line="249" w:lineRule="auto"/>
        <w:ind w:left="1560" w:right="-82" w:hanging="284"/>
        <w:jc w:val="both"/>
        <w:rPr>
          <w:color w:val="000000" w:themeColor="text1"/>
          <w:szCs w:val="24"/>
        </w:rPr>
      </w:pPr>
      <w:r w:rsidRPr="00A23A9F">
        <w:rPr>
          <w:color w:val="000000" w:themeColor="text1"/>
          <w:w w:val="105"/>
          <w:szCs w:val="24"/>
        </w:rPr>
        <w:t>przekładniki prądowe, o ile występują, mają klasę dokładności nie gorszą niż</w:t>
      </w:r>
      <w:r w:rsidRPr="00A23A9F">
        <w:rPr>
          <w:color w:val="000000" w:themeColor="text1"/>
          <w:spacing w:val="-14"/>
          <w:w w:val="105"/>
          <w:szCs w:val="24"/>
        </w:rPr>
        <w:t xml:space="preserve"> </w:t>
      </w:r>
      <w:r w:rsidRPr="00A23A9F">
        <w:rPr>
          <w:color w:val="000000" w:themeColor="text1"/>
          <w:w w:val="105"/>
          <w:szCs w:val="24"/>
        </w:rPr>
        <w:t>0,2,</w:t>
      </w:r>
    </w:p>
    <w:p w14:paraId="7E7172B0" w14:textId="605819EB" w:rsidR="00572BA3" w:rsidRPr="00FB3BFC" w:rsidRDefault="00C40932">
      <w:pPr>
        <w:pStyle w:val="Akapitzlist"/>
        <w:widowControl w:val="0"/>
        <w:numPr>
          <w:ilvl w:val="5"/>
          <w:numId w:val="346"/>
        </w:numPr>
        <w:tabs>
          <w:tab w:val="left" w:pos="1260"/>
        </w:tabs>
        <w:autoSpaceDE w:val="0"/>
        <w:autoSpaceDN w:val="0"/>
        <w:spacing w:before="2" w:line="0" w:lineRule="atLeast"/>
        <w:ind w:left="1560" w:right="-82" w:hanging="284"/>
        <w:jc w:val="both"/>
        <w:rPr>
          <w:rFonts w:eastAsia="Times New Roman"/>
        </w:rPr>
      </w:pPr>
      <w:r w:rsidRPr="00FB3BFC">
        <w:rPr>
          <w:color w:val="000000" w:themeColor="text1"/>
          <w:szCs w:val="24"/>
        </w:rPr>
        <w:t xml:space="preserve">liczniki konwencjonalne i liczniki zdalnego odczytu mają klasę dokładności nie gorszą niż </w:t>
      </w:r>
      <w:r w:rsidR="00EE5458" w:rsidRPr="00FB3BFC">
        <w:rPr>
          <w:color w:val="000000" w:themeColor="text1"/>
          <w:szCs w:val="24"/>
        </w:rPr>
        <w:t>C</w:t>
      </w:r>
      <w:r w:rsidRPr="00FB3BFC">
        <w:rPr>
          <w:color w:val="000000" w:themeColor="text1"/>
          <w:szCs w:val="24"/>
        </w:rPr>
        <w:t xml:space="preserve"> dla pomiaru energii czynnej oraz nie gorszą niż </w:t>
      </w:r>
      <w:r w:rsidR="00EE5458" w:rsidRPr="00FB3BFC">
        <w:rPr>
          <w:color w:val="000000" w:themeColor="text1"/>
          <w:szCs w:val="24"/>
        </w:rPr>
        <w:t>1</w:t>
      </w:r>
      <w:r w:rsidRPr="00FB3BFC">
        <w:rPr>
          <w:color w:val="000000" w:themeColor="text1"/>
          <w:szCs w:val="24"/>
        </w:rPr>
        <w:t xml:space="preserve"> </w:t>
      </w:r>
      <w:r w:rsidR="00EE5458" w:rsidRPr="00FB3BFC">
        <w:rPr>
          <w:color w:val="000000" w:themeColor="text1"/>
          <w:szCs w:val="24"/>
        </w:rPr>
        <w:t xml:space="preserve">lub 1S </w:t>
      </w:r>
      <w:r w:rsidRPr="00FB3BFC">
        <w:rPr>
          <w:color w:val="000000" w:themeColor="text1"/>
          <w:szCs w:val="24"/>
        </w:rPr>
        <w:t>dla pomiaru energii</w:t>
      </w:r>
      <w:r w:rsidRPr="00FB3BFC">
        <w:rPr>
          <w:color w:val="000000" w:themeColor="text1"/>
          <w:spacing w:val="8"/>
          <w:szCs w:val="24"/>
        </w:rPr>
        <w:t xml:space="preserve"> </w:t>
      </w:r>
      <w:r w:rsidRPr="00FB3BFC">
        <w:rPr>
          <w:color w:val="000000" w:themeColor="text1"/>
          <w:szCs w:val="24"/>
        </w:rPr>
        <w:t>biernej.</w:t>
      </w:r>
    </w:p>
    <w:p w14:paraId="66050273" w14:textId="6F222F70" w:rsidR="00F2768A" w:rsidRDefault="00FB3BFC" w:rsidP="00FB3BFC">
      <w:pPr>
        <w:ind w:left="1418" w:hanging="1418"/>
        <w:jc w:val="both"/>
        <w:rPr>
          <w:color w:val="000000" w:themeColor="text1"/>
          <w:w w:val="105"/>
          <w:szCs w:val="24"/>
        </w:rPr>
      </w:pPr>
      <w:r w:rsidRPr="00AC7303">
        <w:rPr>
          <w:rFonts w:eastAsia="Times New Roman"/>
          <w:szCs w:val="24"/>
        </w:rPr>
        <w:t>II.3.7.3.2.</w:t>
      </w:r>
      <w:r>
        <w:rPr>
          <w:rFonts w:eastAsia="Times New Roman"/>
          <w:szCs w:val="24"/>
        </w:rPr>
        <w:t xml:space="preserve">  </w:t>
      </w:r>
      <w:r w:rsidRPr="00FB3BFC">
        <w:rPr>
          <w:color w:val="000000" w:themeColor="text1"/>
          <w:w w:val="105"/>
          <w:szCs w:val="24"/>
        </w:rPr>
        <w:t>Wymagania dla układów pomiarowo-rozliczeniowych wymienione w pkt II.</w:t>
      </w:r>
      <w:r>
        <w:rPr>
          <w:color w:val="000000" w:themeColor="text1"/>
          <w:w w:val="105"/>
          <w:szCs w:val="24"/>
        </w:rPr>
        <w:t>3</w:t>
      </w:r>
      <w:r w:rsidRPr="00FB3BFC">
        <w:rPr>
          <w:color w:val="000000" w:themeColor="text1"/>
          <w:w w:val="105"/>
          <w:szCs w:val="24"/>
        </w:rPr>
        <w:t>.7.</w:t>
      </w:r>
      <w:r>
        <w:rPr>
          <w:color w:val="000000" w:themeColor="text1"/>
          <w:w w:val="105"/>
          <w:szCs w:val="24"/>
        </w:rPr>
        <w:t>3</w:t>
      </w:r>
      <w:r w:rsidRPr="00FB3BFC">
        <w:rPr>
          <w:color w:val="000000" w:themeColor="text1"/>
          <w:w w:val="105"/>
          <w:szCs w:val="24"/>
        </w:rPr>
        <w:t xml:space="preserve">.1. i </w:t>
      </w:r>
      <w:r>
        <w:rPr>
          <w:color w:val="000000" w:themeColor="text1"/>
          <w:w w:val="105"/>
          <w:szCs w:val="24"/>
        </w:rPr>
        <w:t>II</w:t>
      </w:r>
      <w:r w:rsidRPr="00FB3BFC">
        <w:rPr>
          <w:color w:val="000000" w:themeColor="text1"/>
          <w:w w:val="105"/>
          <w:szCs w:val="24"/>
        </w:rPr>
        <w:t>.</w:t>
      </w:r>
      <w:r>
        <w:rPr>
          <w:color w:val="000000" w:themeColor="text1"/>
          <w:w w:val="105"/>
          <w:szCs w:val="24"/>
        </w:rPr>
        <w:t>3</w:t>
      </w:r>
      <w:r w:rsidRPr="00FB3BFC">
        <w:rPr>
          <w:color w:val="000000" w:themeColor="text1"/>
          <w:w w:val="105"/>
          <w:szCs w:val="24"/>
        </w:rPr>
        <w:t>.7.</w:t>
      </w:r>
      <w:r>
        <w:rPr>
          <w:color w:val="000000" w:themeColor="text1"/>
          <w:w w:val="105"/>
          <w:szCs w:val="24"/>
        </w:rPr>
        <w:t>3</w:t>
      </w:r>
      <w:r w:rsidRPr="00FB3BFC">
        <w:rPr>
          <w:color w:val="000000" w:themeColor="text1"/>
          <w:w w:val="105"/>
          <w:szCs w:val="24"/>
        </w:rPr>
        <w:t>.2. dotyczą układów pomiarowo-rozliczeniowych instalowanych lub modernizowanych objętych postepowaniami przetargowymi wszczętymi po dniu wejścia w życie rozporządzenia</w:t>
      </w:r>
      <w:r w:rsidRPr="00FB3BFC">
        <w:rPr>
          <w:color w:val="000000" w:themeColor="text1"/>
          <w:spacing w:val="8"/>
          <w:w w:val="105"/>
          <w:szCs w:val="24"/>
        </w:rPr>
        <w:t xml:space="preserve"> </w:t>
      </w:r>
      <w:r w:rsidRPr="00FB3BFC">
        <w:rPr>
          <w:color w:val="000000" w:themeColor="text1"/>
          <w:w w:val="105"/>
          <w:szCs w:val="24"/>
        </w:rPr>
        <w:t>pomiarowego</w:t>
      </w:r>
      <w:r w:rsidR="00914BF3">
        <w:rPr>
          <w:color w:val="000000" w:themeColor="text1"/>
          <w:w w:val="105"/>
          <w:szCs w:val="24"/>
        </w:rPr>
        <w:t>.</w:t>
      </w:r>
    </w:p>
    <w:p w14:paraId="3637EEA0" w14:textId="77777777" w:rsidR="005E226B" w:rsidRDefault="005E226B" w:rsidP="00FB3BFC">
      <w:pPr>
        <w:ind w:left="1418" w:hanging="1418"/>
        <w:jc w:val="both"/>
        <w:rPr>
          <w:rFonts w:eastAsia="Times New Roman"/>
          <w:color w:val="000000" w:themeColor="text1"/>
          <w:szCs w:val="24"/>
        </w:rPr>
      </w:pPr>
    </w:p>
    <w:p w14:paraId="59EC83C9" w14:textId="198D2224" w:rsidR="005E226B" w:rsidRDefault="005E226B" w:rsidP="005E226B">
      <w:pPr>
        <w:pStyle w:val="Nagwek4"/>
        <w:rPr>
          <w:rStyle w:val="Nagwek4Znak"/>
          <w:rFonts w:eastAsia="Calibri"/>
          <w:b/>
          <w:bCs/>
        </w:rPr>
      </w:pPr>
      <w:r>
        <w:rPr>
          <w:rStyle w:val="Nagwek4Znak"/>
          <w:rFonts w:eastAsia="Calibri"/>
          <w:b/>
          <w:bCs/>
        </w:rPr>
        <w:t xml:space="preserve">II.3.7.4. </w:t>
      </w:r>
      <w:r w:rsidRPr="005E226B">
        <w:rPr>
          <w:rStyle w:val="Nagwek4Znak"/>
          <w:rFonts w:eastAsia="Calibri"/>
          <w:b/>
          <w:bCs/>
        </w:rPr>
        <w:t xml:space="preserve">Wymagania </w:t>
      </w:r>
      <w:r>
        <w:rPr>
          <w:rStyle w:val="Nagwek4Znak"/>
          <w:rFonts w:eastAsia="Calibri"/>
          <w:b/>
          <w:bCs/>
        </w:rPr>
        <w:t xml:space="preserve">związane z systemami teletransmisji </w:t>
      </w:r>
    </w:p>
    <w:p w14:paraId="43A6BB4C" w14:textId="77777777" w:rsidR="005E226B" w:rsidRDefault="005E226B" w:rsidP="005E226B"/>
    <w:p w14:paraId="45C43707" w14:textId="206CF9DB" w:rsidR="005E226B" w:rsidRDefault="0040506E">
      <w:pPr>
        <w:pStyle w:val="Akapitzlist"/>
        <w:numPr>
          <w:ilvl w:val="0"/>
          <w:numId w:val="347"/>
        </w:numPr>
        <w:ind w:left="1276" w:hanging="1276"/>
        <w:jc w:val="both"/>
      </w:pPr>
      <w:r>
        <w:t>OSDn odpowiada za utrzymanie infrastruktury telekomunikacyjnej i informatycznej niezbędnej do właściwego prowadzenia ruchu sieci dla obszaru swojego działania.</w:t>
      </w:r>
    </w:p>
    <w:p w14:paraId="6D49B679" w14:textId="0AB40EC5" w:rsidR="0040506E" w:rsidRPr="00F93987" w:rsidRDefault="00077570">
      <w:pPr>
        <w:pStyle w:val="Akapitzlist"/>
        <w:numPr>
          <w:ilvl w:val="0"/>
          <w:numId w:val="347"/>
        </w:numPr>
        <w:ind w:left="1276" w:hanging="1276"/>
        <w:jc w:val="both"/>
        <w:rPr>
          <w:color w:val="000000" w:themeColor="text1"/>
        </w:rPr>
      </w:pPr>
      <w:r w:rsidRPr="00077570">
        <w:rPr>
          <w:color w:val="000000" w:themeColor="text1"/>
          <w:w w:val="105"/>
        </w:rPr>
        <w:t xml:space="preserve">Infrastruktura telekomunikacyjna powinna umożliwiać współpracę z sąsiednimi OSD, a w przypadkach określonych przez </w:t>
      </w:r>
      <w:r>
        <w:rPr>
          <w:color w:val="000000" w:themeColor="text1"/>
          <w:w w:val="105"/>
        </w:rPr>
        <w:t>OSDn</w:t>
      </w:r>
      <w:r w:rsidRPr="00077570">
        <w:rPr>
          <w:color w:val="000000" w:themeColor="text1"/>
          <w:w w:val="105"/>
        </w:rPr>
        <w:t xml:space="preserve"> również z podmiotami zakwalifikowanymi do pozostałych grup</w:t>
      </w:r>
      <w:r w:rsidRPr="00077570">
        <w:rPr>
          <w:color w:val="000000" w:themeColor="text1"/>
          <w:spacing w:val="-22"/>
          <w:w w:val="105"/>
        </w:rPr>
        <w:t xml:space="preserve"> </w:t>
      </w:r>
      <w:r w:rsidRPr="00077570">
        <w:rPr>
          <w:color w:val="000000" w:themeColor="text1"/>
          <w:w w:val="105"/>
        </w:rPr>
        <w:t>przyłączeniowych</w:t>
      </w:r>
      <w:r>
        <w:rPr>
          <w:color w:val="000000" w:themeColor="text1"/>
          <w:w w:val="105"/>
        </w:rPr>
        <w:t>.</w:t>
      </w:r>
    </w:p>
    <w:p w14:paraId="1D6214BE" w14:textId="77777777" w:rsidR="00F93987" w:rsidRDefault="00F93987" w:rsidP="00F93987">
      <w:pPr>
        <w:jc w:val="both"/>
        <w:rPr>
          <w:color w:val="000000" w:themeColor="text1"/>
        </w:rPr>
      </w:pPr>
    </w:p>
    <w:p w14:paraId="29E85C5D" w14:textId="77777777" w:rsidR="00F93987" w:rsidRDefault="00F93987" w:rsidP="00F93987">
      <w:pPr>
        <w:jc w:val="both"/>
        <w:rPr>
          <w:color w:val="000000" w:themeColor="text1"/>
        </w:rPr>
      </w:pPr>
    </w:p>
    <w:p w14:paraId="7A75ECF5" w14:textId="77777777" w:rsidR="00F93987" w:rsidRDefault="00F93987" w:rsidP="00F93987">
      <w:pPr>
        <w:jc w:val="both"/>
        <w:rPr>
          <w:color w:val="000000" w:themeColor="text1"/>
        </w:rPr>
      </w:pPr>
    </w:p>
    <w:p w14:paraId="664E3392" w14:textId="77777777" w:rsidR="00F93987" w:rsidRDefault="00F93987" w:rsidP="00F93987">
      <w:pPr>
        <w:jc w:val="both"/>
        <w:rPr>
          <w:color w:val="000000" w:themeColor="text1"/>
        </w:rPr>
      </w:pPr>
    </w:p>
    <w:p w14:paraId="4506422F" w14:textId="77777777" w:rsidR="00F93987" w:rsidRPr="00F93987" w:rsidRDefault="00F93987" w:rsidP="00F93987">
      <w:pPr>
        <w:jc w:val="both"/>
        <w:rPr>
          <w:color w:val="000000" w:themeColor="text1"/>
        </w:rPr>
      </w:pPr>
    </w:p>
    <w:p w14:paraId="693BD156" w14:textId="77777777" w:rsidR="00572BA3" w:rsidRPr="00CC7F92" w:rsidRDefault="00E26B85" w:rsidP="007E5121">
      <w:pPr>
        <w:pStyle w:val="Nagwek2"/>
        <w:ind w:left="567" w:hanging="567"/>
        <w:jc w:val="both"/>
        <w:rPr>
          <w:szCs w:val="24"/>
        </w:rPr>
      </w:pPr>
      <w:bookmarkStart w:id="21" w:name="_Toc141963873"/>
      <w:r>
        <w:lastRenderedPageBreak/>
        <w:t xml:space="preserve">II.4. </w:t>
      </w:r>
      <w:r w:rsidRPr="00CC7F92">
        <w:t xml:space="preserve">DANE PRZEKAZYWANE DO OSDn PRZEZ PODMIOTY PRZYŁĄCZONE </w:t>
      </w:r>
      <w:r w:rsidRPr="00CC7F92">
        <w:br/>
        <w:t>I PRZYŁĄCZANE DO SIECI DYSTRYBUCYJNEJ</w:t>
      </w:r>
      <w:bookmarkEnd w:id="21"/>
    </w:p>
    <w:tbl>
      <w:tblPr>
        <w:tblpPr w:leftFromText="141" w:rightFromText="141" w:vertAnchor="text" w:horzAnchor="margin" w:tblpY="531"/>
        <w:tblW w:w="9185" w:type="dxa"/>
        <w:tblLayout w:type="fixed"/>
        <w:tblCellMar>
          <w:left w:w="0" w:type="dxa"/>
          <w:right w:w="0" w:type="dxa"/>
        </w:tblCellMar>
        <w:tblLook w:val="0000" w:firstRow="0" w:lastRow="0" w:firstColumn="0" w:lastColumn="0" w:noHBand="0" w:noVBand="0"/>
      </w:tblPr>
      <w:tblGrid>
        <w:gridCol w:w="1242"/>
        <w:gridCol w:w="7943"/>
      </w:tblGrid>
      <w:tr w:rsidR="00685F28" w:rsidRPr="009016E8" w14:paraId="45E4BA2E" w14:textId="77777777" w:rsidTr="001574AB">
        <w:trPr>
          <w:trHeight w:val="109"/>
        </w:trPr>
        <w:tc>
          <w:tcPr>
            <w:tcW w:w="1242" w:type="dxa"/>
          </w:tcPr>
          <w:p w14:paraId="36DACF19" w14:textId="77777777" w:rsidR="00685F28" w:rsidRPr="00AD2C58" w:rsidRDefault="00685F28" w:rsidP="00685F28">
            <w:pPr>
              <w:autoSpaceDE w:val="0"/>
              <w:autoSpaceDN w:val="0"/>
              <w:adjustRightInd w:val="0"/>
              <w:spacing w:line="276" w:lineRule="auto"/>
              <w:jc w:val="both"/>
              <w:rPr>
                <w:rFonts w:cs="Times New Roman"/>
                <w:b/>
                <w:color w:val="000000"/>
                <w:szCs w:val="24"/>
              </w:rPr>
            </w:pPr>
            <w:r w:rsidRPr="00AD2C58">
              <w:rPr>
                <w:rFonts w:cs="Times New Roman"/>
                <w:b/>
                <w:color w:val="000000"/>
                <w:szCs w:val="24"/>
              </w:rPr>
              <w:t>II.4.1.</w:t>
            </w:r>
          </w:p>
        </w:tc>
        <w:tc>
          <w:tcPr>
            <w:tcW w:w="7943" w:type="dxa"/>
          </w:tcPr>
          <w:p w14:paraId="0347B96B" w14:textId="77777777" w:rsidR="00685F28" w:rsidRDefault="00685F28" w:rsidP="00685F28">
            <w:pPr>
              <w:spacing w:line="0" w:lineRule="atLeast"/>
              <w:rPr>
                <w:rFonts w:eastAsia="Times New Roman"/>
                <w:b/>
                <w:szCs w:val="24"/>
              </w:rPr>
            </w:pPr>
            <w:r w:rsidRPr="00CC7F92">
              <w:rPr>
                <w:rFonts w:eastAsia="Times New Roman"/>
                <w:b/>
                <w:szCs w:val="24"/>
              </w:rPr>
              <w:t>Zakres danych</w:t>
            </w:r>
          </w:p>
          <w:p w14:paraId="71A0EE59" w14:textId="77777777" w:rsidR="00134AD0" w:rsidRPr="009016E8" w:rsidRDefault="00134AD0" w:rsidP="00685F28">
            <w:pPr>
              <w:spacing w:line="0" w:lineRule="atLeast"/>
              <w:rPr>
                <w:rFonts w:cs="Times New Roman"/>
                <w:color w:val="000000"/>
                <w:szCs w:val="24"/>
              </w:rPr>
            </w:pPr>
          </w:p>
        </w:tc>
      </w:tr>
      <w:tr w:rsidR="00685F28" w:rsidRPr="009016E8" w14:paraId="24B9AAB6" w14:textId="77777777" w:rsidTr="001574AB">
        <w:trPr>
          <w:trHeight w:val="109"/>
        </w:trPr>
        <w:tc>
          <w:tcPr>
            <w:tcW w:w="1242" w:type="dxa"/>
          </w:tcPr>
          <w:p w14:paraId="72C74C34" w14:textId="77777777" w:rsidR="00685F28" w:rsidRPr="00AD2C58" w:rsidRDefault="00685F28" w:rsidP="00685F28">
            <w:pPr>
              <w:autoSpaceDE w:val="0"/>
              <w:autoSpaceDN w:val="0"/>
              <w:adjustRightInd w:val="0"/>
              <w:spacing w:line="276" w:lineRule="auto"/>
              <w:jc w:val="both"/>
              <w:rPr>
                <w:rFonts w:cs="Times New Roman"/>
                <w:color w:val="000000"/>
                <w:szCs w:val="24"/>
              </w:rPr>
            </w:pPr>
            <w:r w:rsidRPr="00AD2C58">
              <w:rPr>
                <w:rFonts w:cs="Times New Roman"/>
                <w:color w:val="000000"/>
                <w:szCs w:val="24"/>
              </w:rPr>
              <w:t>II.4.1.1.</w:t>
            </w:r>
          </w:p>
        </w:tc>
        <w:tc>
          <w:tcPr>
            <w:tcW w:w="7943" w:type="dxa"/>
          </w:tcPr>
          <w:p w14:paraId="62C34A65" w14:textId="77777777" w:rsidR="00685F28" w:rsidRPr="00AD2C58" w:rsidRDefault="00685F28" w:rsidP="00685F28">
            <w:pPr>
              <w:spacing w:line="276" w:lineRule="auto"/>
              <w:ind w:left="148"/>
              <w:jc w:val="both"/>
              <w:rPr>
                <w:rFonts w:eastAsia="Times New Roman"/>
                <w:szCs w:val="24"/>
              </w:rPr>
            </w:pPr>
            <w:r w:rsidRPr="00AD2C58">
              <w:rPr>
                <w:rFonts w:eastAsia="Times New Roman"/>
                <w:szCs w:val="24"/>
              </w:rPr>
              <w:t>Dane przekazywane do OSDn przez podmioty przyłączane i przyłączone do sieci dystrybucyjnej</w:t>
            </w:r>
            <w:r w:rsidR="00FC30C6">
              <w:rPr>
                <w:rFonts w:eastAsia="Times New Roman"/>
                <w:szCs w:val="24"/>
              </w:rPr>
              <w:t xml:space="preserve"> nie ujęte w punkcie II.4.1.2.</w:t>
            </w:r>
            <w:r w:rsidRPr="00AD2C58">
              <w:rPr>
                <w:rFonts w:eastAsia="Times New Roman"/>
                <w:szCs w:val="24"/>
              </w:rPr>
              <w:t xml:space="preserve"> obejmują:</w:t>
            </w:r>
          </w:p>
          <w:p w14:paraId="7909E6EB" w14:textId="77777777" w:rsidR="00685F28" w:rsidRPr="00AD2C58" w:rsidRDefault="00685F28">
            <w:pPr>
              <w:numPr>
                <w:ilvl w:val="0"/>
                <w:numId w:val="226"/>
              </w:numPr>
              <w:autoSpaceDE w:val="0"/>
              <w:autoSpaceDN w:val="0"/>
              <w:adjustRightInd w:val="0"/>
              <w:spacing w:line="276" w:lineRule="auto"/>
              <w:ind w:left="432" w:right="20" w:hanging="284"/>
              <w:jc w:val="both"/>
              <w:rPr>
                <w:rFonts w:cs="Times New Roman"/>
                <w:szCs w:val="24"/>
              </w:rPr>
            </w:pPr>
            <w:r w:rsidRPr="00AD2C58">
              <w:rPr>
                <w:rFonts w:cs="Times New Roman"/>
                <w:szCs w:val="24"/>
              </w:rPr>
              <w:t>dane opisujące stan istniejący,</w:t>
            </w:r>
          </w:p>
          <w:p w14:paraId="0BECCA99" w14:textId="77777777" w:rsidR="00685F28" w:rsidRPr="00AD2C58" w:rsidRDefault="00685F28">
            <w:pPr>
              <w:numPr>
                <w:ilvl w:val="0"/>
                <w:numId w:val="226"/>
              </w:numPr>
              <w:autoSpaceDE w:val="0"/>
              <w:autoSpaceDN w:val="0"/>
              <w:adjustRightInd w:val="0"/>
              <w:spacing w:line="276" w:lineRule="auto"/>
              <w:ind w:left="432" w:right="20" w:hanging="284"/>
              <w:jc w:val="both"/>
              <w:rPr>
                <w:rFonts w:cs="Times New Roman"/>
                <w:szCs w:val="24"/>
              </w:rPr>
            </w:pPr>
            <w:r w:rsidRPr="00AD2C58">
              <w:rPr>
                <w:rFonts w:eastAsia="Times New Roman"/>
                <w:szCs w:val="24"/>
              </w:rPr>
              <w:t xml:space="preserve">dane </w:t>
            </w:r>
            <w:r w:rsidRPr="00AD2C58">
              <w:rPr>
                <w:rFonts w:cs="Times New Roman"/>
                <w:color w:val="000000"/>
                <w:szCs w:val="24"/>
              </w:rPr>
              <w:t>prognozowane dla perspektywy określonej przez OSDn,</w:t>
            </w:r>
          </w:p>
          <w:p w14:paraId="16250190" w14:textId="77777777" w:rsidR="00134AD0" w:rsidRPr="00AD2C58" w:rsidRDefault="00685F28">
            <w:pPr>
              <w:numPr>
                <w:ilvl w:val="0"/>
                <w:numId w:val="226"/>
              </w:numPr>
              <w:autoSpaceDE w:val="0"/>
              <w:autoSpaceDN w:val="0"/>
              <w:adjustRightInd w:val="0"/>
              <w:spacing w:line="276" w:lineRule="auto"/>
              <w:ind w:left="432" w:right="20" w:hanging="284"/>
              <w:jc w:val="both"/>
              <w:rPr>
                <w:rFonts w:cs="Times New Roman"/>
                <w:color w:val="000000"/>
                <w:szCs w:val="24"/>
              </w:rPr>
            </w:pPr>
            <w:r w:rsidRPr="00AD2C58">
              <w:rPr>
                <w:rFonts w:eastAsia="Times New Roman"/>
                <w:szCs w:val="24"/>
              </w:rPr>
              <w:t>dane pomiarowe opisujące stan pracy sieci, inne niż pomiary energii elektrycznej.</w:t>
            </w:r>
          </w:p>
        </w:tc>
      </w:tr>
      <w:tr w:rsidR="00685F28" w:rsidRPr="009016E8" w14:paraId="045F9328" w14:textId="77777777" w:rsidTr="001574AB">
        <w:trPr>
          <w:trHeight w:val="109"/>
        </w:trPr>
        <w:tc>
          <w:tcPr>
            <w:tcW w:w="1242" w:type="dxa"/>
          </w:tcPr>
          <w:p w14:paraId="01D6C0D8" w14:textId="77777777" w:rsidR="00685F28" w:rsidRPr="009016E8" w:rsidRDefault="00685F28" w:rsidP="00685F28">
            <w:pPr>
              <w:autoSpaceDE w:val="0"/>
              <w:autoSpaceDN w:val="0"/>
              <w:adjustRightInd w:val="0"/>
              <w:spacing w:line="276" w:lineRule="auto"/>
              <w:jc w:val="both"/>
              <w:rPr>
                <w:rFonts w:cs="Times New Roman"/>
                <w:color w:val="000000"/>
                <w:szCs w:val="24"/>
              </w:rPr>
            </w:pPr>
            <w:r>
              <w:rPr>
                <w:rFonts w:cs="Times New Roman"/>
                <w:color w:val="000000"/>
                <w:szCs w:val="24"/>
              </w:rPr>
              <w:t>II.4.1.2.</w:t>
            </w:r>
          </w:p>
        </w:tc>
        <w:tc>
          <w:tcPr>
            <w:tcW w:w="7943" w:type="dxa"/>
          </w:tcPr>
          <w:p w14:paraId="26B0BED7" w14:textId="77777777" w:rsidR="00134AD0" w:rsidRDefault="00200F62" w:rsidP="00200F62">
            <w:pPr>
              <w:spacing w:line="276" w:lineRule="auto"/>
              <w:jc w:val="both"/>
              <w:rPr>
                <w:rFonts w:eastAsia="Times New Roman"/>
              </w:rPr>
            </w:pPr>
            <w:r w:rsidRPr="00C6236A">
              <w:rPr>
                <w:rFonts w:cs="Times New Roman"/>
                <w:color w:val="000000"/>
                <w:szCs w:val="24"/>
              </w:rPr>
              <w:t xml:space="preserve">Podmioty przyłączane i przyłączone do sieci OSDn, mają obowiązek zgodnie </w:t>
            </w:r>
            <w:r>
              <w:rPr>
                <w:rFonts w:cs="Times New Roman"/>
                <w:color w:val="000000"/>
                <w:szCs w:val="24"/>
              </w:rPr>
              <w:br/>
            </w:r>
            <w:r w:rsidRPr="00C6236A">
              <w:rPr>
                <w:rFonts w:cs="Times New Roman"/>
                <w:color w:val="000000"/>
                <w:szCs w:val="24"/>
              </w:rPr>
              <w:t>z TCM przekazywania danych strukturalnych do OSP lub OSDn</w:t>
            </w:r>
          </w:p>
          <w:p w14:paraId="65960390" w14:textId="77777777" w:rsidR="00200F62" w:rsidRPr="00C6236A" w:rsidRDefault="00200F62" w:rsidP="00200F62">
            <w:pPr>
              <w:spacing w:line="0" w:lineRule="atLeast"/>
              <w:ind w:left="993" w:right="2" w:hanging="993"/>
              <w:jc w:val="both"/>
              <w:rPr>
                <w:rFonts w:cs="Times New Roman"/>
                <w:color w:val="000000"/>
                <w:szCs w:val="24"/>
              </w:rPr>
            </w:pPr>
            <w:r w:rsidRPr="00C6236A">
              <w:rPr>
                <w:rFonts w:cs="Times New Roman"/>
                <w:color w:val="000000"/>
                <w:szCs w:val="24"/>
              </w:rPr>
              <w:t>W sytuacji, gdy:</w:t>
            </w:r>
          </w:p>
          <w:p w14:paraId="4713AAC4" w14:textId="77777777" w:rsidR="00200F62" w:rsidRPr="00C6236A" w:rsidRDefault="00200F62">
            <w:pPr>
              <w:numPr>
                <w:ilvl w:val="0"/>
                <w:numId w:val="268"/>
              </w:numPr>
              <w:spacing w:line="0" w:lineRule="atLeast"/>
              <w:ind w:left="453" w:right="2" w:hanging="283"/>
              <w:jc w:val="both"/>
              <w:rPr>
                <w:rFonts w:cs="Times New Roman"/>
                <w:color w:val="000000"/>
                <w:szCs w:val="24"/>
              </w:rPr>
            </w:pPr>
            <w:r w:rsidRPr="00C6236A">
              <w:rPr>
                <w:rFonts w:cs="Times New Roman"/>
                <w:color w:val="000000"/>
                <w:szCs w:val="24"/>
              </w:rPr>
              <w:t>obowiązek ten dotyczy przekazywania danych bezpośrednio do OSP, zasady wykonania tego obowiązku wskazane są na stronie internetowej OSP,</w:t>
            </w:r>
          </w:p>
          <w:p w14:paraId="588AF9EB" w14:textId="77777777" w:rsidR="00200F62" w:rsidRPr="00C6236A" w:rsidRDefault="00200F62">
            <w:pPr>
              <w:numPr>
                <w:ilvl w:val="0"/>
                <w:numId w:val="268"/>
              </w:numPr>
              <w:spacing w:line="0" w:lineRule="atLeast"/>
              <w:ind w:left="453" w:right="2" w:hanging="283"/>
              <w:jc w:val="both"/>
              <w:rPr>
                <w:rFonts w:cs="Times New Roman"/>
                <w:color w:val="000000"/>
                <w:szCs w:val="24"/>
              </w:rPr>
            </w:pPr>
            <w:r w:rsidRPr="00C6236A">
              <w:rPr>
                <w:rFonts w:cs="Times New Roman"/>
                <w:color w:val="000000"/>
                <w:szCs w:val="24"/>
              </w:rPr>
              <w:t>obowiązek ten dotyczy przekazywania danych bezpośrednio do OSDn, zasady wykonywania tego obowiązku wskazane są na stronie internetowej OSDn.</w:t>
            </w:r>
          </w:p>
          <w:p w14:paraId="66A2889B" w14:textId="77777777" w:rsidR="00BF05FD" w:rsidRPr="009016E8" w:rsidRDefault="00BF05FD" w:rsidP="00BF05FD">
            <w:pPr>
              <w:spacing w:line="276" w:lineRule="auto"/>
              <w:ind w:left="148"/>
              <w:jc w:val="both"/>
              <w:rPr>
                <w:rFonts w:cs="Times New Roman"/>
                <w:color w:val="000000"/>
                <w:szCs w:val="24"/>
              </w:rPr>
            </w:pPr>
          </w:p>
        </w:tc>
      </w:tr>
      <w:tr w:rsidR="001574AB" w:rsidRPr="009016E8" w14:paraId="14DE8698" w14:textId="77777777" w:rsidTr="001574AB">
        <w:trPr>
          <w:trHeight w:val="109"/>
        </w:trPr>
        <w:tc>
          <w:tcPr>
            <w:tcW w:w="1242" w:type="dxa"/>
          </w:tcPr>
          <w:p w14:paraId="619D07C6" w14:textId="77777777" w:rsidR="001574AB" w:rsidRDefault="001574AB" w:rsidP="00685F28">
            <w:pPr>
              <w:autoSpaceDE w:val="0"/>
              <w:autoSpaceDN w:val="0"/>
              <w:adjustRightInd w:val="0"/>
              <w:spacing w:line="276" w:lineRule="auto"/>
              <w:jc w:val="both"/>
              <w:rPr>
                <w:rFonts w:cs="Times New Roman"/>
                <w:color w:val="000000"/>
                <w:szCs w:val="24"/>
              </w:rPr>
            </w:pPr>
            <w:r>
              <w:rPr>
                <w:rFonts w:cs="Times New Roman"/>
                <w:color w:val="000000"/>
                <w:szCs w:val="24"/>
              </w:rPr>
              <w:t>II.4.1.3.</w:t>
            </w:r>
          </w:p>
        </w:tc>
        <w:tc>
          <w:tcPr>
            <w:tcW w:w="7943" w:type="dxa"/>
          </w:tcPr>
          <w:p w14:paraId="60401124" w14:textId="4C73A051" w:rsidR="001574AB" w:rsidRPr="00C6236A" w:rsidRDefault="001574AB" w:rsidP="00200F62">
            <w:pPr>
              <w:spacing w:line="276" w:lineRule="auto"/>
              <w:jc w:val="both"/>
              <w:rPr>
                <w:rFonts w:cs="Times New Roman"/>
                <w:color w:val="000000"/>
                <w:szCs w:val="24"/>
              </w:rPr>
            </w:pPr>
            <w:r w:rsidRPr="00C6236A">
              <w:rPr>
                <w:rFonts w:cs="Times New Roman"/>
                <w:color w:val="000000"/>
                <w:szCs w:val="24"/>
              </w:rPr>
              <w:t>Dane strukturalne, pozyskiwane przez OSP za pośrednictwem OSDn są przekazywane corocznie przez podmioty przekazujące dane do OSDn, w terminie do dnia 15-go sierpnia roku poprzedzającego, na kolejne 5 lat kalendarzowych, przy czym każdy podmiot przekazujący dane do OSDn dokonuje przeglądu przekazywanych informacji przekazuje zaktualizowane informacje do OSDn, zgodnie z zasadami określonymi</w:t>
            </w:r>
            <w:r>
              <w:rPr>
                <w:rFonts w:cs="Times New Roman"/>
                <w:color w:val="000000"/>
                <w:szCs w:val="24"/>
              </w:rPr>
              <w:t xml:space="preserve"> </w:t>
            </w:r>
            <w:r w:rsidRPr="00C6236A">
              <w:rPr>
                <w:rFonts w:cs="Times New Roman"/>
                <w:color w:val="000000"/>
                <w:szCs w:val="24"/>
              </w:rPr>
              <w:t>w TCM</w:t>
            </w:r>
            <w:r w:rsidR="00AE3EA3">
              <w:rPr>
                <w:rFonts w:cs="Times New Roman"/>
                <w:color w:val="000000"/>
                <w:szCs w:val="24"/>
              </w:rPr>
              <w:t>.</w:t>
            </w:r>
          </w:p>
        </w:tc>
      </w:tr>
      <w:tr w:rsidR="001574AB" w:rsidRPr="009016E8" w14:paraId="59E175EA" w14:textId="77777777" w:rsidTr="001574AB">
        <w:trPr>
          <w:trHeight w:val="109"/>
        </w:trPr>
        <w:tc>
          <w:tcPr>
            <w:tcW w:w="1242" w:type="dxa"/>
          </w:tcPr>
          <w:p w14:paraId="37DE3A01" w14:textId="77777777" w:rsidR="001574AB" w:rsidRDefault="001574AB" w:rsidP="00685F28">
            <w:pPr>
              <w:autoSpaceDE w:val="0"/>
              <w:autoSpaceDN w:val="0"/>
              <w:adjustRightInd w:val="0"/>
              <w:spacing w:line="276" w:lineRule="auto"/>
              <w:jc w:val="both"/>
              <w:rPr>
                <w:rFonts w:cs="Times New Roman"/>
                <w:color w:val="000000"/>
                <w:szCs w:val="24"/>
              </w:rPr>
            </w:pPr>
          </w:p>
        </w:tc>
        <w:tc>
          <w:tcPr>
            <w:tcW w:w="7943" w:type="dxa"/>
          </w:tcPr>
          <w:p w14:paraId="63640876" w14:textId="77777777" w:rsidR="001574AB" w:rsidRDefault="001574AB" w:rsidP="00200F62">
            <w:pPr>
              <w:spacing w:line="276" w:lineRule="auto"/>
              <w:jc w:val="both"/>
              <w:rPr>
                <w:rFonts w:cs="Times New Roman"/>
                <w:color w:val="000000"/>
                <w:szCs w:val="24"/>
              </w:rPr>
            </w:pPr>
          </w:p>
          <w:p w14:paraId="0FA57761" w14:textId="77777777" w:rsidR="0077698B" w:rsidRPr="00C6236A" w:rsidRDefault="0077698B" w:rsidP="00200F62">
            <w:pPr>
              <w:spacing w:line="276" w:lineRule="auto"/>
              <w:jc w:val="both"/>
              <w:rPr>
                <w:rFonts w:cs="Times New Roman"/>
                <w:color w:val="000000"/>
                <w:szCs w:val="24"/>
              </w:rPr>
            </w:pPr>
          </w:p>
        </w:tc>
      </w:tr>
      <w:tr w:rsidR="00685F28" w:rsidRPr="009016E8" w14:paraId="13DD7B3F" w14:textId="77777777" w:rsidTr="00BF05FD">
        <w:trPr>
          <w:trHeight w:val="109"/>
        </w:trPr>
        <w:tc>
          <w:tcPr>
            <w:tcW w:w="1242" w:type="dxa"/>
          </w:tcPr>
          <w:p w14:paraId="39757C42" w14:textId="77777777" w:rsidR="00685F28" w:rsidRPr="003B3281" w:rsidRDefault="00685F28" w:rsidP="00685F28">
            <w:pPr>
              <w:autoSpaceDE w:val="0"/>
              <w:autoSpaceDN w:val="0"/>
              <w:adjustRightInd w:val="0"/>
              <w:spacing w:line="276" w:lineRule="auto"/>
              <w:jc w:val="both"/>
              <w:rPr>
                <w:rFonts w:cs="Times New Roman"/>
                <w:b/>
                <w:color w:val="000000"/>
                <w:szCs w:val="24"/>
              </w:rPr>
            </w:pPr>
            <w:r w:rsidRPr="003B3281">
              <w:rPr>
                <w:rFonts w:cs="Times New Roman"/>
                <w:b/>
                <w:color w:val="000000"/>
                <w:szCs w:val="24"/>
              </w:rPr>
              <w:t>II.4.2.</w:t>
            </w:r>
          </w:p>
        </w:tc>
        <w:tc>
          <w:tcPr>
            <w:tcW w:w="7943" w:type="dxa"/>
          </w:tcPr>
          <w:p w14:paraId="6B2CB92E" w14:textId="77777777" w:rsidR="00685F28" w:rsidRDefault="00685F28" w:rsidP="00685F28">
            <w:pPr>
              <w:tabs>
                <w:tab w:val="left" w:pos="1120"/>
              </w:tabs>
              <w:spacing w:line="276" w:lineRule="auto"/>
              <w:rPr>
                <w:rFonts w:eastAsia="Times New Roman"/>
                <w:b/>
              </w:rPr>
            </w:pPr>
            <w:r>
              <w:rPr>
                <w:rFonts w:eastAsia="Times New Roman"/>
                <w:b/>
              </w:rPr>
              <w:t>Dane opisujące stan istniejący</w:t>
            </w:r>
          </w:p>
          <w:p w14:paraId="2DC9054F" w14:textId="77777777" w:rsidR="00134AD0" w:rsidRPr="009016E8" w:rsidRDefault="00134AD0" w:rsidP="00685F28">
            <w:pPr>
              <w:tabs>
                <w:tab w:val="left" w:pos="1120"/>
              </w:tabs>
              <w:spacing w:line="276" w:lineRule="auto"/>
              <w:rPr>
                <w:rFonts w:cs="Times New Roman"/>
                <w:color w:val="000000"/>
                <w:szCs w:val="24"/>
              </w:rPr>
            </w:pPr>
          </w:p>
        </w:tc>
      </w:tr>
      <w:tr w:rsidR="00685F28" w:rsidRPr="009016E8" w14:paraId="1570957A" w14:textId="77777777" w:rsidTr="00685F28">
        <w:trPr>
          <w:trHeight w:val="109"/>
        </w:trPr>
        <w:tc>
          <w:tcPr>
            <w:tcW w:w="1242" w:type="dxa"/>
          </w:tcPr>
          <w:p w14:paraId="32CDE7AB" w14:textId="77777777" w:rsidR="00685F28" w:rsidRPr="009016E8" w:rsidRDefault="00685F28" w:rsidP="00685F28">
            <w:pPr>
              <w:autoSpaceDE w:val="0"/>
              <w:autoSpaceDN w:val="0"/>
              <w:adjustRightInd w:val="0"/>
              <w:spacing w:line="276" w:lineRule="auto"/>
              <w:jc w:val="both"/>
              <w:rPr>
                <w:rFonts w:cs="Times New Roman"/>
                <w:color w:val="000000"/>
                <w:szCs w:val="24"/>
              </w:rPr>
            </w:pPr>
            <w:r>
              <w:rPr>
                <w:rFonts w:cs="Times New Roman"/>
                <w:color w:val="000000"/>
                <w:szCs w:val="24"/>
              </w:rPr>
              <w:t>II.4.2.1.</w:t>
            </w:r>
          </w:p>
        </w:tc>
        <w:tc>
          <w:tcPr>
            <w:tcW w:w="7943" w:type="dxa"/>
          </w:tcPr>
          <w:p w14:paraId="203D6569" w14:textId="77777777" w:rsidR="00685F28" w:rsidRDefault="00685F28" w:rsidP="00685F28">
            <w:pPr>
              <w:autoSpaceDE w:val="0"/>
              <w:autoSpaceDN w:val="0"/>
              <w:adjustRightInd w:val="0"/>
              <w:spacing w:line="276" w:lineRule="auto"/>
              <w:ind w:left="148" w:right="20"/>
              <w:jc w:val="both"/>
              <w:rPr>
                <w:rFonts w:eastAsia="Times New Roman"/>
              </w:rPr>
            </w:pPr>
            <w:r>
              <w:rPr>
                <w:rFonts w:eastAsia="Times New Roman"/>
              </w:rPr>
              <w:t>Wytwórcy przekazują do OSDn następujące dane opisujące stany istniejące swoich instalacji i urządzeń:</w:t>
            </w:r>
          </w:p>
          <w:p w14:paraId="6E684243" w14:textId="77777777" w:rsidR="00685F28" w:rsidRDefault="00685F28">
            <w:pPr>
              <w:numPr>
                <w:ilvl w:val="0"/>
                <w:numId w:val="227"/>
              </w:numPr>
              <w:spacing w:line="276" w:lineRule="auto"/>
              <w:ind w:left="432" w:hanging="284"/>
              <w:jc w:val="both"/>
              <w:rPr>
                <w:rFonts w:eastAsia="Times New Roman"/>
              </w:rPr>
            </w:pPr>
            <w:r>
              <w:rPr>
                <w:rFonts w:eastAsia="Times New Roman"/>
              </w:rPr>
              <w:t>nazwę węzła i napięcie przyłączenia,</w:t>
            </w:r>
          </w:p>
          <w:p w14:paraId="30C2EB5E" w14:textId="77777777" w:rsidR="00685F28" w:rsidRDefault="00685F28">
            <w:pPr>
              <w:numPr>
                <w:ilvl w:val="0"/>
                <w:numId w:val="227"/>
              </w:numPr>
              <w:spacing w:line="276" w:lineRule="auto"/>
              <w:ind w:left="432" w:hanging="284"/>
              <w:jc w:val="both"/>
              <w:rPr>
                <w:rFonts w:eastAsia="Times New Roman"/>
              </w:rPr>
            </w:pPr>
            <w:r>
              <w:rPr>
                <w:rFonts w:eastAsia="Times New Roman"/>
              </w:rPr>
              <w:t>moc osiągalną,</w:t>
            </w:r>
          </w:p>
          <w:p w14:paraId="40CC45B2" w14:textId="77777777" w:rsidR="00685F28" w:rsidRDefault="00685F28">
            <w:pPr>
              <w:numPr>
                <w:ilvl w:val="0"/>
                <w:numId w:val="227"/>
              </w:numPr>
              <w:spacing w:line="276" w:lineRule="auto"/>
              <w:ind w:left="432" w:hanging="284"/>
              <w:rPr>
                <w:rFonts w:eastAsia="Times New Roman"/>
              </w:rPr>
            </w:pPr>
            <w:r>
              <w:rPr>
                <w:rFonts w:eastAsia="Times New Roman"/>
              </w:rPr>
              <w:t>schematy, plany i konfigurację głównych układów elektrycznych,</w:t>
            </w:r>
          </w:p>
          <w:p w14:paraId="779AA19E" w14:textId="77777777" w:rsidR="00685F28" w:rsidRDefault="00685F28">
            <w:pPr>
              <w:numPr>
                <w:ilvl w:val="0"/>
                <w:numId w:val="227"/>
              </w:numPr>
              <w:spacing w:line="276" w:lineRule="auto"/>
              <w:ind w:left="432" w:hanging="284"/>
              <w:rPr>
                <w:rFonts w:eastAsia="Times New Roman"/>
              </w:rPr>
            </w:pPr>
            <w:r>
              <w:rPr>
                <w:rFonts w:eastAsia="Times New Roman"/>
              </w:rPr>
              <w:t>dane jednostek wytwórczych,</w:t>
            </w:r>
          </w:p>
          <w:p w14:paraId="02371015" w14:textId="77777777" w:rsidR="00685F28" w:rsidRPr="009016E8" w:rsidRDefault="00685F28">
            <w:pPr>
              <w:numPr>
                <w:ilvl w:val="0"/>
                <w:numId w:val="227"/>
              </w:numPr>
              <w:autoSpaceDE w:val="0"/>
              <w:autoSpaceDN w:val="0"/>
              <w:adjustRightInd w:val="0"/>
              <w:spacing w:line="276" w:lineRule="auto"/>
              <w:ind w:left="432" w:right="20" w:hanging="284"/>
              <w:jc w:val="both"/>
              <w:rPr>
                <w:rFonts w:cs="Times New Roman"/>
                <w:color w:val="000000"/>
                <w:szCs w:val="24"/>
              </w:rPr>
            </w:pPr>
            <w:r>
              <w:rPr>
                <w:rFonts w:eastAsia="Times New Roman"/>
              </w:rPr>
              <w:t>dane techniczne aparatury rozdzielczej, sterującej oraz elektroenergetycznej automatyki zabezpieczeniowej.</w:t>
            </w:r>
          </w:p>
        </w:tc>
      </w:tr>
      <w:tr w:rsidR="00685F28" w:rsidRPr="009016E8" w14:paraId="1A0E0BC4" w14:textId="77777777" w:rsidTr="00685F28">
        <w:trPr>
          <w:trHeight w:val="109"/>
        </w:trPr>
        <w:tc>
          <w:tcPr>
            <w:tcW w:w="1242" w:type="dxa"/>
          </w:tcPr>
          <w:p w14:paraId="1B23245E" w14:textId="77777777" w:rsidR="00685F28" w:rsidRPr="009016E8" w:rsidRDefault="00685F28" w:rsidP="00685F28">
            <w:pPr>
              <w:autoSpaceDE w:val="0"/>
              <w:autoSpaceDN w:val="0"/>
              <w:adjustRightInd w:val="0"/>
              <w:spacing w:line="276" w:lineRule="auto"/>
              <w:jc w:val="both"/>
              <w:rPr>
                <w:rFonts w:cs="Times New Roman"/>
                <w:color w:val="000000"/>
                <w:szCs w:val="24"/>
              </w:rPr>
            </w:pPr>
            <w:r>
              <w:rPr>
                <w:rFonts w:cs="Times New Roman"/>
                <w:color w:val="000000"/>
                <w:szCs w:val="24"/>
              </w:rPr>
              <w:t>II.4.2.2.</w:t>
            </w:r>
          </w:p>
        </w:tc>
        <w:tc>
          <w:tcPr>
            <w:tcW w:w="7943" w:type="dxa"/>
          </w:tcPr>
          <w:p w14:paraId="2E36F9B9" w14:textId="77777777" w:rsidR="00685F28" w:rsidRDefault="00685F28" w:rsidP="00685F28">
            <w:pPr>
              <w:autoSpaceDE w:val="0"/>
              <w:autoSpaceDN w:val="0"/>
              <w:adjustRightInd w:val="0"/>
              <w:spacing w:line="276" w:lineRule="auto"/>
              <w:ind w:left="148" w:right="20"/>
              <w:jc w:val="both"/>
              <w:rPr>
                <w:rFonts w:eastAsia="Times New Roman"/>
              </w:rPr>
            </w:pPr>
            <w:r>
              <w:rPr>
                <w:rFonts w:eastAsia="Times New Roman"/>
              </w:rPr>
              <w:t xml:space="preserve">Odbiorcy wskazani przez OSDn odbiorcy przyłączeni do sieci SN </w:t>
            </w:r>
            <w:r>
              <w:rPr>
                <w:rFonts w:eastAsia="Times New Roman"/>
              </w:rPr>
              <w:br/>
              <w:t>i nN, przekazują do OSDn następujące dane opisujące stan istniejący swoich instalacji i urządzeń:</w:t>
            </w:r>
          </w:p>
          <w:p w14:paraId="0E17044E" w14:textId="77777777" w:rsidR="00685F28" w:rsidRPr="009016E8" w:rsidRDefault="00685F28">
            <w:pPr>
              <w:numPr>
                <w:ilvl w:val="0"/>
                <w:numId w:val="228"/>
              </w:numPr>
              <w:autoSpaceDE w:val="0"/>
              <w:autoSpaceDN w:val="0"/>
              <w:adjustRightInd w:val="0"/>
              <w:spacing w:line="276" w:lineRule="auto"/>
              <w:ind w:left="432" w:hanging="284"/>
              <w:jc w:val="both"/>
              <w:rPr>
                <w:rFonts w:cs="Times New Roman"/>
                <w:color w:val="000000"/>
                <w:sz w:val="23"/>
                <w:szCs w:val="23"/>
              </w:rPr>
            </w:pPr>
            <w:r w:rsidRPr="009016E8">
              <w:rPr>
                <w:rFonts w:cs="Times New Roman"/>
                <w:color w:val="000000"/>
                <w:sz w:val="23"/>
                <w:szCs w:val="23"/>
              </w:rPr>
              <w:t xml:space="preserve">dane o węzłach i ich wyposażeniu, liniach wraz ze schematami i planami, transformatorach, </w:t>
            </w:r>
          </w:p>
          <w:p w14:paraId="240CCC80" w14:textId="77777777" w:rsidR="00134AD0" w:rsidRPr="009016E8" w:rsidRDefault="00685F28">
            <w:pPr>
              <w:numPr>
                <w:ilvl w:val="0"/>
                <w:numId w:val="228"/>
              </w:numPr>
              <w:autoSpaceDE w:val="0"/>
              <w:autoSpaceDN w:val="0"/>
              <w:adjustRightInd w:val="0"/>
              <w:spacing w:line="276" w:lineRule="auto"/>
              <w:ind w:left="432" w:hanging="284"/>
              <w:jc w:val="both"/>
              <w:rPr>
                <w:rFonts w:cs="Times New Roman"/>
                <w:color w:val="000000"/>
                <w:szCs w:val="24"/>
              </w:rPr>
            </w:pPr>
            <w:r w:rsidRPr="009016E8">
              <w:rPr>
                <w:rFonts w:cs="Times New Roman"/>
                <w:color w:val="000000"/>
                <w:szCs w:val="24"/>
              </w:rPr>
              <w:t xml:space="preserve">dane o ewentualnych jednostkach wytwórczych, </w:t>
            </w:r>
            <w:r>
              <w:rPr>
                <w:rFonts w:cs="Times New Roman"/>
                <w:color w:val="000000"/>
                <w:sz w:val="23"/>
                <w:szCs w:val="23"/>
              </w:rPr>
              <w:t>d</w:t>
            </w:r>
            <w:r w:rsidRPr="009016E8">
              <w:rPr>
                <w:rFonts w:cs="Times New Roman"/>
                <w:color w:val="000000"/>
                <w:sz w:val="23"/>
                <w:szCs w:val="23"/>
              </w:rPr>
              <w:t>ane techniczne aparatury rozdzielczej, sterującej oraz elektroenergetycznej automatyki zabezpieczeniowej</w:t>
            </w:r>
            <w:r w:rsidR="00BF05FD">
              <w:rPr>
                <w:rFonts w:cs="Times New Roman"/>
                <w:color w:val="000000"/>
                <w:sz w:val="23"/>
                <w:szCs w:val="23"/>
              </w:rPr>
              <w:t>.</w:t>
            </w:r>
          </w:p>
        </w:tc>
      </w:tr>
      <w:tr w:rsidR="00685F28" w:rsidRPr="009016E8" w14:paraId="32C626CB" w14:textId="77777777" w:rsidTr="00685F28">
        <w:trPr>
          <w:trHeight w:val="109"/>
        </w:trPr>
        <w:tc>
          <w:tcPr>
            <w:tcW w:w="1242" w:type="dxa"/>
          </w:tcPr>
          <w:p w14:paraId="27E619B3" w14:textId="77777777" w:rsidR="00685F28" w:rsidRPr="009016E8" w:rsidRDefault="00685F28" w:rsidP="00685F28">
            <w:pPr>
              <w:autoSpaceDE w:val="0"/>
              <w:autoSpaceDN w:val="0"/>
              <w:adjustRightInd w:val="0"/>
              <w:spacing w:line="276" w:lineRule="auto"/>
              <w:jc w:val="both"/>
              <w:rPr>
                <w:rFonts w:cs="Times New Roman"/>
                <w:color w:val="000000"/>
                <w:szCs w:val="24"/>
              </w:rPr>
            </w:pPr>
            <w:r w:rsidRPr="009016E8">
              <w:rPr>
                <w:rFonts w:cs="Times New Roman"/>
                <w:color w:val="000000"/>
                <w:szCs w:val="24"/>
              </w:rPr>
              <w:lastRenderedPageBreak/>
              <w:t>II.</w:t>
            </w:r>
            <w:r>
              <w:rPr>
                <w:rFonts w:cs="Times New Roman"/>
                <w:color w:val="000000"/>
                <w:szCs w:val="24"/>
              </w:rPr>
              <w:t>4</w:t>
            </w:r>
            <w:r w:rsidRPr="009016E8">
              <w:rPr>
                <w:rFonts w:cs="Times New Roman"/>
                <w:color w:val="000000"/>
                <w:szCs w:val="24"/>
              </w:rPr>
              <w:t xml:space="preserve">.2.3. </w:t>
            </w:r>
          </w:p>
        </w:tc>
        <w:tc>
          <w:tcPr>
            <w:tcW w:w="7943" w:type="dxa"/>
          </w:tcPr>
          <w:p w14:paraId="4174A40C" w14:textId="77777777" w:rsidR="00685F28" w:rsidRPr="009016E8" w:rsidRDefault="00685F28" w:rsidP="00764901">
            <w:pPr>
              <w:autoSpaceDE w:val="0"/>
              <w:autoSpaceDN w:val="0"/>
              <w:adjustRightInd w:val="0"/>
              <w:spacing w:line="276" w:lineRule="auto"/>
              <w:ind w:left="28"/>
              <w:jc w:val="both"/>
              <w:rPr>
                <w:rFonts w:cs="Times New Roman"/>
                <w:color w:val="000000"/>
                <w:szCs w:val="24"/>
              </w:rPr>
            </w:pPr>
            <w:r w:rsidRPr="009016E8">
              <w:rPr>
                <w:rFonts w:cs="Times New Roman"/>
                <w:color w:val="000000"/>
                <w:szCs w:val="24"/>
              </w:rPr>
              <w:t xml:space="preserve">Dane o węzłach obejmują w szczególności: </w:t>
            </w:r>
          </w:p>
        </w:tc>
      </w:tr>
    </w:tbl>
    <w:p w14:paraId="76CB09B1" w14:textId="77777777" w:rsidR="00572BA3" w:rsidRDefault="00572BA3">
      <w:pPr>
        <w:numPr>
          <w:ilvl w:val="0"/>
          <w:numId w:val="28"/>
        </w:numPr>
        <w:spacing w:line="276" w:lineRule="auto"/>
        <w:ind w:left="1560" w:hanging="284"/>
        <w:jc w:val="both"/>
        <w:rPr>
          <w:rFonts w:eastAsia="Times New Roman"/>
        </w:rPr>
      </w:pPr>
      <w:r>
        <w:rPr>
          <w:rFonts w:eastAsia="Times New Roman"/>
        </w:rPr>
        <w:t>nazwę węzła,</w:t>
      </w:r>
    </w:p>
    <w:p w14:paraId="663FC43C" w14:textId="77777777" w:rsidR="00572BA3" w:rsidRDefault="00572BA3">
      <w:pPr>
        <w:numPr>
          <w:ilvl w:val="0"/>
          <w:numId w:val="28"/>
        </w:numPr>
        <w:spacing w:line="276" w:lineRule="auto"/>
        <w:ind w:left="1560" w:hanging="284"/>
        <w:jc w:val="both"/>
        <w:rPr>
          <w:rFonts w:eastAsia="Times New Roman"/>
        </w:rPr>
      </w:pPr>
      <w:r>
        <w:rPr>
          <w:rFonts w:eastAsia="Times New Roman"/>
        </w:rPr>
        <w:t>rodzaj i schemat stacji,</w:t>
      </w:r>
    </w:p>
    <w:p w14:paraId="3758123B" w14:textId="77777777" w:rsidR="00572BA3" w:rsidRDefault="00572BA3">
      <w:pPr>
        <w:numPr>
          <w:ilvl w:val="0"/>
          <w:numId w:val="28"/>
        </w:numPr>
        <w:spacing w:line="276" w:lineRule="auto"/>
        <w:ind w:left="1560" w:hanging="284"/>
        <w:jc w:val="both"/>
        <w:rPr>
          <w:rFonts w:eastAsia="Times New Roman"/>
        </w:rPr>
      </w:pPr>
      <w:r>
        <w:rPr>
          <w:rFonts w:eastAsia="Times New Roman"/>
        </w:rPr>
        <w:t>rodzaj pól i ich wyposażenie,</w:t>
      </w:r>
    </w:p>
    <w:p w14:paraId="48C03281" w14:textId="77777777" w:rsidR="00572BA3" w:rsidRDefault="00572BA3">
      <w:pPr>
        <w:numPr>
          <w:ilvl w:val="0"/>
          <w:numId w:val="28"/>
        </w:numPr>
        <w:spacing w:line="276" w:lineRule="auto"/>
        <w:ind w:left="1560" w:hanging="284"/>
        <w:jc w:val="both"/>
        <w:rPr>
          <w:rFonts w:eastAsia="Times New Roman"/>
        </w:rPr>
      </w:pPr>
      <w:r>
        <w:rPr>
          <w:rFonts w:eastAsia="Times New Roman"/>
        </w:rPr>
        <w:t>zapotrzebowanie na moc czynną i bierną w charakterystycznych godzinach pomiarowych z uwzględnieniem i bez uwzględnienia mocy osiągalnych jednostek wytwórczych,</w:t>
      </w:r>
    </w:p>
    <w:p w14:paraId="105E6D3C" w14:textId="77777777" w:rsidR="00572BA3" w:rsidRDefault="00572BA3">
      <w:pPr>
        <w:numPr>
          <w:ilvl w:val="0"/>
          <w:numId w:val="28"/>
        </w:numPr>
        <w:spacing w:line="276" w:lineRule="auto"/>
        <w:ind w:left="1560" w:hanging="284"/>
        <w:jc w:val="both"/>
        <w:rPr>
          <w:rFonts w:eastAsia="Times New Roman"/>
        </w:rPr>
      </w:pPr>
      <w:r>
        <w:rPr>
          <w:rFonts w:eastAsia="Times New Roman"/>
        </w:rPr>
        <w:t>roczne zapotrzebowanie na energię elektryczną z uwzględnieniem i bez uwzględnienia produkcji energii elektrycznej jednostek wytwórczych,</w:t>
      </w:r>
    </w:p>
    <w:p w14:paraId="11915FA1" w14:textId="77777777" w:rsidR="00572BA3" w:rsidRDefault="00764901">
      <w:pPr>
        <w:numPr>
          <w:ilvl w:val="0"/>
          <w:numId w:val="28"/>
        </w:numPr>
        <w:spacing w:line="276" w:lineRule="auto"/>
        <w:ind w:left="1701" w:hanging="425"/>
        <w:jc w:val="both"/>
        <w:rPr>
          <w:rFonts w:eastAsia="Times New Roman"/>
        </w:rPr>
      </w:pPr>
      <w:r>
        <w:rPr>
          <w:rFonts w:eastAsia="Times New Roman"/>
        </w:rPr>
        <w:t xml:space="preserve"> </w:t>
      </w:r>
      <w:r w:rsidR="00572BA3">
        <w:rPr>
          <w:rFonts w:eastAsia="Times New Roman"/>
        </w:rPr>
        <w:t>udział odbiorców przemysłowych w szczytowym obciążeniu stacji,</w:t>
      </w:r>
    </w:p>
    <w:p w14:paraId="110E6C3F" w14:textId="77777777" w:rsidR="00572BA3" w:rsidRDefault="00572BA3">
      <w:pPr>
        <w:numPr>
          <w:ilvl w:val="0"/>
          <w:numId w:val="28"/>
        </w:numPr>
        <w:spacing w:line="276" w:lineRule="auto"/>
        <w:ind w:left="1560" w:hanging="284"/>
        <w:jc w:val="both"/>
        <w:rPr>
          <w:rFonts w:eastAsia="Times New Roman"/>
        </w:rPr>
      </w:pPr>
      <w:r>
        <w:rPr>
          <w:rFonts w:eastAsia="Times New Roman"/>
        </w:rPr>
        <w:t>moc bierną kompensującą, kondensatory ze znakiem „+”, dławiki ze znakiem „-”,</w:t>
      </w:r>
    </w:p>
    <w:p w14:paraId="715B6EAC" w14:textId="77777777" w:rsidR="00572BA3" w:rsidRDefault="00572BA3">
      <w:pPr>
        <w:numPr>
          <w:ilvl w:val="0"/>
          <w:numId w:val="28"/>
        </w:numPr>
        <w:spacing w:line="276" w:lineRule="auto"/>
        <w:ind w:left="1560" w:hanging="284"/>
        <w:jc w:val="both"/>
        <w:rPr>
          <w:rFonts w:eastAsia="Times New Roman"/>
        </w:rPr>
      </w:pPr>
      <w:r>
        <w:rPr>
          <w:rFonts w:eastAsia="Times New Roman"/>
        </w:rPr>
        <w:t>układ normalny pracy.</w:t>
      </w:r>
    </w:p>
    <w:tbl>
      <w:tblPr>
        <w:tblW w:w="9464" w:type="dxa"/>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242"/>
        <w:gridCol w:w="8222"/>
      </w:tblGrid>
      <w:tr w:rsidR="00E7087B" w:rsidRPr="00764901" w14:paraId="2ED87C04" w14:textId="77777777" w:rsidTr="00764901">
        <w:trPr>
          <w:trHeight w:val="109"/>
        </w:trPr>
        <w:tc>
          <w:tcPr>
            <w:tcW w:w="1242" w:type="dxa"/>
          </w:tcPr>
          <w:p w14:paraId="5BB1A8C1" w14:textId="77777777" w:rsidR="00E7087B" w:rsidRPr="00764901" w:rsidRDefault="00E7087B" w:rsidP="00E7087B">
            <w:pPr>
              <w:autoSpaceDE w:val="0"/>
              <w:autoSpaceDN w:val="0"/>
              <w:adjustRightInd w:val="0"/>
              <w:rPr>
                <w:rFonts w:cs="Times New Roman"/>
                <w:color w:val="000000"/>
                <w:szCs w:val="24"/>
              </w:rPr>
            </w:pPr>
            <w:r w:rsidRPr="00764901">
              <w:rPr>
                <w:rFonts w:cs="Times New Roman"/>
                <w:color w:val="000000"/>
                <w:szCs w:val="24"/>
              </w:rPr>
              <w:t>II.</w:t>
            </w:r>
            <w:r w:rsidR="000F528D" w:rsidRPr="00764901">
              <w:rPr>
                <w:rFonts w:cs="Times New Roman"/>
                <w:color w:val="000000"/>
                <w:szCs w:val="24"/>
              </w:rPr>
              <w:t>4</w:t>
            </w:r>
            <w:r w:rsidRPr="00764901">
              <w:rPr>
                <w:rFonts w:cs="Times New Roman"/>
                <w:color w:val="000000"/>
                <w:szCs w:val="24"/>
              </w:rPr>
              <w:t xml:space="preserve">.2.4. </w:t>
            </w:r>
          </w:p>
        </w:tc>
        <w:tc>
          <w:tcPr>
            <w:tcW w:w="8222" w:type="dxa"/>
          </w:tcPr>
          <w:p w14:paraId="49A3E016" w14:textId="77777777" w:rsidR="00E7087B" w:rsidRPr="00764901" w:rsidRDefault="00E7087B" w:rsidP="00764901">
            <w:pPr>
              <w:autoSpaceDE w:val="0"/>
              <w:autoSpaceDN w:val="0"/>
              <w:adjustRightInd w:val="0"/>
              <w:jc w:val="both"/>
              <w:rPr>
                <w:rFonts w:cs="Times New Roman"/>
                <w:color w:val="000000"/>
                <w:szCs w:val="24"/>
              </w:rPr>
            </w:pPr>
            <w:r w:rsidRPr="00764901">
              <w:rPr>
                <w:rFonts w:cs="Times New Roman"/>
                <w:color w:val="000000"/>
                <w:szCs w:val="24"/>
              </w:rPr>
              <w:t xml:space="preserve">Dane o liniach obejmują w szczególności: </w:t>
            </w:r>
          </w:p>
        </w:tc>
      </w:tr>
    </w:tbl>
    <w:p w14:paraId="421A7EFE" w14:textId="77777777" w:rsidR="00572BA3" w:rsidRPr="00764901" w:rsidRDefault="00572BA3">
      <w:pPr>
        <w:numPr>
          <w:ilvl w:val="0"/>
          <w:numId w:val="29"/>
        </w:numPr>
        <w:tabs>
          <w:tab w:val="left" w:pos="1500"/>
        </w:tabs>
        <w:spacing w:line="0" w:lineRule="atLeast"/>
        <w:ind w:left="1500" w:hanging="354"/>
        <w:rPr>
          <w:rFonts w:eastAsia="Times New Roman"/>
          <w:szCs w:val="24"/>
        </w:rPr>
      </w:pPr>
      <w:r w:rsidRPr="00764901">
        <w:rPr>
          <w:rFonts w:eastAsia="Times New Roman"/>
          <w:szCs w:val="24"/>
        </w:rPr>
        <w:t>nazwę węzła początkowego,</w:t>
      </w:r>
    </w:p>
    <w:p w14:paraId="0D86B270" w14:textId="77777777" w:rsidR="00572BA3" w:rsidRPr="00764901" w:rsidRDefault="00572BA3">
      <w:pPr>
        <w:numPr>
          <w:ilvl w:val="0"/>
          <w:numId w:val="29"/>
        </w:numPr>
        <w:tabs>
          <w:tab w:val="left" w:pos="1500"/>
        </w:tabs>
        <w:spacing w:line="0" w:lineRule="atLeast"/>
        <w:ind w:left="1500" w:hanging="354"/>
        <w:rPr>
          <w:rFonts w:eastAsia="Times New Roman"/>
          <w:szCs w:val="24"/>
        </w:rPr>
      </w:pPr>
      <w:r w:rsidRPr="00764901">
        <w:rPr>
          <w:rFonts w:eastAsia="Times New Roman"/>
          <w:szCs w:val="24"/>
        </w:rPr>
        <w:t>nazwę węzła końcowego,</w:t>
      </w:r>
    </w:p>
    <w:p w14:paraId="03783634" w14:textId="77777777" w:rsidR="00572BA3" w:rsidRPr="00764901" w:rsidRDefault="00572BA3">
      <w:pPr>
        <w:numPr>
          <w:ilvl w:val="0"/>
          <w:numId w:val="29"/>
        </w:numPr>
        <w:tabs>
          <w:tab w:val="left" w:pos="1500"/>
        </w:tabs>
        <w:spacing w:line="0" w:lineRule="atLeast"/>
        <w:ind w:left="1500" w:hanging="354"/>
        <w:rPr>
          <w:rFonts w:eastAsia="Times New Roman"/>
          <w:szCs w:val="24"/>
        </w:rPr>
      </w:pPr>
      <w:r w:rsidRPr="00764901">
        <w:rPr>
          <w:rFonts w:eastAsia="Times New Roman"/>
          <w:szCs w:val="24"/>
        </w:rPr>
        <w:t>rezystancję linii,</w:t>
      </w:r>
    </w:p>
    <w:p w14:paraId="35C40F41" w14:textId="77777777" w:rsidR="00572BA3" w:rsidRPr="00764901" w:rsidRDefault="00572BA3">
      <w:pPr>
        <w:numPr>
          <w:ilvl w:val="0"/>
          <w:numId w:val="29"/>
        </w:numPr>
        <w:tabs>
          <w:tab w:val="left" w:pos="1500"/>
        </w:tabs>
        <w:spacing w:line="0" w:lineRule="atLeast"/>
        <w:ind w:left="1500" w:hanging="354"/>
        <w:rPr>
          <w:rFonts w:eastAsia="Times New Roman"/>
          <w:szCs w:val="24"/>
        </w:rPr>
      </w:pPr>
      <w:r w:rsidRPr="00764901">
        <w:rPr>
          <w:rFonts w:eastAsia="Times New Roman"/>
          <w:szCs w:val="24"/>
        </w:rPr>
        <w:t>reaktancję dla składowej zgodnej,</w:t>
      </w:r>
    </w:p>
    <w:p w14:paraId="3D8A0A74" w14:textId="77777777" w:rsidR="00572BA3" w:rsidRPr="00764901" w:rsidRDefault="00572BA3">
      <w:pPr>
        <w:numPr>
          <w:ilvl w:val="0"/>
          <w:numId w:val="29"/>
        </w:numPr>
        <w:tabs>
          <w:tab w:val="left" w:pos="1500"/>
        </w:tabs>
        <w:spacing w:line="0" w:lineRule="atLeast"/>
        <w:ind w:left="1500" w:hanging="354"/>
        <w:rPr>
          <w:rFonts w:eastAsia="Times New Roman"/>
          <w:szCs w:val="24"/>
        </w:rPr>
      </w:pPr>
      <w:r w:rsidRPr="00764901">
        <w:rPr>
          <w:rFonts w:eastAsia="Times New Roman"/>
          <w:szCs w:val="24"/>
        </w:rPr>
        <w:t>½ susceptancji poprzecznej pojemnościowej,</w:t>
      </w:r>
    </w:p>
    <w:p w14:paraId="73BFD5CF" w14:textId="77777777" w:rsidR="00572BA3" w:rsidRPr="00764901" w:rsidRDefault="00572BA3">
      <w:pPr>
        <w:numPr>
          <w:ilvl w:val="0"/>
          <w:numId w:val="29"/>
        </w:numPr>
        <w:tabs>
          <w:tab w:val="left" w:pos="1500"/>
        </w:tabs>
        <w:spacing w:line="0" w:lineRule="atLeast"/>
        <w:ind w:left="1500" w:hanging="354"/>
        <w:rPr>
          <w:rFonts w:eastAsia="Times New Roman"/>
          <w:szCs w:val="24"/>
        </w:rPr>
      </w:pPr>
      <w:r w:rsidRPr="00764901">
        <w:rPr>
          <w:rFonts w:eastAsia="Times New Roman"/>
          <w:szCs w:val="24"/>
        </w:rPr>
        <w:t>stosunek reaktancji dla składowej zerowej do reaktancji dla składowej zgodnej,</w:t>
      </w:r>
    </w:p>
    <w:p w14:paraId="217A65F4" w14:textId="77777777" w:rsidR="00572BA3" w:rsidRPr="00764901" w:rsidRDefault="00572BA3">
      <w:pPr>
        <w:numPr>
          <w:ilvl w:val="0"/>
          <w:numId w:val="29"/>
        </w:numPr>
        <w:tabs>
          <w:tab w:val="left" w:pos="1500"/>
        </w:tabs>
        <w:spacing w:line="0" w:lineRule="atLeast"/>
        <w:ind w:left="1500" w:hanging="354"/>
        <w:rPr>
          <w:rFonts w:eastAsia="Times New Roman"/>
          <w:szCs w:val="24"/>
        </w:rPr>
      </w:pPr>
      <w:r w:rsidRPr="00764901">
        <w:rPr>
          <w:rFonts w:eastAsia="Times New Roman"/>
          <w:szCs w:val="24"/>
        </w:rPr>
        <w:t>½ konduktancji poprzecznej,</w:t>
      </w:r>
    </w:p>
    <w:p w14:paraId="6FA60FF0" w14:textId="77777777" w:rsidR="00572BA3" w:rsidRPr="00764901" w:rsidRDefault="00572BA3">
      <w:pPr>
        <w:numPr>
          <w:ilvl w:val="0"/>
          <w:numId w:val="29"/>
        </w:numPr>
        <w:tabs>
          <w:tab w:val="left" w:pos="1500"/>
        </w:tabs>
        <w:spacing w:line="0" w:lineRule="atLeast"/>
        <w:ind w:left="1500" w:hanging="354"/>
        <w:jc w:val="both"/>
        <w:rPr>
          <w:rFonts w:eastAsia="Times New Roman"/>
          <w:szCs w:val="24"/>
        </w:rPr>
      </w:pPr>
      <w:r w:rsidRPr="00764901">
        <w:rPr>
          <w:rFonts w:eastAsia="Times New Roman"/>
          <w:szCs w:val="24"/>
        </w:rPr>
        <w:t>długość linii, typ i przekrój przewodów,</w:t>
      </w:r>
    </w:p>
    <w:p w14:paraId="50BE6345" w14:textId="77777777" w:rsidR="00572BA3" w:rsidRPr="00764901" w:rsidRDefault="00572BA3">
      <w:pPr>
        <w:numPr>
          <w:ilvl w:val="0"/>
          <w:numId w:val="29"/>
        </w:numPr>
        <w:tabs>
          <w:tab w:val="left" w:pos="1500"/>
        </w:tabs>
        <w:spacing w:line="0" w:lineRule="atLeast"/>
        <w:ind w:left="1500" w:hanging="354"/>
        <w:jc w:val="both"/>
        <w:rPr>
          <w:rFonts w:eastAsia="Times New Roman"/>
          <w:szCs w:val="24"/>
        </w:rPr>
      </w:pPr>
      <w:r w:rsidRPr="00764901">
        <w:rPr>
          <w:rFonts w:eastAsia="Times New Roman"/>
          <w:szCs w:val="24"/>
        </w:rPr>
        <w:t>obciążalność termiczną linii w sezonie zimowym,</w:t>
      </w:r>
    </w:p>
    <w:p w14:paraId="32F33C49" w14:textId="77777777" w:rsidR="00572BA3" w:rsidRPr="00764901" w:rsidRDefault="00572BA3">
      <w:pPr>
        <w:numPr>
          <w:ilvl w:val="0"/>
          <w:numId w:val="29"/>
        </w:numPr>
        <w:tabs>
          <w:tab w:val="left" w:pos="1500"/>
        </w:tabs>
        <w:spacing w:line="0" w:lineRule="atLeast"/>
        <w:ind w:left="1500" w:hanging="354"/>
        <w:jc w:val="both"/>
        <w:rPr>
          <w:rFonts w:eastAsia="Times New Roman"/>
          <w:szCs w:val="24"/>
        </w:rPr>
      </w:pPr>
      <w:r w:rsidRPr="00764901">
        <w:rPr>
          <w:rFonts w:eastAsia="Times New Roman"/>
          <w:szCs w:val="24"/>
        </w:rPr>
        <w:t>obciążalność termiczną linii w sezonie letnim,</w:t>
      </w:r>
    </w:p>
    <w:p w14:paraId="385C9DC7" w14:textId="77777777" w:rsidR="00572BA3" w:rsidRPr="00764901" w:rsidRDefault="00572BA3">
      <w:pPr>
        <w:numPr>
          <w:ilvl w:val="0"/>
          <w:numId w:val="29"/>
        </w:numPr>
        <w:tabs>
          <w:tab w:val="left" w:pos="1560"/>
        </w:tabs>
        <w:spacing w:line="0" w:lineRule="atLeast"/>
        <w:ind w:left="1560" w:hanging="414"/>
        <w:jc w:val="both"/>
        <w:rPr>
          <w:rFonts w:eastAsia="Times New Roman"/>
          <w:szCs w:val="24"/>
        </w:rPr>
      </w:pPr>
      <w:r w:rsidRPr="00764901">
        <w:rPr>
          <w:rFonts w:eastAsia="Times New Roman"/>
          <w:szCs w:val="24"/>
        </w:rPr>
        <w:t>seria słupów.</w:t>
      </w:r>
    </w:p>
    <w:p w14:paraId="541DAC4A" w14:textId="77777777" w:rsidR="00572BA3" w:rsidRDefault="00572BA3" w:rsidP="00563A50">
      <w:pPr>
        <w:tabs>
          <w:tab w:val="left" w:pos="1120"/>
        </w:tabs>
        <w:spacing w:line="0" w:lineRule="atLeast"/>
        <w:jc w:val="both"/>
        <w:rPr>
          <w:rFonts w:eastAsia="Times New Roman"/>
        </w:rPr>
      </w:pPr>
      <w:r>
        <w:rPr>
          <w:rFonts w:eastAsia="Times New Roman"/>
        </w:rPr>
        <w:t>II.</w:t>
      </w:r>
      <w:r w:rsidR="000F528D">
        <w:rPr>
          <w:rFonts w:eastAsia="Times New Roman"/>
        </w:rPr>
        <w:t>4</w:t>
      </w:r>
      <w:r>
        <w:rPr>
          <w:rFonts w:eastAsia="Times New Roman"/>
        </w:rPr>
        <w:t>.2.5.</w:t>
      </w:r>
      <w:r>
        <w:rPr>
          <w:rFonts w:eastAsia="Times New Roman"/>
        </w:rPr>
        <w:tab/>
        <w:t>Dane o transformatorach obejmują w szczególności:</w:t>
      </w:r>
    </w:p>
    <w:p w14:paraId="11677A49" w14:textId="77777777" w:rsidR="00572BA3" w:rsidRDefault="00572BA3" w:rsidP="00563A50">
      <w:pPr>
        <w:tabs>
          <w:tab w:val="left" w:pos="1480"/>
        </w:tabs>
        <w:spacing w:line="0" w:lineRule="atLeast"/>
        <w:ind w:left="1140"/>
        <w:jc w:val="both"/>
        <w:rPr>
          <w:rFonts w:eastAsia="Times New Roman"/>
        </w:rPr>
      </w:pPr>
      <w:r>
        <w:rPr>
          <w:rFonts w:eastAsia="Times New Roman"/>
        </w:rPr>
        <w:t>a)</w:t>
      </w:r>
      <w:r>
        <w:rPr>
          <w:rFonts w:eastAsia="Times New Roman"/>
        </w:rPr>
        <w:tab/>
        <w:t>nazwy węzłów, do których jest przyłączony transformator,</w:t>
      </w:r>
    </w:p>
    <w:p w14:paraId="49CB0F78" w14:textId="77777777" w:rsidR="00572BA3" w:rsidRDefault="00572BA3" w:rsidP="00563A50">
      <w:pPr>
        <w:tabs>
          <w:tab w:val="left" w:pos="1480"/>
        </w:tabs>
        <w:spacing w:line="0" w:lineRule="atLeast"/>
        <w:ind w:left="1140"/>
        <w:jc w:val="both"/>
        <w:rPr>
          <w:rFonts w:eastAsia="Times New Roman"/>
          <w:sz w:val="23"/>
        </w:rPr>
      </w:pPr>
      <w:r>
        <w:rPr>
          <w:rFonts w:eastAsia="Times New Roman"/>
        </w:rPr>
        <w:t>b)</w:t>
      </w:r>
      <w:r>
        <w:rPr>
          <w:rFonts w:eastAsia="Times New Roman"/>
        </w:rPr>
        <w:tab/>
      </w:r>
      <w:r>
        <w:rPr>
          <w:rFonts w:eastAsia="Times New Roman"/>
          <w:sz w:val="23"/>
        </w:rPr>
        <w:t>dane znamionowe,</w:t>
      </w:r>
    </w:p>
    <w:p w14:paraId="0E1D5D57" w14:textId="77777777" w:rsidR="00572BA3" w:rsidRDefault="00572BA3" w:rsidP="00563A50">
      <w:pPr>
        <w:tabs>
          <w:tab w:val="left" w:pos="1480"/>
        </w:tabs>
        <w:spacing w:line="0" w:lineRule="atLeast"/>
        <w:ind w:left="1140"/>
        <w:jc w:val="both"/>
        <w:rPr>
          <w:rFonts w:eastAsia="Times New Roman"/>
        </w:rPr>
      </w:pPr>
      <w:r>
        <w:rPr>
          <w:rFonts w:eastAsia="Times New Roman"/>
        </w:rPr>
        <w:t>c)</w:t>
      </w:r>
      <w:r>
        <w:rPr>
          <w:rFonts w:eastAsia="Times New Roman"/>
        </w:rPr>
        <w:tab/>
        <w:t>model zwarciowy.</w:t>
      </w:r>
    </w:p>
    <w:p w14:paraId="179297EB" w14:textId="77777777" w:rsidR="00572BA3" w:rsidRDefault="00572BA3" w:rsidP="00563A50">
      <w:pPr>
        <w:tabs>
          <w:tab w:val="left" w:pos="1120"/>
        </w:tabs>
        <w:spacing w:line="0" w:lineRule="atLeast"/>
        <w:jc w:val="both"/>
        <w:rPr>
          <w:rFonts w:eastAsia="Times New Roman"/>
        </w:rPr>
      </w:pPr>
      <w:r>
        <w:rPr>
          <w:rFonts w:eastAsia="Times New Roman"/>
        </w:rPr>
        <w:t>II.</w:t>
      </w:r>
      <w:r w:rsidR="000F528D">
        <w:rPr>
          <w:rFonts w:eastAsia="Times New Roman"/>
        </w:rPr>
        <w:t>4</w:t>
      </w:r>
      <w:r>
        <w:rPr>
          <w:rFonts w:eastAsia="Times New Roman"/>
        </w:rPr>
        <w:t>.2.6.</w:t>
      </w:r>
      <w:r>
        <w:rPr>
          <w:rFonts w:eastAsia="Times New Roman"/>
        </w:rPr>
        <w:tab/>
        <w:t>Dane o jednostkach wytwórczych obejmują w szczególności:</w:t>
      </w:r>
    </w:p>
    <w:p w14:paraId="6DDAC685" w14:textId="77777777" w:rsidR="00946E35" w:rsidRDefault="00946E35">
      <w:pPr>
        <w:numPr>
          <w:ilvl w:val="0"/>
          <w:numId w:val="73"/>
        </w:numPr>
        <w:autoSpaceDE w:val="0"/>
        <w:autoSpaceDN w:val="0"/>
        <w:adjustRightInd w:val="0"/>
        <w:spacing w:line="276" w:lineRule="auto"/>
        <w:ind w:firstLine="414"/>
        <w:rPr>
          <w:rFonts w:cs="Times New Roman"/>
          <w:color w:val="000000"/>
          <w:sz w:val="23"/>
          <w:szCs w:val="23"/>
        </w:rPr>
      </w:pPr>
      <w:r w:rsidRPr="00946E35">
        <w:rPr>
          <w:rFonts w:cs="Times New Roman"/>
          <w:color w:val="000000"/>
          <w:sz w:val="23"/>
          <w:szCs w:val="23"/>
        </w:rPr>
        <w:t xml:space="preserve">nazwę węzła, do którego jednostka wytwórcza jest przyłączona, </w:t>
      </w:r>
    </w:p>
    <w:p w14:paraId="7CFEC656" w14:textId="77777777" w:rsidR="00946E35" w:rsidRPr="00946E35" w:rsidRDefault="00946E35">
      <w:pPr>
        <w:numPr>
          <w:ilvl w:val="0"/>
          <w:numId w:val="73"/>
        </w:numPr>
        <w:autoSpaceDE w:val="0"/>
        <w:autoSpaceDN w:val="0"/>
        <w:adjustRightInd w:val="0"/>
        <w:spacing w:line="276" w:lineRule="auto"/>
        <w:ind w:left="1418" w:hanging="284"/>
        <w:rPr>
          <w:rFonts w:cs="Times New Roman"/>
          <w:color w:val="000000"/>
          <w:szCs w:val="24"/>
        </w:rPr>
      </w:pPr>
      <w:r w:rsidRPr="00946E35">
        <w:rPr>
          <w:rFonts w:cs="Times New Roman"/>
          <w:color w:val="000000"/>
          <w:szCs w:val="24"/>
        </w:rPr>
        <w:t xml:space="preserve">sprawność przemiany energetycznej, </w:t>
      </w:r>
    </w:p>
    <w:p w14:paraId="550BD258" w14:textId="77777777" w:rsidR="00946E35" w:rsidRDefault="00946E35">
      <w:pPr>
        <w:numPr>
          <w:ilvl w:val="0"/>
          <w:numId w:val="74"/>
        </w:numPr>
        <w:autoSpaceDE w:val="0"/>
        <w:autoSpaceDN w:val="0"/>
        <w:adjustRightInd w:val="0"/>
        <w:spacing w:line="276" w:lineRule="auto"/>
        <w:ind w:left="1560" w:hanging="426"/>
        <w:jc w:val="both"/>
        <w:rPr>
          <w:rFonts w:cs="Times New Roman"/>
          <w:color w:val="000000"/>
          <w:szCs w:val="24"/>
        </w:rPr>
      </w:pPr>
      <w:r w:rsidRPr="00946E35">
        <w:rPr>
          <w:rFonts w:cs="Times New Roman"/>
          <w:color w:val="000000"/>
          <w:szCs w:val="24"/>
        </w:rPr>
        <w:t xml:space="preserve">wskaźnik zużycia energii elektrycznej na potrzeby własne jednostek </w:t>
      </w:r>
      <w:r>
        <w:rPr>
          <w:rFonts w:cs="Times New Roman"/>
          <w:color w:val="000000"/>
          <w:szCs w:val="24"/>
        </w:rPr>
        <w:t>wyt</w:t>
      </w:r>
      <w:r w:rsidR="00E35C05">
        <w:rPr>
          <w:rFonts w:cs="Times New Roman"/>
          <w:color w:val="000000"/>
          <w:szCs w:val="24"/>
        </w:rPr>
        <w:t>wórczych</w:t>
      </w:r>
      <w:r w:rsidR="00C22AFF">
        <w:rPr>
          <w:rFonts w:cs="Times New Roman"/>
          <w:color w:val="000000"/>
          <w:szCs w:val="24"/>
        </w:rPr>
        <w:t>,</w:t>
      </w:r>
    </w:p>
    <w:p w14:paraId="4191529C" w14:textId="77777777" w:rsidR="00C22AFF" w:rsidRDefault="00C22AFF">
      <w:pPr>
        <w:numPr>
          <w:ilvl w:val="0"/>
          <w:numId w:val="75"/>
        </w:numPr>
        <w:autoSpaceDE w:val="0"/>
        <w:autoSpaceDN w:val="0"/>
        <w:adjustRightInd w:val="0"/>
        <w:spacing w:line="276" w:lineRule="auto"/>
        <w:ind w:left="1418" w:hanging="284"/>
        <w:rPr>
          <w:rFonts w:cs="Times New Roman"/>
          <w:color w:val="000000"/>
          <w:szCs w:val="24"/>
        </w:rPr>
      </w:pPr>
      <w:r w:rsidRPr="00C22AFF">
        <w:rPr>
          <w:rFonts w:cs="Times New Roman"/>
          <w:color w:val="000000"/>
          <w:szCs w:val="24"/>
        </w:rPr>
        <w:t xml:space="preserve">produkcję energii elektrycznej, </w:t>
      </w:r>
    </w:p>
    <w:p w14:paraId="7F1AFFF0" w14:textId="77777777" w:rsidR="002C5AF1" w:rsidRPr="002C5AF1" w:rsidRDefault="002C5AF1">
      <w:pPr>
        <w:numPr>
          <w:ilvl w:val="0"/>
          <w:numId w:val="76"/>
        </w:numPr>
        <w:autoSpaceDE w:val="0"/>
        <w:autoSpaceDN w:val="0"/>
        <w:adjustRightInd w:val="0"/>
        <w:spacing w:line="276" w:lineRule="auto"/>
        <w:ind w:left="1418" w:hanging="284"/>
        <w:rPr>
          <w:rFonts w:cs="Times New Roman"/>
          <w:color w:val="000000"/>
          <w:szCs w:val="24"/>
        </w:rPr>
      </w:pPr>
      <w:r w:rsidRPr="002C5AF1">
        <w:rPr>
          <w:rFonts w:cs="Times New Roman"/>
          <w:color w:val="000000"/>
          <w:szCs w:val="24"/>
        </w:rPr>
        <w:t xml:space="preserve">wskaźniki odstawień awaryjnych, </w:t>
      </w:r>
    </w:p>
    <w:p w14:paraId="49D98F26" w14:textId="77777777" w:rsidR="00572BA3" w:rsidRDefault="00572BA3">
      <w:pPr>
        <w:numPr>
          <w:ilvl w:val="0"/>
          <w:numId w:val="77"/>
        </w:numPr>
        <w:spacing w:line="276" w:lineRule="auto"/>
        <w:ind w:left="1276" w:hanging="142"/>
        <w:rPr>
          <w:rFonts w:eastAsia="Times New Roman"/>
        </w:rPr>
      </w:pPr>
      <w:r>
        <w:rPr>
          <w:rFonts w:eastAsia="Times New Roman"/>
        </w:rPr>
        <w:t>parametry jakościowe paliwa (QAS) wraz z jego zużyciem,</w:t>
      </w:r>
    </w:p>
    <w:p w14:paraId="3A559379" w14:textId="77777777" w:rsidR="00572BA3" w:rsidRDefault="00572BA3">
      <w:pPr>
        <w:numPr>
          <w:ilvl w:val="0"/>
          <w:numId w:val="77"/>
        </w:numPr>
        <w:spacing w:line="276" w:lineRule="auto"/>
        <w:ind w:left="1418" w:hanging="284"/>
        <w:rPr>
          <w:rFonts w:eastAsia="Times New Roman"/>
        </w:rPr>
      </w:pPr>
      <w:r>
        <w:rPr>
          <w:rFonts w:eastAsia="Times New Roman"/>
        </w:rPr>
        <w:t>emisje zanieczyszczeń SO</w:t>
      </w:r>
      <w:r>
        <w:rPr>
          <w:rFonts w:eastAsia="Times New Roman"/>
          <w:sz w:val="16"/>
        </w:rPr>
        <w:t>2</w:t>
      </w:r>
      <w:r>
        <w:rPr>
          <w:rFonts w:eastAsia="Times New Roman"/>
        </w:rPr>
        <w:t>, NO</w:t>
      </w:r>
      <w:r>
        <w:rPr>
          <w:rFonts w:eastAsia="Times New Roman"/>
          <w:sz w:val="16"/>
        </w:rPr>
        <w:t>X</w:t>
      </w:r>
      <w:r>
        <w:rPr>
          <w:rFonts w:eastAsia="Times New Roman"/>
        </w:rPr>
        <w:t>, pyły i CO</w:t>
      </w:r>
      <w:r>
        <w:rPr>
          <w:rFonts w:eastAsia="Times New Roman"/>
          <w:sz w:val="16"/>
        </w:rPr>
        <w:t>2</w:t>
      </w:r>
      <w:r>
        <w:rPr>
          <w:rFonts w:eastAsia="Times New Roman"/>
        </w:rPr>
        <w:t>,</w:t>
      </w:r>
    </w:p>
    <w:p w14:paraId="00076DAA" w14:textId="77777777" w:rsidR="00572BA3" w:rsidRDefault="00572BA3">
      <w:pPr>
        <w:numPr>
          <w:ilvl w:val="0"/>
          <w:numId w:val="77"/>
        </w:numPr>
        <w:spacing w:line="276" w:lineRule="auto"/>
        <w:ind w:left="1418" w:hanging="284"/>
        <w:rPr>
          <w:rFonts w:eastAsia="Times New Roman"/>
        </w:rPr>
      </w:pPr>
      <w:r>
        <w:rPr>
          <w:rFonts w:eastAsia="Times New Roman"/>
        </w:rPr>
        <w:t>stosowane instalacje ochrony środowiska (wraz z ich sprawnością),</w:t>
      </w:r>
    </w:p>
    <w:p w14:paraId="3806CB08" w14:textId="77777777" w:rsidR="00572BA3" w:rsidRDefault="00572BA3">
      <w:pPr>
        <w:numPr>
          <w:ilvl w:val="0"/>
          <w:numId w:val="78"/>
        </w:numPr>
        <w:spacing w:line="0" w:lineRule="atLeast"/>
        <w:ind w:left="1418" w:hanging="284"/>
        <w:rPr>
          <w:rFonts w:eastAsia="Times New Roman"/>
        </w:rPr>
      </w:pPr>
      <w:r>
        <w:rPr>
          <w:rFonts w:eastAsia="Times New Roman"/>
        </w:rPr>
        <w:t>rezystancję i reaktancję gałęzi generator-transformator blokowy,</w:t>
      </w:r>
    </w:p>
    <w:p w14:paraId="77A7B531" w14:textId="77777777" w:rsidR="00572BA3" w:rsidRDefault="00572BA3">
      <w:pPr>
        <w:numPr>
          <w:ilvl w:val="0"/>
          <w:numId w:val="78"/>
        </w:numPr>
        <w:spacing w:line="0" w:lineRule="atLeast"/>
        <w:ind w:left="1418" w:hanging="284"/>
        <w:rPr>
          <w:rFonts w:eastAsia="Times New Roman"/>
        </w:rPr>
      </w:pPr>
      <w:r>
        <w:rPr>
          <w:rFonts w:eastAsia="Times New Roman"/>
        </w:rPr>
        <w:t>reaktancję zastępczą bloku z uwzględnieniem X’</w:t>
      </w:r>
      <w:r>
        <w:rPr>
          <w:rFonts w:eastAsia="Times New Roman"/>
          <w:sz w:val="16"/>
        </w:rPr>
        <w:t>d</w:t>
      </w:r>
      <w:r>
        <w:rPr>
          <w:rFonts w:eastAsia="Times New Roman"/>
        </w:rPr>
        <w:t xml:space="preserve"> generatora,</w:t>
      </w:r>
    </w:p>
    <w:p w14:paraId="77DF049F" w14:textId="77777777" w:rsidR="00572BA3" w:rsidRDefault="00572BA3">
      <w:pPr>
        <w:numPr>
          <w:ilvl w:val="0"/>
          <w:numId w:val="78"/>
        </w:numPr>
        <w:spacing w:line="234" w:lineRule="auto"/>
        <w:ind w:left="1418" w:hanging="284"/>
        <w:rPr>
          <w:rFonts w:eastAsia="Times New Roman"/>
        </w:rPr>
      </w:pPr>
      <w:r>
        <w:rPr>
          <w:rFonts w:eastAsia="Times New Roman"/>
        </w:rPr>
        <w:t>maksymalną wartość siły elektromotorycznej E’</w:t>
      </w:r>
      <w:r>
        <w:rPr>
          <w:rFonts w:eastAsia="Times New Roman"/>
          <w:sz w:val="16"/>
        </w:rPr>
        <w:t>max</w:t>
      </w:r>
      <w:r>
        <w:rPr>
          <w:rFonts w:eastAsia="Times New Roman"/>
        </w:rPr>
        <w:t xml:space="preserve"> podaną na poziomie napięcia węzła, do którego przyłączona jest jednostka wytwórcza,</w:t>
      </w:r>
    </w:p>
    <w:p w14:paraId="41C13049" w14:textId="77777777" w:rsidR="00572BA3" w:rsidRDefault="00572BA3">
      <w:pPr>
        <w:numPr>
          <w:ilvl w:val="0"/>
          <w:numId w:val="78"/>
        </w:numPr>
        <w:spacing w:line="236" w:lineRule="auto"/>
        <w:ind w:left="1418" w:hanging="284"/>
        <w:jc w:val="both"/>
        <w:rPr>
          <w:rFonts w:eastAsia="Times New Roman"/>
        </w:rPr>
      </w:pPr>
      <w:r>
        <w:rPr>
          <w:rFonts w:eastAsia="Times New Roman"/>
        </w:rPr>
        <w:t>stosunek reaktancji dla składowej symetrycznej zerowej do reaktancji dla składowej symetrycznej zgodnej dla gałęzi jednostka wytwórcza-transformator blokowy,</w:t>
      </w:r>
    </w:p>
    <w:p w14:paraId="2B664959" w14:textId="77777777" w:rsidR="00572BA3" w:rsidRDefault="00572BA3">
      <w:pPr>
        <w:numPr>
          <w:ilvl w:val="0"/>
          <w:numId w:val="78"/>
        </w:numPr>
        <w:spacing w:line="0" w:lineRule="atLeast"/>
        <w:ind w:left="1134"/>
        <w:jc w:val="both"/>
        <w:rPr>
          <w:rFonts w:eastAsia="Times New Roman"/>
        </w:rPr>
      </w:pPr>
      <w:r>
        <w:rPr>
          <w:rFonts w:eastAsia="Times New Roman"/>
        </w:rPr>
        <w:t>znamionową moc pozorną jednostki wytwórczej,</w:t>
      </w:r>
    </w:p>
    <w:p w14:paraId="0E18933B" w14:textId="77777777" w:rsidR="00572BA3" w:rsidRDefault="00572BA3">
      <w:pPr>
        <w:numPr>
          <w:ilvl w:val="0"/>
          <w:numId w:val="78"/>
        </w:numPr>
        <w:tabs>
          <w:tab w:val="left" w:pos="1500"/>
        </w:tabs>
        <w:spacing w:line="0" w:lineRule="atLeast"/>
        <w:ind w:left="993" w:firstLine="141"/>
        <w:jc w:val="both"/>
        <w:rPr>
          <w:rFonts w:eastAsia="Times New Roman"/>
        </w:rPr>
      </w:pPr>
      <w:r>
        <w:rPr>
          <w:rFonts w:eastAsia="Times New Roman"/>
        </w:rPr>
        <w:lastRenderedPageBreak/>
        <w:t>napięcie znamionowe jednostki wytwórczej,</w:t>
      </w:r>
    </w:p>
    <w:p w14:paraId="5FD5053D" w14:textId="77777777" w:rsidR="00572BA3" w:rsidRDefault="00572BA3">
      <w:pPr>
        <w:numPr>
          <w:ilvl w:val="0"/>
          <w:numId w:val="78"/>
        </w:numPr>
        <w:tabs>
          <w:tab w:val="left" w:pos="1500"/>
        </w:tabs>
        <w:spacing w:line="0" w:lineRule="atLeast"/>
        <w:ind w:left="993" w:firstLine="141"/>
        <w:jc w:val="both"/>
        <w:rPr>
          <w:rFonts w:eastAsia="Times New Roman"/>
        </w:rPr>
      </w:pPr>
      <w:r>
        <w:rPr>
          <w:rFonts w:eastAsia="Times New Roman"/>
        </w:rPr>
        <w:t>znamionowy współczynnik mocy jednostki wytwórczej,</w:t>
      </w:r>
    </w:p>
    <w:p w14:paraId="0A36E7F4" w14:textId="77777777" w:rsidR="00572BA3" w:rsidRDefault="00572BA3">
      <w:pPr>
        <w:numPr>
          <w:ilvl w:val="0"/>
          <w:numId w:val="78"/>
        </w:numPr>
        <w:spacing w:line="234" w:lineRule="auto"/>
        <w:ind w:left="1418" w:right="20" w:hanging="284"/>
        <w:jc w:val="both"/>
        <w:rPr>
          <w:rFonts w:eastAsia="Times New Roman"/>
        </w:rPr>
      </w:pPr>
      <w:r>
        <w:rPr>
          <w:rFonts w:eastAsia="Times New Roman"/>
        </w:rPr>
        <w:t>reaktancję transformatora blokowego odniesioną do napięcia węzła, do którego jest przyłączony transformator,</w:t>
      </w:r>
    </w:p>
    <w:p w14:paraId="776D399A" w14:textId="77777777" w:rsidR="00572BA3" w:rsidRDefault="00572BA3">
      <w:pPr>
        <w:numPr>
          <w:ilvl w:val="0"/>
          <w:numId w:val="78"/>
        </w:numPr>
        <w:tabs>
          <w:tab w:val="left" w:pos="1500"/>
        </w:tabs>
        <w:spacing w:line="0" w:lineRule="atLeast"/>
        <w:ind w:left="993" w:firstLine="141"/>
        <w:jc w:val="both"/>
        <w:rPr>
          <w:rFonts w:eastAsia="Times New Roman"/>
        </w:rPr>
      </w:pPr>
      <w:r>
        <w:rPr>
          <w:rFonts w:eastAsia="Times New Roman"/>
        </w:rPr>
        <w:t>moduł przekładni transformatora blokowego w jednostkach względnych,</w:t>
      </w:r>
    </w:p>
    <w:p w14:paraId="3447D177" w14:textId="77777777" w:rsidR="00572BA3" w:rsidRDefault="00572BA3">
      <w:pPr>
        <w:numPr>
          <w:ilvl w:val="0"/>
          <w:numId w:val="78"/>
        </w:numPr>
        <w:tabs>
          <w:tab w:val="left" w:pos="1500"/>
        </w:tabs>
        <w:spacing w:line="0" w:lineRule="atLeast"/>
        <w:ind w:left="993" w:firstLine="141"/>
        <w:jc w:val="both"/>
        <w:rPr>
          <w:rFonts w:eastAsia="Times New Roman"/>
        </w:rPr>
      </w:pPr>
      <w:r>
        <w:rPr>
          <w:rFonts w:eastAsia="Times New Roman"/>
        </w:rPr>
        <w:t>moc czynną potrzeb własnych,</w:t>
      </w:r>
    </w:p>
    <w:p w14:paraId="423B9A45" w14:textId="77777777" w:rsidR="00572BA3" w:rsidRDefault="00572BA3">
      <w:pPr>
        <w:numPr>
          <w:ilvl w:val="0"/>
          <w:numId w:val="78"/>
        </w:numPr>
        <w:spacing w:line="0" w:lineRule="atLeast"/>
        <w:ind w:left="993" w:firstLine="141"/>
        <w:jc w:val="both"/>
        <w:rPr>
          <w:rFonts w:eastAsia="Times New Roman"/>
        </w:rPr>
      </w:pPr>
      <w:r>
        <w:rPr>
          <w:rFonts w:eastAsia="Times New Roman"/>
        </w:rPr>
        <w:t>współczynnik mocy potrzeb własnych,</w:t>
      </w:r>
    </w:p>
    <w:p w14:paraId="039A3352" w14:textId="77777777" w:rsidR="00572BA3" w:rsidRDefault="00572BA3">
      <w:pPr>
        <w:numPr>
          <w:ilvl w:val="0"/>
          <w:numId w:val="79"/>
        </w:numPr>
        <w:tabs>
          <w:tab w:val="left" w:pos="1500"/>
        </w:tabs>
        <w:spacing w:line="0" w:lineRule="atLeast"/>
        <w:ind w:left="993" w:firstLine="141"/>
        <w:jc w:val="both"/>
        <w:rPr>
          <w:rFonts w:eastAsia="Times New Roman"/>
        </w:rPr>
      </w:pPr>
      <w:r>
        <w:rPr>
          <w:rFonts w:eastAsia="Times New Roman"/>
        </w:rPr>
        <w:t>maksymalną generowaną moc czynną,</w:t>
      </w:r>
    </w:p>
    <w:p w14:paraId="4DAF73A1" w14:textId="77777777" w:rsidR="00572BA3" w:rsidRDefault="00572BA3">
      <w:pPr>
        <w:numPr>
          <w:ilvl w:val="0"/>
          <w:numId w:val="79"/>
        </w:numPr>
        <w:tabs>
          <w:tab w:val="left" w:pos="1500"/>
        </w:tabs>
        <w:spacing w:line="0" w:lineRule="atLeast"/>
        <w:ind w:left="993" w:firstLine="141"/>
        <w:jc w:val="both"/>
        <w:rPr>
          <w:rFonts w:eastAsia="Times New Roman"/>
        </w:rPr>
      </w:pPr>
      <w:r>
        <w:rPr>
          <w:rFonts w:eastAsia="Times New Roman"/>
        </w:rPr>
        <w:t>minimalną generowaną moc czynną,</w:t>
      </w:r>
    </w:p>
    <w:p w14:paraId="5EF3D315" w14:textId="77777777" w:rsidR="00572BA3" w:rsidRDefault="00572BA3">
      <w:pPr>
        <w:numPr>
          <w:ilvl w:val="0"/>
          <w:numId w:val="79"/>
        </w:numPr>
        <w:spacing w:line="234" w:lineRule="auto"/>
        <w:ind w:left="1418" w:right="20" w:hanging="284"/>
        <w:jc w:val="both"/>
        <w:rPr>
          <w:rFonts w:eastAsia="Times New Roman"/>
        </w:rPr>
      </w:pPr>
      <w:r>
        <w:rPr>
          <w:rFonts w:eastAsia="Times New Roman"/>
        </w:rPr>
        <w:t xml:space="preserve">dla jednostek wytwórczych u wytwórców energii elektrycznej minimalną </w:t>
      </w:r>
      <w:r w:rsidR="00A61319">
        <w:rPr>
          <w:rFonts w:eastAsia="Times New Roman"/>
        </w:rPr>
        <w:br/>
      </w:r>
      <w:r>
        <w:rPr>
          <w:rFonts w:eastAsia="Times New Roman"/>
        </w:rPr>
        <w:t>i maksymalną generowaną moc czynną w sezonie letnim i zimowym,</w:t>
      </w:r>
    </w:p>
    <w:p w14:paraId="4AF5C689" w14:textId="77777777" w:rsidR="00572BA3" w:rsidRDefault="00572BA3">
      <w:pPr>
        <w:numPr>
          <w:ilvl w:val="0"/>
          <w:numId w:val="80"/>
        </w:numPr>
        <w:tabs>
          <w:tab w:val="clear" w:pos="360"/>
        </w:tabs>
        <w:spacing w:line="0" w:lineRule="atLeast"/>
        <w:ind w:left="993" w:firstLine="141"/>
        <w:jc w:val="both"/>
        <w:rPr>
          <w:rFonts w:eastAsia="Times New Roman"/>
        </w:rPr>
      </w:pPr>
      <w:r>
        <w:rPr>
          <w:rFonts w:eastAsia="Times New Roman"/>
        </w:rPr>
        <w:t>statyzm turbiny,</w:t>
      </w:r>
    </w:p>
    <w:p w14:paraId="51CE63EA" w14:textId="77777777" w:rsidR="00572BA3" w:rsidRDefault="00572BA3">
      <w:pPr>
        <w:numPr>
          <w:ilvl w:val="0"/>
          <w:numId w:val="80"/>
        </w:numPr>
        <w:tabs>
          <w:tab w:val="clear" w:pos="360"/>
        </w:tabs>
        <w:spacing w:line="0" w:lineRule="atLeast"/>
        <w:ind w:left="993" w:firstLine="141"/>
        <w:jc w:val="both"/>
        <w:rPr>
          <w:rFonts w:eastAsia="Times New Roman"/>
        </w:rPr>
      </w:pPr>
      <w:r>
        <w:rPr>
          <w:rFonts w:eastAsia="Times New Roman"/>
        </w:rPr>
        <w:t>reaktancję podprzejściową generatora w osi d w jednostkach względnych,</w:t>
      </w:r>
    </w:p>
    <w:p w14:paraId="75DBE24B" w14:textId="77777777" w:rsidR="00572BA3" w:rsidRDefault="00572BA3">
      <w:pPr>
        <w:numPr>
          <w:ilvl w:val="0"/>
          <w:numId w:val="80"/>
        </w:numPr>
        <w:tabs>
          <w:tab w:val="clear" w:pos="360"/>
        </w:tabs>
        <w:spacing w:line="234" w:lineRule="auto"/>
        <w:ind w:left="1418" w:hanging="284"/>
        <w:jc w:val="both"/>
        <w:rPr>
          <w:rFonts w:eastAsia="Times New Roman"/>
        </w:rPr>
      </w:pPr>
      <w:r>
        <w:rPr>
          <w:rFonts w:eastAsia="Times New Roman"/>
        </w:rPr>
        <w:t>reaktancję zastępczą gałęzi jednostka wytwórcza-transformator blokowy odniesioną do napięcia węzła, do którego jest przyłączona jednostka wytwórcza.</w:t>
      </w:r>
    </w:p>
    <w:p w14:paraId="0F8552BB" w14:textId="77777777" w:rsidR="00572BA3" w:rsidRDefault="00572BA3">
      <w:pPr>
        <w:tabs>
          <w:tab w:val="left" w:pos="1120"/>
        </w:tabs>
        <w:spacing w:line="234" w:lineRule="auto"/>
        <w:ind w:left="1140" w:hanging="1139"/>
        <w:jc w:val="both"/>
        <w:rPr>
          <w:rFonts w:eastAsia="Times New Roman"/>
        </w:rPr>
      </w:pPr>
      <w:r>
        <w:rPr>
          <w:rFonts w:eastAsia="Times New Roman"/>
        </w:rPr>
        <w:t>II.</w:t>
      </w:r>
      <w:r w:rsidR="000F528D">
        <w:rPr>
          <w:rFonts w:eastAsia="Times New Roman"/>
        </w:rPr>
        <w:t>4</w:t>
      </w:r>
      <w:r>
        <w:rPr>
          <w:rFonts w:eastAsia="Times New Roman"/>
        </w:rPr>
        <w:t>.2.7.</w:t>
      </w:r>
      <w:r>
        <w:rPr>
          <w:rFonts w:eastAsia="Times New Roman"/>
        </w:rPr>
        <w:tab/>
        <w:t xml:space="preserve">Formę przekazywanych danych, termin oraz sposób przekazania podmioty uzgadniają z </w:t>
      </w:r>
      <w:r w:rsidR="00986797">
        <w:rPr>
          <w:rFonts w:eastAsia="Times New Roman"/>
        </w:rPr>
        <w:t>OSDn</w:t>
      </w:r>
      <w:r>
        <w:rPr>
          <w:rFonts w:eastAsia="Times New Roman"/>
        </w:rPr>
        <w:t>.</w:t>
      </w:r>
    </w:p>
    <w:p w14:paraId="08C3909A" w14:textId="77777777" w:rsidR="00572BA3" w:rsidRDefault="00572BA3">
      <w:pPr>
        <w:spacing w:line="200" w:lineRule="exact"/>
        <w:rPr>
          <w:rFonts w:eastAsia="Times New Roman"/>
        </w:rPr>
      </w:pPr>
    </w:p>
    <w:p w14:paraId="518F0E0E" w14:textId="77777777" w:rsidR="00572BA3" w:rsidRDefault="00572BA3">
      <w:pPr>
        <w:spacing w:line="335" w:lineRule="exact"/>
        <w:rPr>
          <w:rFonts w:eastAsia="Times New Roman"/>
        </w:rPr>
      </w:pPr>
    </w:p>
    <w:p w14:paraId="781B0C12" w14:textId="77777777" w:rsidR="00572BA3" w:rsidRDefault="00572BA3">
      <w:pPr>
        <w:tabs>
          <w:tab w:val="left" w:pos="1120"/>
        </w:tabs>
        <w:spacing w:line="234" w:lineRule="auto"/>
        <w:ind w:left="1140" w:hanging="1139"/>
        <w:jc w:val="both"/>
        <w:rPr>
          <w:rFonts w:eastAsia="Times New Roman"/>
          <w:b/>
        </w:rPr>
      </w:pPr>
      <w:r>
        <w:rPr>
          <w:rFonts w:eastAsia="Times New Roman"/>
          <w:b/>
        </w:rPr>
        <w:t>II.</w:t>
      </w:r>
      <w:r w:rsidR="000F528D">
        <w:rPr>
          <w:rFonts w:eastAsia="Times New Roman"/>
          <w:b/>
        </w:rPr>
        <w:t>4</w:t>
      </w:r>
      <w:r>
        <w:rPr>
          <w:rFonts w:eastAsia="Times New Roman"/>
          <w:b/>
        </w:rPr>
        <w:t>.3.</w:t>
      </w:r>
      <w:r>
        <w:rPr>
          <w:rFonts w:eastAsia="Times New Roman"/>
        </w:rPr>
        <w:tab/>
      </w:r>
      <w:r>
        <w:rPr>
          <w:rFonts w:eastAsia="Times New Roman"/>
          <w:b/>
        </w:rPr>
        <w:t xml:space="preserve">Dane prognozowane dla perspektywy czasowej określonej przez </w:t>
      </w:r>
      <w:r w:rsidR="00F92B02">
        <w:rPr>
          <w:rFonts w:eastAsia="Times New Roman"/>
          <w:b/>
        </w:rPr>
        <w:t>OSDn</w:t>
      </w:r>
    </w:p>
    <w:p w14:paraId="40AAF857" w14:textId="77777777" w:rsidR="00572BA3" w:rsidRDefault="00572BA3">
      <w:pPr>
        <w:spacing w:line="129" w:lineRule="exact"/>
        <w:rPr>
          <w:rFonts w:eastAsia="Times New Roman"/>
        </w:rPr>
      </w:pPr>
    </w:p>
    <w:p w14:paraId="7A05E75C" w14:textId="77777777" w:rsidR="00572BA3" w:rsidRDefault="00572BA3">
      <w:pPr>
        <w:tabs>
          <w:tab w:val="left" w:pos="1120"/>
        </w:tabs>
        <w:spacing w:line="236" w:lineRule="auto"/>
        <w:ind w:left="1140" w:hanging="1139"/>
        <w:jc w:val="both"/>
        <w:rPr>
          <w:rFonts w:eastAsia="Times New Roman"/>
        </w:rPr>
      </w:pPr>
      <w:r>
        <w:rPr>
          <w:rFonts w:eastAsia="Times New Roman"/>
        </w:rPr>
        <w:t>II.</w:t>
      </w:r>
      <w:r w:rsidR="000F528D">
        <w:rPr>
          <w:rFonts w:eastAsia="Times New Roman"/>
        </w:rPr>
        <w:t>4</w:t>
      </w:r>
      <w:r>
        <w:rPr>
          <w:rFonts w:eastAsia="Times New Roman"/>
        </w:rPr>
        <w:t>.3.1.</w:t>
      </w:r>
      <w:r>
        <w:rPr>
          <w:rFonts w:eastAsia="Times New Roman"/>
        </w:rPr>
        <w:tab/>
        <w:t xml:space="preserve">Dane prognozowane opisujące warunki pracy urządzeń, instalacji i sieci podmiotów przyłączonych do sieci dystrybucyjnej </w:t>
      </w:r>
      <w:r w:rsidR="005A37AD">
        <w:rPr>
          <w:rFonts w:eastAsia="Times New Roman"/>
        </w:rPr>
        <w:t>OSDn</w:t>
      </w:r>
      <w:r>
        <w:rPr>
          <w:rFonts w:eastAsia="Times New Roman"/>
        </w:rPr>
        <w:t xml:space="preserve"> obejmują dla każdego roku </w:t>
      </w:r>
      <w:r w:rsidR="005A37AD">
        <w:rPr>
          <w:rFonts w:eastAsia="Times New Roman"/>
        </w:rPr>
        <w:br/>
      </w:r>
      <w:r>
        <w:rPr>
          <w:rFonts w:eastAsia="Times New Roman"/>
        </w:rPr>
        <w:t>w zależności od potrzeb:</w:t>
      </w:r>
    </w:p>
    <w:p w14:paraId="4F89B8BF" w14:textId="77777777" w:rsidR="00572BA3" w:rsidRDefault="00572BA3">
      <w:pPr>
        <w:numPr>
          <w:ilvl w:val="0"/>
          <w:numId w:val="30"/>
        </w:numPr>
        <w:tabs>
          <w:tab w:val="left" w:pos="1500"/>
        </w:tabs>
        <w:spacing w:line="0" w:lineRule="atLeast"/>
        <w:ind w:left="1500" w:hanging="354"/>
        <w:rPr>
          <w:rFonts w:eastAsia="Times New Roman"/>
        </w:rPr>
      </w:pPr>
      <w:r>
        <w:rPr>
          <w:rFonts w:eastAsia="Times New Roman"/>
        </w:rPr>
        <w:t>informacje o jednostkach wytwórczych,</w:t>
      </w:r>
    </w:p>
    <w:p w14:paraId="718148D5" w14:textId="77777777" w:rsidR="00572BA3" w:rsidRDefault="00572BA3">
      <w:pPr>
        <w:numPr>
          <w:ilvl w:val="0"/>
          <w:numId w:val="30"/>
        </w:numPr>
        <w:tabs>
          <w:tab w:val="left" w:pos="1500"/>
        </w:tabs>
        <w:spacing w:line="0" w:lineRule="atLeast"/>
        <w:ind w:left="1500" w:hanging="354"/>
        <w:rPr>
          <w:rFonts w:eastAsia="Times New Roman"/>
        </w:rPr>
      </w:pPr>
      <w:r>
        <w:rPr>
          <w:rFonts w:eastAsia="Times New Roman"/>
        </w:rPr>
        <w:t>informacje o zapotrzebowaniu na moc i energię elektryczną,</w:t>
      </w:r>
    </w:p>
    <w:p w14:paraId="07D3FE3B" w14:textId="77777777" w:rsidR="00572BA3" w:rsidRDefault="00572BA3">
      <w:pPr>
        <w:numPr>
          <w:ilvl w:val="0"/>
          <w:numId w:val="30"/>
        </w:numPr>
        <w:tabs>
          <w:tab w:val="left" w:pos="1500"/>
        </w:tabs>
        <w:spacing w:line="234" w:lineRule="auto"/>
        <w:ind w:left="1500" w:hanging="354"/>
        <w:rPr>
          <w:rFonts w:eastAsia="Times New Roman"/>
        </w:rPr>
      </w:pPr>
      <w:r>
        <w:rPr>
          <w:rFonts w:eastAsia="Times New Roman"/>
        </w:rPr>
        <w:t xml:space="preserve">inne dane w zakresie uzgodnionym przez </w:t>
      </w:r>
      <w:r w:rsidR="005445F7">
        <w:rPr>
          <w:rFonts w:eastAsia="Times New Roman"/>
        </w:rPr>
        <w:t>OSDn</w:t>
      </w:r>
      <w:r>
        <w:rPr>
          <w:rFonts w:eastAsia="Times New Roman"/>
        </w:rPr>
        <w:t xml:space="preserve"> i podmiot przyłączony do sieci dystrybucyjnej </w:t>
      </w:r>
      <w:r w:rsidR="005445F7">
        <w:rPr>
          <w:rFonts w:eastAsia="Times New Roman"/>
        </w:rPr>
        <w:t>OSDn</w:t>
      </w:r>
      <w:r>
        <w:rPr>
          <w:rFonts w:eastAsia="Times New Roman"/>
        </w:rPr>
        <w:t>.</w:t>
      </w:r>
    </w:p>
    <w:p w14:paraId="6ACCD1CE" w14:textId="77777777" w:rsidR="00572BA3" w:rsidRDefault="00572BA3" w:rsidP="00CB07D1">
      <w:pPr>
        <w:tabs>
          <w:tab w:val="left" w:pos="1120"/>
        </w:tabs>
        <w:spacing w:line="276" w:lineRule="auto"/>
        <w:ind w:left="1140" w:right="20" w:hanging="1139"/>
        <w:jc w:val="both"/>
        <w:rPr>
          <w:rFonts w:eastAsia="Times New Roman"/>
        </w:rPr>
      </w:pPr>
      <w:r>
        <w:rPr>
          <w:rFonts w:eastAsia="Times New Roman"/>
        </w:rPr>
        <w:t>II.</w:t>
      </w:r>
      <w:r w:rsidR="000F528D">
        <w:rPr>
          <w:rFonts w:eastAsia="Times New Roman"/>
        </w:rPr>
        <w:t>4</w:t>
      </w:r>
      <w:r>
        <w:rPr>
          <w:rFonts w:eastAsia="Times New Roman"/>
        </w:rPr>
        <w:t>.3.2.</w:t>
      </w:r>
      <w:r>
        <w:rPr>
          <w:rFonts w:eastAsia="Times New Roman"/>
        </w:rPr>
        <w:tab/>
        <w:t>Informacje o jednostkach wytwórczych, o których mowa w pkt.II.</w:t>
      </w:r>
      <w:r w:rsidR="000F528D">
        <w:rPr>
          <w:rFonts w:eastAsia="Times New Roman"/>
        </w:rPr>
        <w:t>4</w:t>
      </w:r>
      <w:r>
        <w:rPr>
          <w:rFonts w:eastAsia="Times New Roman"/>
        </w:rPr>
        <w:t xml:space="preserve">.3.1, obejmują </w:t>
      </w:r>
      <w:r w:rsidR="0077698B">
        <w:rPr>
          <w:rFonts w:eastAsia="Times New Roman"/>
        </w:rPr>
        <w:br/>
      </w:r>
      <w:r>
        <w:rPr>
          <w:rFonts w:eastAsia="Times New Roman"/>
        </w:rPr>
        <w:t>w zależności od potrzeb:</w:t>
      </w:r>
    </w:p>
    <w:p w14:paraId="4E99CAC4" w14:textId="77777777" w:rsidR="00572BA3" w:rsidRDefault="00572BA3">
      <w:pPr>
        <w:numPr>
          <w:ilvl w:val="0"/>
          <w:numId w:val="31"/>
        </w:numPr>
        <w:tabs>
          <w:tab w:val="left" w:pos="1500"/>
        </w:tabs>
        <w:spacing w:line="276" w:lineRule="auto"/>
        <w:ind w:left="1500" w:hanging="354"/>
        <w:jc w:val="both"/>
        <w:rPr>
          <w:rFonts w:eastAsia="Times New Roman"/>
        </w:rPr>
      </w:pPr>
      <w:r>
        <w:rPr>
          <w:rFonts w:eastAsia="Times New Roman"/>
        </w:rPr>
        <w:t>rodzaje jednostek wytwórczych, lokalizację i charakter ich pracy,</w:t>
      </w:r>
    </w:p>
    <w:p w14:paraId="7D048FA6" w14:textId="77777777" w:rsidR="00572BA3" w:rsidRDefault="00572BA3">
      <w:pPr>
        <w:numPr>
          <w:ilvl w:val="0"/>
          <w:numId w:val="31"/>
        </w:numPr>
        <w:tabs>
          <w:tab w:val="left" w:pos="1500"/>
        </w:tabs>
        <w:spacing w:line="276" w:lineRule="auto"/>
        <w:ind w:left="1500" w:hanging="354"/>
        <w:jc w:val="both"/>
        <w:rPr>
          <w:rFonts w:eastAsia="Times New Roman"/>
        </w:rPr>
      </w:pPr>
      <w:r>
        <w:rPr>
          <w:rFonts w:eastAsia="Times New Roman"/>
        </w:rPr>
        <w:t>moce i przewidywane ograniczenia w produkcji energii elektrycznej,</w:t>
      </w:r>
    </w:p>
    <w:p w14:paraId="3307DA54" w14:textId="77777777" w:rsidR="00572BA3" w:rsidRDefault="00572BA3">
      <w:pPr>
        <w:numPr>
          <w:ilvl w:val="0"/>
          <w:numId w:val="31"/>
        </w:numPr>
        <w:tabs>
          <w:tab w:val="left" w:pos="1500"/>
        </w:tabs>
        <w:spacing w:line="276" w:lineRule="auto"/>
        <w:ind w:left="1500" w:hanging="354"/>
        <w:jc w:val="both"/>
        <w:rPr>
          <w:rFonts w:eastAsia="Times New Roman"/>
        </w:rPr>
      </w:pPr>
      <w:r>
        <w:rPr>
          <w:rFonts w:eastAsia="Times New Roman"/>
        </w:rPr>
        <w:t>przewidywaną elastyczność pracy,</w:t>
      </w:r>
    </w:p>
    <w:p w14:paraId="4F4F8847" w14:textId="77777777" w:rsidR="00572BA3" w:rsidRDefault="00572BA3">
      <w:pPr>
        <w:numPr>
          <w:ilvl w:val="0"/>
          <w:numId w:val="31"/>
        </w:numPr>
        <w:tabs>
          <w:tab w:val="left" w:pos="1500"/>
        </w:tabs>
        <w:spacing w:line="276" w:lineRule="auto"/>
        <w:ind w:left="1500" w:hanging="354"/>
        <w:jc w:val="both"/>
        <w:rPr>
          <w:rFonts w:eastAsia="Times New Roman"/>
        </w:rPr>
      </w:pPr>
      <w:r>
        <w:rPr>
          <w:rFonts w:eastAsia="Times New Roman"/>
        </w:rPr>
        <w:t>liczbę dni remontów planowych,</w:t>
      </w:r>
    </w:p>
    <w:p w14:paraId="392BFBBD" w14:textId="77777777" w:rsidR="00572BA3" w:rsidRDefault="00572BA3">
      <w:pPr>
        <w:numPr>
          <w:ilvl w:val="0"/>
          <w:numId w:val="31"/>
        </w:numPr>
        <w:tabs>
          <w:tab w:val="left" w:pos="1500"/>
        </w:tabs>
        <w:spacing w:line="276" w:lineRule="auto"/>
        <w:ind w:left="1500" w:hanging="354"/>
        <w:jc w:val="both"/>
        <w:rPr>
          <w:rFonts w:eastAsia="Times New Roman"/>
        </w:rPr>
      </w:pPr>
      <w:r>
        <w:rPr>
          <w:rFonts w:eastAsia="Times New Roman"/>
        </w:rPr>
        <w:t>techniczny i księgowy czas eksploatacji,</w:t>
      </w:r>
    </w:p>
    <w:p w14:paraId="6765435F" w14:textId="77777777" w:rsidR="00572BA3" w:rsidRDefault="00572BA3">
      <w:pPr>
        <w:numPr>
          <w:ilvl w:val="0"/>
          <w:numId w:val="31"/>
        </w:numPr>
        <w:tabs>
          <w:tab w:val="left" w:pos="1500"/>
        </w:tabs>
        <w:spacing w:line="276" w:lineRule="auto"/>
        <w:ind w:left="1500" w:hanging="354"/>
        <w:jc w:val="both"/>
        <w:rPr>
          <w:rFonts w:eastAsia="Times New Roman"/>
        </w:rPr>
      </w:pPr>
      <w:r>
        <w:rPr>
          <w:rFonts w:eastAsia="Times New Roman"/>
        </w:rPr>
        <w:t>sprawności wytwarzania energii elektrycznej,</w:t>
      </w:r>
    </w:p>
    <w:p w14:paraId="32D678D1" w14:textId="77777777" w:rsidR="00572BA3" w:rsidRDefault="00572BA3">
      <w:pPr>
        <w:numPr>
          <w:ilvl w:val="0"/>
          <w:numId w:val="31"/>
        </w:numPr>
        <w:tabs>
          <w:tab w:val="left" w:pos="1500"/>
        </w:tabs>
        <w:spacing w:line="276" w:lineRule="auto"/>
        <w:ind w:left="1500" w:hanging="354"/>
        <w:jc w:val="both"/>
        <w:rPr>
          <w:rFonts w:eastAsia="Times New Roman"/>
        </w:rPr>
      </w:pPr>
      <w:r>
        <w:rPr>
          <w:rFonts w:eastAsia="Times New Roman"/>
        </w:rPr>
        <w:t>rodzaj paliwa, jego charakterystykę i możliwości pozyskania,</w:t>
      </w:r>
    </w:p>
    <w:p w14:paraId="68E5B394" w14:textId="77777777" w:rsidR="00572BA3" w:rsidRDefault="00572BA3">
      <w:pPr>
        <w:numPr>
          <w:ilvl w:val="0"/>
          <w:numId w:val="31"/>
        </w:numPr>
        <w:tabs>
          <w:tab w:val="left" w:pos="1500"/>
        </w:tabs>
        <w:spacing w:line="276" w:lineRule="auto"/>
        <w:ind w:left="1500" w:hanging="354"/>
        <w:jc w:val="both"/>
        <w:rPr>
          <w:rFonts w:eastAsia="Times New Roman"/>
        </w:rPr>
      </w:pPr>
      <w:r>
        <w:rPr>
          <w:rFonts w:eastAsia="Times New Roman"/>
        </w:rPr>
        <w:t>skuteczności instalacji oczyszczania spalin,</w:t>
      </w:r>
    </w:p>
    <w:p w14:paraId="4F2723CF" w14:textId="77777777" w:rsidR="00572BA3" w:rsidRDefault="00572BA3">
      <w:pPr>
        <w:numPr>
          <w:ilvl w:val="0"/>
          <w:numId w:val="31"/>
        </w:numPr>
        <w:tabs>
          <w:tab w:val="left" w:pos="1500"/>
        </w:tabs>
        <w:spacing w:line="276" w:lineRule="auto"/>
        <w:ind w:left="1500" w:right="20" w:hanging="354"/>
        <w:jc w:val="both"/>
        <w:rPr>
          <w:rFonts w:eastAsia="Times New Roman"/>
        </w:rPr>
      </w:pPr>
      <w:r>
        <w:rPr>
          <w:rFonts w:eastAsia="Times New Roman"/>
        </w:rPr>
        <w:t xml:space="preserve">dane o ograniczeniach zawartych w posiadanych pozwoleniach związanych </w:t>
      </w:r>
      <w:r w:rsidR="00CB07D1">
        <w:rPr>
          <w:rFonts w:eastAsia="Times New Roman"/>
        </w:rPr>
        <w:br/>
      </w:r>
      <w:r>
        <w:rPr>
          <w:rFonts w:eastAsia="Times New Roman"/>
        </w:rPr>
        <w:t>z ochroną środowiska oraz czas ich obowiązywania,</w:t>
      </w:r>
    </w:p>
    <w:p w14:paraId="2B959D62" w14:textId="77777777" w:rsidR="00572BA3" w:rsidRDefault="00572BA3">
      <w:pPr>
        <w:numPr>
          <w:ilvl w:val="0"/>
          <w:numId w:val="31"/>
        </w:numPr>
        <w:tabs>
          <w:tab w:val="left" w:pos="1500"/>
        </w:tabs>
        <w:spacing w:line="276" w:lineRule="auto"/>
        <w:ind w:left="1500" w:hanging="354"/>
        <w:jc w:val="both"/>
        <w:rPr>
          <w:rFonts w:eastAsia="Times New Roman"/>
        </w:rPr>
      </w:pPr>
      <w:r>
        <w:rPr>
          <w:rFonts w:eastAsia="Times New Roman"/>
        </w:rPr>
        <w:t xml:space="preserve">dla jednostek wytwórczych pompowych sprawności pompowania </w:t>
      </w:r>
      <w:r w:rsidR="00EF3790">
        <w:rPr>
          <w:rFonts w:eastAsia="Times New Roman"/>
        </w:rPr>
        <w:br/>
      </w:r>
      <w:r>
        <w:rPr>
          <w:rFonts w:eastAsia="Times New Roman"/>
        </w:rPr>
        <w:t>i wytwarzania oraz pojemność zbiornika górnego.</w:t>
      </w:r>
    </w:p>
    <w:p w14:paraId="25C382A2" w14:textId="77777777" w:rsidR="00572BA3" w:rsidRDefault="00572BA3" w:rsidP="00CB07D1">
      <w:pPr>
        <w:tabs>
          <w:tab w:val="left" w:pos="1120"/>
        </w:tabs>
        <w:spacing w:line="276" w:lineRule="auto"/>
        <w:ind w:left="1140" w:hanging="1139"/>
        <w:jc w:val="both"/>
        <w:rPr>
          <w:rFonts w:eastAsia="Times New Roman"/>
        </w:rPr>
      </w:pPr>
      <w:r>
        <w:rPr>
          <w:rFonts w:eastAsia="Times New Roman"/>
        </w:rPr>
        <w:t>II.</w:t>
      </w:r>
      <w:r w:rsidR="000F528D">
        <w:rPr>
          <w:rFonts w:eastAsia="Times New Roman"/>
        </w:rPr>
        <w:t>4</w:t>
      </w:r>
      <w:r>
        <w:rPr>
          <w:rFonts w:eastAsia="Times New Roman"/>
        </w:rPr>
        <w:t>.3.3.</w:t>
      </w:r>
      <w:r>
        <w:rPr>
          <w:rFonts w:eastAsia="Times New Roman"/>
        </w:rPr>
        <w:tab/>
      </w:r>
      <w:r w:rsidR="007F1A00">
        <w:rPr>
          <w:rFonts w:eastAsia="Times New Roman"/>
        </w:rPr>
        <w:t>W</w:t>
      </w:r>
      <w:r>
        <w:rPr>
          <w:rFonts w:eastAsia="Times New Roman"/>
        </w:rPr>
        <w:t xml:space="preserve">skazani przez </w:t>
      </w:r>
      <w:r w:rsidR="007F1A00">
        <w:rPr>
          <w:rFonts w:eastAsia="Times New Roman"/>
        </w:rPr>
        <w:t>OSDn</w:t>
      </w:r>
      <w:r>
        <w:rPr>
          <w:rFonts w:eastAsia="Times New Roman"/>
        </w:rPr>
        <w:t xml:space="preserve"> odbiorcy przyłączeni do sieci SN i nN, przekazują do </w:t>
      </w:r>
      <w:r w:rsidR="007F1A00">
        <w:rPr>
          <w:rFonts w:eastAsia="Times New Roman"/>
        </w:rPr>
        <w:t>OSDn</w:t>
      </w:r>
      <w:r>
        <w:rPr>
          <w:rFonts w:eastAsia="Times New Roman"/>
        </w:rPr>
        <w:t xml:space="preserve"> następujące informacje o zapotrzebowaniu na moc i energię elektryczną, o których mowa w pkt. II.</w:t>
      </w:r>
      <w:r w:rsidR="000F528D">
        <w:rPr>
          <w:rFonts w:eastAsia="Times New Roman"/>
        </w:rPr>
        <w:t>4</w:t>
      </w:r>
      <w:r>
        <w:rPr>
          <w:rFonts w:eastAsia="Times New Roman"/>
        </w:rPr>
        <w:t>.3.1:</w:t>
      </w:r>
    </w:p>
    <w:p w14:paraId="58774602" w14:textId="77777777" w:rsidR="00572BA3" w:rsidRDefault="00572BA3">
      <w:pPr>
        <w:numPr>
          <w:ilvl w:val="0"/>
          <w:numId w:val="32"/>
        </w:numPr>
        <w:tabs>
          <w:tab w:val="left" w:pos="1500"/>
        </w:tabs>
        <w:spacing w:line="0" w:lineRule="atLeast"/>
        <w:ind w:left="1500" w:hanging="354"/>
        <w:rPr>
          <w:rFonts w:eastAsia="Times New Roman"/>
        </w:rPr>
      </w:pPr>
      <w:r>
        <w:rPr>
          <w:rFonts w:eastAsia="Times New Roman"/>
        </w:rPr>
        <w:t>zapotrzebowanie na moc i energię elektryczną,</w:t>
      </w:r>
    </w:p>
    <w:p w14:paraId="72C5ADAA" w14:textId="77777777" w:rsidR="00572BA3" w:rsidRDefault="00572BA3">
      <w:pPr>
        <w:numPr>
          <w:ilvl w:val="0"/>
          <w:numId w:val="32"/>
        </w:numPr>
        <w:tabs>
          <w:tab w:val="left" w:pos="1500"/>
        </w:tabs>
        <w:spacing w:line="0" w:lineRule="atLeast"/>
        <w:ind w:left="1500" w:hanging="354"/>
        <w:rPr>
          <w:rFonts w:eastAsia="Times New Roman"/>
        </w:rPr>
      </w:pPr>
      <w:r>
        <w:rPr>
          <w:rFonts w:eastAsia="Times New Roman"/>
        </w:rPr>
        <w:t>krzywe obciążeń w wybranych dobach reprezentatywnych,</w:t>
      </w:r>
    </w:p>
    <w:p w14:paraId="24A44507" w14:textId="77777777" w:rsidR="00572BA3" w:rsidRDefault="00572BA3">
      <w:pPr>
        <w:numPr>
          <w:ilvl w:val="0"/>
          <w:numId w:val="32"/>
        </w:numPr>
        <w:tabs>
          <w:tab w:val="left" w:pos="1500"/>
        </w:tabs>
        <w:spacing w:line="0" w:lineRule="atLeast"/>
        <w:ind w:left="1500" w:hanging="354"/>
        <w:rPr>
          <w:rFonts w:eastAsia="Times New Roman"/>
        </w:rPr>
      </w:pPr>
      <w:r>
        <w:rPr>
          <w:rFonts w:eastAsia="Times New Roman"/>
        </w:rPr>
        <w:t>miesięczne bilanse mocy i energii.</w:t>
      </w:r>
    </w:p>
    <w:p w14:paraId="4CF8D12B" w14:textId="77777777" w:rsidR="00572BA3" w:rsidRDefault="00572BA3" w:rsidP="00090AA9">
      <w:pPr>
        <w:tabs>
          <w:tab w:val="left" w:pos="1120"/>
        </w:tabs>
        <w:spacing w:line="234" w:lineRule="auto"/>
        <w:ind w:left="1140" w:right="20" w:hanging="1139"/>
        <w:jc w:val="both"/>
        <w:rPr>
          <w:rFonts w:eastAsia="Times New Roman"/>
        </w:rPr>
      </w:pPr>
      <w:r>
        <w:rPr>
          <w:rFonts w:eastAsia="Times New Roman"/>
        </w:rPr>
        <w:lastRenderedPageBreak/>
        <w:t>II.</w:t>
      </w:r>
      <w:r w:rsidR="000F528D">
        <w:rPr>
          <w:rFonts w:eastAsia="Times New Roman"/>
        </w:rPr>
        <w:t>4</w:t>
      </w:r>
      <w:r>
        <w:rPr>
          <w:rFonts w:eastAsia="Times New Roman"/>
        </w:rPr>
        <w:t>.3.</w:t>
      </w:r>
      <w:r w:rsidR="00090AA9">
        <w:rPr>
          <w:rFonts w:eastAsia="Times New Roman"/>
        </w:rPr>
        <w:t>4</w:t>
      </w:r>
      <w:r>
        <w:rPr>
          <w:rFonts w:eastAsia="Times New Roman"/>
        </w:rPr>
        <w:t>.</w:t>
      </w:r>
      <w:r>
        <w:rPr>
          <w:rFonts w:eastAsia="Times New Roman"/>
        </w:rPr>
        <w:tab/>
        <w:t xml:space="preserve">Formę przekazywanych danych prognozowanych, termin oraz sposób przekazania podmioty uzgadniają z </w:t>
      </w:r>
      <w:r w:rsidR="00090AA9">
        <w:rPr>
          <w:rFonts w:eastAsia="Times New Roman"/>
        </w:rPr>
        <w:t>OSDn</w:t>
      </w:r>
      <w:r>
        <w:rPr>
          <w:rFonts w:eastAsia="Times New Roman"/>
        </w:rPr>
        <w:t>.</w:t>
      </w:r>
    </w:p>
    <w:p w14:paraId="007D3E3C" w14:textId="77777777" w:rsidR="000B4312" w:rsidRDefault="000B4312" w:rsidP="00090AA9">
      <w:pPr>
        <w:tabs>
          <w:tab w:val="left" w:pos="1120"/>
        </w:tabs>
        <w:spacing w:line="234" w:lineRule="auto"/>
        <w:ind w:left="1140" w:right="20" w:hanging="1139"/>
        <w:jc w:val="both"/>
        <w:rPr>
          <w:rFonts w:eastAsia="Times New Roman"/>
        </w:rPr>
      </w:pPr>
    </w:p>
    <w:p w14:paraId="5FC92E94" w14:textId="753E154C" w:rsidR="00361859" w:rsidRDefault="00361859" w:rsidP="00361859">
      <w:pPr>
        <w:tabs>
          <w:tab w:val="left" w:pos="1120"/>
        </w:tabs>
        <w:spacing w:line="234" w:lineRule="auto"/>
        <w:ind w:left="1140" w:hanging="1139"/>
        <w:jc w:val="both"/>
        <w:rPr>
          <w:rFonts w:eastAsia="Times New Roman"/>
          <w:b/>
        </w:rPr>
      </w:pPr>
      <w:r>
        <w:rPr>
          <w:rFonts w:eastAsia="Times New Roman"/>
          <w:b/>
        </w:rPr>
        <w:t>II.4.4.</w:t>
      </w:r>
      <w:r>
        <w:rPr>
          <w:rFonts w:eastAsia="Times New Roman"/>
        </w:rPr>
        <w:tab/>
      </w:r>
      <w:r w:rsidRPr="00C6236A">
        <w:rPr>
          <w:rFonts w:eastAsia="Times New Roman"/>
          <w:b/>
          <w:color w:val="000000"/>
          <w:szCs w:val="24"/>
        </w:rPr>
        <w:t>Wymagania dotyczące zdalnego pozyskiwania danych pomiarowych</w:t>
      </w:r>
      <w:r w:rsidR="00AA3050">
        <w:rPr>
          <w:rFonts w:eastAsia="Times New Roman"/>
          <w:b/>
          <w:color w:val="000000"/>
          <w:szCs w:val="24"/>
        </w:rPr>
        <w:t xml:space="preserve"> </w:t>
      </w:r>
    </w:p>
    <w:p w14:paraId="440CD91B" w14:textId="77777777" w:rsidR="00361859" w:rsidRDefault="00361859" w:rsidP="00361859">
      <w:pPr>
        <w:spacing w:line="129" w:lineRule="exact"/>
        <w:rPr>
          <w:rFonts w:eastAsia="Times New Roman"/>
        </w:rPr>
      </w:pPr>
    </w:p>
    <w:p w14:paraId="3BF1B0FC" w14:textId="77777777" w:rsidR="00361859" w:rsidRPr="00C6236A" w:rsidRDefault="00361859" w:rsidP="00361859">
      <w:pPr>
        <w:spacing w:line="0" w:lineRule="atLeast"/>
        <w:ind w:left="993" w:right="2" w:hanging="993"/>
        <w:jc w:val="both"/>
        <w:rPr>
          <w:rFonts w:cs="Times New Roman"/>
          <w:color w:val="000000"/>
          <w:szCs w:val="24"/>
        </w:rPr>
      </w:pPr>
      <w:r>
        <w:rPr>
          <w:rFonts w:eastAsia="Times New Roman"/>
        </w:rPr>
        <w:t>II.4.4.1.</w:t>
      </w:r>
      <w:r>
        <w:rPr>
          <w:rFonts w:eastAsia="Times New Roman"/>
        </w:rPr>
        <w:tab/>
      </w:r>
      <w:r w:rsidRPr="00C6236A">
        <w:rPr>
          <w:rFonts w:cs="Times New Roman"/>
          <w:color w:val="000000"/>
          <w:szCs w:val="24"/>
        </w:rPr>
        <w:t>Podmioty przyłączone do sieci OSDn mają obowiązek, zgodnie z TCM przekazywania danych czasu rzeczywistego do OSP lub OSDn.</w:t>
      </w:r>
    </w:p>
    <w:p w14:paraId="421F74A9" w14:textId="77777777" w:rsidR="00361859" w:rsidRPr="00C6236A" w:rsidRDefault="00361859" w:rsidP="00361859">
      <w:pPr>
        <w:spacing w:line="0" w:lineRule="atLeast"/>
        <w:ind w:left="993" w:right="2"/>
        <w:jc w:val="both"/>
        <w:rPr>
          <w:rFonts w:cs="Times New Roman"/>
          <w:color w:val="000000"/>
          <w:szCs w:val="24"/>
        </w:rPr>
      </w:pPr>
      <w:r w:rsidRPr="00C6236A">
        <w:rPr>
          <w:rFonts w:cs="Times New Roman"/>
          <w:color w:val="000000"/>
          <w:szCs w:val="24"/>
        </w:rPr>
        <w:t>W sytuacji, gdy:</w:t>
      </w:r>
    </w:p>
    <w:p w14:paraId="4BCB4B50" w14:textId="77777777" w:rsidR="00361859" w:rsidRPr="00C6236A" w:rsidRDefault="00361859">
      <w:pPr>
        <w:numPr>
          <w:ilvl w:val="0"/>
          <w:numId w:val="269"/>
        </w:numPr>
        <w:spacing w:line="0" w:lineRule="atLeast"/>
        <w:ind w:left="1276" w:right="2" w:hanging="283"/>
        <w:jc w:val="both"/>
        <w:rPr>
          <w:rFonts w:cs="Times New Roman"/>
          <w:color w:val="000000"/>
          <w:szCs w:val="24"/>
        </w:rPr>
      </w:pPr>
      <w:r w:rsidRPr="00C6236A">
        <w:rPr>
          <w:rFonts w:cs="Times New Roman"/>
          <w:color w:val="000000"/>
          <w:szCs w:val="24"/>
        </w:rPr>
        <w:t>obowiązek ten dotyczy przekazywania danych bezpośrednio do OSP, zasady wykonania tego obowiązku wskazane są na stronie internetowej OSP,</w:t>
      </w:r>
    </w:p>
    <w:p w14:paraId="511526AF" w14:textId="77777777" w:rsidR="000B4312" w:rsidRPr="0043330E" w:rsidRDefault="00361859">
      <w:pPr>
        <w:numPr>
          <w:ilvl w:val="0"/>
          <w:numId w:val="269"/>
        </w:numPr>
        <w:spacing w:line="234" w:lineRule="auto"/>
        <w:ind w:left="1276" w:right="20" w:hanging="283"/>
        <w:jc w:val="both"/>
        <w:rPr>
          <w:rFonts w:eastAsia="Times New Roman"/>
        </w:rPr>
      </w:pPr>
      <w:r w:rsidRPr="0043330E">
        <w:rPr>
          <w:rFonts w:cs="Times New Roman"/>
          <w:color w:val="000000"/>
          <w:szCs w:val="24"/>
        </w:rPr>
        <w:t>obowiązek ten dotyczy przekazywania danych bezpośrednio do OSDn, zasady wykonywania tego obowiązku wskazane są na stronie internetowej OSDn.</w:t>
      </w:r>
    </w:p>
    <w:p w14:paraId="3379F39F" w14:textId="77777777" w:rsidR="000B4312" w:rsidRDefault="000B4312" w:rsidP="00090AA9">
      <w:pPr>
        <w:tabs>
          <w:tab w:val="left" w:pos="1120"/>
        </w:tabs>
        <w:spacing w:line="234" w:lineRule="auto"/>
        <w:ind w:left="1140" w:right="20" w:hanging="1139"/>
        <w:jc w:val="both"/>
        <w:rPr>
          <w:rFonts w:eastAsia="Times New Roman"/>
        </w:rPr>
      </w:pPr>
    </w:p>
    <w:p w14:paraId="6883F1C0" w14:textId="77777777" w:rsidR="00572BA3" w:rsidRDefault="00DF7EB1" w:rsidP="00F866B6">
      <w:pPr>
        <w:pStyle w:val="Nagwek1"/>
      </w:pPr>
      <w:bookmarkStart w:id="22" w:name="page69"/>
      <w:bookmarkStart w:id="23" w:name="_Toc141963874"/>
      <w:bookmarkEnd w:id="22"/>
      <w:r>
        <w:t xml:space="preserve">III. </w:t>
      </w:r>
      <w:r w:rsidR="00572BA3">
        <w:t>EKSPLOATACJA URZĄDZEŃ, INSTALACJI I SIECI</w:t>
      </w:r>
      <w:bookmarkEnd w:id="23"/>
    </w:p>
    <w:p w14:paraId="28DE4E89" w14:textId="77777777" w:rsidR="00572BA3" w:rsidRDefault="00572BA3" w:rsidP="00F145ED">
      <w:pPr>
        <w:pStyle w:val="Nagwek2"/>
      </w:pPr>
      <w:bookmarkStart w:id="24" w:name="_Toc141963875"/>
      <w:r>
        <w:t>III.1.</w:t>
      </w:r>
      <w:r>
        <w:tab/>
        <w:t>PRZEPISY OGÓLNE</w:t>
      </w:r>
      <w:bookmarkEnd w:id="24"/>
    </w:p>
    <w:p w14:paraId="737793F1" w14:textId="77777777" w:rsidR="00572BA3" w:rsidRDefault="00572BA3">
      <w:pPr>
        <w:spacing w:line="127" w:lineRule="exact"/>
        <w:rPr>
          <w:rFonts w:eastAsia="Times New Roman"/>
        </w:rPr>
      </w:pPr>
    </w:p>
    <w:p w14:paraId="4D736AE7" w14:textId="77777777" w:rsidR="00572BA3" w:rsidRDefault="00572BA3" w:rsidP="00D718FC">
      <w:pPr>
        <w:spacing w:line="236" w:lineRule="auto"/>
        <w:ind w:left="709" w:hanging="709"/>
        <w:jc w:val="both"/>
        <w:rPr>
          <w:rFonts w:eastAsia="Times New Roman"/>
        </w:rPr>
      </w:pPr>
      <w:r>
        <w:rPr>
          <w:rFonts w:eastAsia="Times New Roman"/>
        </w:rPr>
        <w:t>III.1.1.</w:t>
      </w:r>
      <w:r>
        <w:rPr>
          <w:rFonts w:eastAsia="Times New Roman"/>
        </w:rPr>
        <w:tab/>
        <w:t xml:space="preserve">Urządzenia przyłączone do sieci dystrybucyjnej </w:t>
      </w:r>
      <w:r w:rsidR="00D2773B">
        <w:rPr>
          <w:rFonts w:eastAsia="Times New Roman"/>
        </w:rPr>
        <w:t>OSDn</w:t>
      </w:r>
      <w:r>
        <w:rPr>
          <w:rFonts w:eastAsia="Times New Roman"/>
        </w:rPr>
        <w:t xml:space="preserve"> muszą spełniać warunki legalizacji, uzyskiwania homologacji i/lub certyfikatów, znaku CE oraz innych wymagań określonych odrębnymi przepisami.</w:t>
      </w:r>
    </w:p>
    <w:p w14:paraId="5FD8FE8D" w14:textId="77777777" w:rsidR="00572BA3" w:rsidRDefault="00572BA3" w:rsidP="00D718FC">
      <w:pPr>
        <w:spacing w:line="134" w:lineRule="exact"/>
        <w:ind w:left="709" w:hanging="709"/>
        <w:rPr>
          <w:rFonts w:eastAsia="Times New Roman"/>
        </w:rPr>
      </w:pPr>
    </w:p>
    <w:p w14:paraId="22AA50E0" w14:textId="77777777" w:rsidR="00572BA3" w:rsidRDefault="00572BA3" w:rsidP="00D718FC">
      <w:pPr>
        <w:spacing w:line="234" w:lineRule="auto"/>
        <w:ind w:left="993" w:hanging="284"/>
        <w:jc w:val="both"/>
        <w:rPr>
          <w:rFonts w:eastAsia="Times New Roman"/>
        </w:rPr>
      </w:pPr>
      <w:r>
        <w:rPr>
          <w:rFonts w:eastAsia="Times New Roman"/>
        </w:rPr>
        <w:t>Projektowanie oraz eksploatacja urządzeń, instalacji i sieci powinny zapewniać racjonalne i oszczędne zużycie paliw lub energii przy zachowaniu:</w:t>
      </w:r>
    </w:p>
    <w:p w14:paraId="7AED5931" w14:textId="77777777" w:rsidR="00572BA3" w:rsidRDefault="00572BA3">
      <w:pPr>
        <w:numPr>
          <w:ilvl w:val="0"/>
          <w:numId w:val="33"/>
        </w:numPr>
        <w:spacing w:line="0" w:lineRule="atLeast"/>
        <w:ind w:left="993" w:hanging="284"/>
        <w:rPr>
          <w:rFonts w:eastAsia="Times New Roman"/>
        </w:rPr>
      </w:pPr>
      <w:r>
        <w:rPr>
          <w:rFonts w:eastAsia="Times New Roman"/>
        </w:rPr>
        <w:t>niezawodności współdziałania z siecią,</w:t>
      </w:r>
    </w:p>
    <w:p w14:paraId="7E83B95D" w14:textId="77777777" w:rsidR="00572BA3" w:rsidRDefault="00572BA3">
      <w:pPr>
        <w:numPr>
          <w:ilvl w:val="0"/>
          <w:numId w:val="33"/>
        </w:numPr>
        <w:spacing w:line="234" w:lineRule="auto"/>
        <w:ind w:left="993" w:hanging="284"/>
        <w:jc w:val="both"/>
        <w:rPr>
          <w:rFonts w:eastAsia="Times New Roman"/>
        </w:rPr>
      </w:pPr>
      <w:r>
        <w:rPr>
          <w:rFonts w:eastAsia="Times New Roman"/>
        </w:rPr>
        <w:t>bezpieczeństwa obsługi i otoczenia po spełnieniu wymagań ochrony środowiska,</w:t>
      </w:r>
    </w:p>
    <w:p w14:paraId="1E6B1BB3" w14:textId="6C8B0AF5" w:rsidR="00572BA3" w:rsidRDefault="00572BA3">
      <w:pPr>
        <w:numPr>
          <w:ilvl w:val="0"/>
          <w:numId w:val="33"/>
        </w:numPr>
        <w:spacing w:line="237" w:lineRule="auto"/>
        <w:ind w:left="993" w:hanging="284"/>
        <w:jc w:val="both"/>
        <w:rPr>
          <w:rFonts w:eastAsia="Times New Roman"/>
        </w:rPr>
      </w:pPr>
      <w:r>
        <w:rPr>
          <w:rFonts w:eastAsia="Times New Roman"/>
        </w:rPr>
        <w:t xml:space="preserve">zgodności z wymaganiami odrębnych przepisów, a w szczególności przepisów: prawa budowlanego, o ochronie przeciwporażeniowej, o ochronie przeciwpożarowej, </w:t>
      </w:r>
      <w:r w:rsidR="00F27359">
        <w:rPr>
          <w:rFonts w:eastAsia="Times New Roman"/>
        </w:rPr>
        <w:br/>
      </w:r>
      <w:r>
        <w:rPr>
          <w:rFonts w:eastAsia="Times New Roman"/>
        </w:rPr>
        <w:t>o dozorze technicznym, Polskich Norm wprowadzonych do obowiązkowego stosowania.</w:t>
      </w:r>
    </w:p>
    <w:p w14:paraId="0E125FB2" w14:textId="77777777" w:rsidR="00572BA3" w:rsidRDefault="00572BA3" w:rsidP="00D718FC">
      <w:pPr>
        <w:tabs>
          <w:tab w:val="left" w:pos="1121"/>
        </w:tabs>
        <w:spacing w:line="234" w:lineRule="auto"/>
        <w:ind w:left="709" w:hanging="709"/>
        <w:jc w:val="both"/>
        <w:rPr>
          <w:rFonts w:eastAsia="Times New Roman"/>
        </w:rPr>
      </w:pPr>
      <w:r>
        <w:rPr>
          <w:rFonts w:eastAsia="Times New Roman"/>
        </w:rPr>
        <w:t>III.1.2.</w:t>
      </w:r>
      <w:r>
        <w:rPr>
          <w:rFonts w:eastAsia="Times New Roman"/>
        </w:rPr>
        <w:tab/>
        <w:t xml:space="preserve">Zasady i standardy techniczne eksploatacji sieci dystrybucyjnej </w:t>
      </w:r>
      <w:r w:rsidR="00D2773B">
        <w:rPr>
          <w:rFonts w:eastAsia="Times New Roman"/>
        </w:rPr>
        <w:t xml:space="preserve">OSDn </w:t>
      </w:r>
      <w:r>
        <w:rPr>
          <w:rFonts w:eastAsia="Times New Roman"/>
        </w:rPr>
        <w:t>obejmują zagadnienia związane z:</w:t>
      </w:r>
    </w:p>
    <w:p w14:paraId="71EDF5F2" w14:textId="77777777" w:rsidR="00572BA3" w:rsidRDefault="00572BA3">
      <w:pPr>
        <w:numPr>
          <w:ilvl w:val="0"/>
          <w:numId w:val="34"/>
        </w:numPr>
        <w:spacing w:line="0" w:lineRule="atLeast"/>
        <w:ind w:left="993" w:hanging="284"/>
        <w:rPr>
          <w:rFonts w:eastAsia="Times New Roman"/>
        </w:rPr>
      </w:pPr>
      <w:r>
        <w:rPr>
          <w:rFonts w:eastAsia="Times New Roman"/>
        </w:rPr>
        <w:t>przyjmowaniem urządzeń, instalacji i sieci do eksploatacji,</w:t>
      </w:r>
    </w:p>
    <w:p w14:paraId="51012D4A" w14:textId="77777777" w:rsidR="00572BA3" w:rsidRPr="00FA49B5" w:rsidRDefault="00572BA3">
      <w:pPr>
        <w:numPr>
          <w:ilvl w:val="0"/>
          <w:numId w:val="34"/>
        </w:numPr>
        <w:spacing w:line="0" w:lineRule="atLeast"/>
        <w:ind w:left="993" w:hanging="284"/>
        <w:jc w:val="both"/>
        <w:rPr>
          <w:rFonts w:eastAsia="Times New Roman"/>
          <w:color w:val="000000"/>
        </w:rPr>
      </w:pPr>
      <w:r w:rsidRPr="00FA49B5">
        <w:rPr>
          <w:rFonts w:eastAsia="Times New Roman"/>
          <w:color w:val="000000"/>
        </w:rPr>
        <w:t>prowadzeniem zabiegów eksploatacyjnych,</w:t>
      </w:r>
    </w:p>
    <w:p w14:paraId="35334AC6" w14:textId="77777777" w:rsidR="00572BA3" w:rsidRPr="00FA49B5" w:rsidRDefault="00572BA3" w:rsidP="00D718FC">
      <w:pPr>
        <w:tabs>
          <w:tab w:val="left" w:pos="1461"/>
          <w:tab w:val="left" w:pos="2941"/>
          <w:tab w:val="left" w:pos="4021"/>
          <w:tab w:val="left" w:pos="5041"/>
          <w:tab w:val="left" w:pos="5261"/>
          <w:tab w:val="left" w:pos="5841"/>
          <w:tab w:val="left" w:pos="6241"/>
          <w:tab w:val="left" w:pos="7181"/>
          <w:tab w:val="left" w:pos="7641"/>
        </w:tabs>
        <w:spacing w:line="0" w:lineRule="atLeast"/>
        <w:ind w:left="993" w:hanging="284"/>
        <w:jc w:val="both"/>
        <w:rPr>
          <w:rFonts w:eastAsia="Times New Roman"/>
          <w:color w:val="000000"/>
        </w:rPr>
      </w:pPr>
      <w:r w:rsidRPr="00FA49B5">
        <w:rPr>
          <w:rFonts w:eastAsia="Times New Roman"/>
          <w:color w:val="000000"/>
        </w:rPr>
        <w:t>c)</w:t>
      </w:r>
      <w:r w:rsidRPr="00FA49B5">
        <w:rPr>
          <w:rFonts w:eastAsia="Times New Roman"/>
          <w:color w:val="000000"/>
        </w:rPr>
        <w:tab/>
        <w:t>przekazaniem</w:t>
      </w:r>
      <w:r w:rsidR="00A34467" w:rsidRPr="00FA49B5">
        <w:rPr>
          <w:rFonts w:eastAsia="Times New Roman"/>
          <w:color w:val="000000"/>
        </w:rPr>
        <w:t xml:space="preserve"> </w:t>
      </w:r>
      <w:r w:rsidRPr="00FA49B5">
        <w:rPr>
          <w:rFonts w:eastAsia="Times New Roman"/>
          <w:color w:val="000000"/>
        </w:rPr>
        <w:t>urządzeń,</w:t>
      </w:r>
      <w:r w:rsidR="00A34467" w:rsidRPr="00FA49B5">
        <w:rPr>
          <w:rFonts w:eastAsia="Times New Roman"/>
          <w:color w:val="000000"/>
        </w:rPr>
        <w:t xml:space="preserve"> </w:t>
      </w:r>
      <w:r w:rsidRPr="00FA49B5">
        <w:rPr>
          <w:rFonts w:eastAsia="Times New Roman"/>
          <w:color w:val="000000"/>
        </w:rPr>
        <w:t>instalacji</w:t>
      </w:r>
      <w:r w:rsidR="00A34467" w:rsidRPr="00FA49B5">
        <w:rPr>
          <w:rFonts w:eastAsia="Times New Roman"/>
          <w:color w:val="000000"/>
        </w:rPr>
        <w:t xml:space="preserve"> </w:t>
      </w:r>
      <w:r w:rsidRPr="00FA49B5">
        <w:rPr>
          <w:rFonts w:eastAsia="Times New Roman"/>
          <w:color w:val="000000"/>
        </w:rPr>
        <w:t>i</w:t>
      </w:r>
      <w:r w:rsidR="00A34467" w:rsidRPr="00FA49B5">
        <w:rPr>
          <w:rFonts w:eastAsia="Times New Roman"/>
          <w:color w:val="000000"/>
        </w:rPr>
        <w:t xml:space="preserve"> </w:t>
      </w:r>
      <w:r w:rsidRPr="00FA49B5">
        <w:rPr>
          <w:rFonts w:eastAsia="Times New Roman"/>
          <w:color w:val="000000"/>
        </w:rPr>
        <w:t>sieci</w:t>
      </w:r>
      <w:r w:rsidR="00A34467" w:rsidRPr="00FA49B5">
        <w:rPr>
          <w:rFonts w:eastAsia="Times New Roman"/>
          <w:color w:val="000000"/>
        </w:rPr>
        <w:t xml:space="preserve"> </w:t>
      </w:r>
      <w:r w:rsidRPr="00FA49B5">
        <w:rPr>
          <w:rFonts w:eastAsia="Times New Roman"/>
          <w:color w:val="000000"/>
        </w:rPr>
        <w:t>do</w:t>
      </w:r>
      <w:r w:rsidR="00A34467" w:rsidRPr="00FA49B5">
        <w:rPr>
          <w:rFonts w:eastAsia="Times New Roman"/>
          <w:color w:val="000000"/>
        </w:rPr>
        <w:t xml:space="preserve"> </w:t>
      </w:r>
      <w:r w:rsidRPr="00FA49B5">
        <w:rPr>
          <w:rFonts w:eastAsia="Times New Roman"/>
          <w:color w:val="000000"/>
        </w:rPr>
        <w:t>remontu</w:t>
      </w:r>
      <w:r w:rsidR="00A34467" w:rsidRPr="00FA49B5">
        <w:rPr>
          <w:rFonts w:eastAsia="Times New Roman"/>
          <w:color w:val="000000"/>
        </w:rPr>
        <w:t xml:space="preserve"> </w:t>
      </w:r>
      <w:r w:rsidRPr="00FA49B5">
        <w:rPr>
          <w:rFonts w:eastAsia="Times New Roman"/>
          <w:color w:val="000000"/>
        </w:rPr>
        <w:t>lub</w:t>
      </w:r>
      <w:r w:rsidR="00A34467" w:rsidRPr="00FA49B5">
        <w:rPr>
          <w:rFonts w:eastAsia="Times New Roman"/>
          <w:color w:val="000000"/>
        </w:rPr>
        <w:t xml:space="preserve"> </w:t>
      </w:r>
      <w:r w:rsidRPr="00FA49B5">
        <w:rPr>
          <w:rFonts w:eastAsia="Times New Roman"/>
          <w:color w:val="000000"/>
        </w:rPr>
        <w:t>wycofywaniem</w:t>
      </w:r>
      <w:r w:rsidR="00A34467" w:rsidRPr="00FA49B5">
        <w:rPr>
          <w:rFonts w:eastAsia="Times New Roman"/>
          <w:color w:val="000000"/>
        </w:rPr>
        <w:br/>
      </w:r>
      <w:r w:rsidRPr="00FA49B5">
        <w:rPr>
          <w:rFonts w:eastAsia="Times New Roman"/>
          <w:color w:val="000000"/>
        </w:rPr>
        <w:t>z eksploatacji,</w:t>
      </w:r>
    </w:p>
    <w:p w14:paraId="0BC84E12" w14:textId="77777777" w:rsidR="00572BA3" w:rsidRPr="00FA49B5" w:rsidRDefault="00572BA3">
      <w:pPr>
        <w:numPr>
          <w:ilvl w:val="0"/>
          <w:numId w:val="81"/>
        </w:numPr>
        <w:tabs>
          <w:tab w:val="clear" w:pos="360"/>
        </w:tabs>
        <w:spacing w:line="234" w:lineRule="auto"/>
        <w:ind w:left="993" w:hanging="284"/>
        <w:jc w:val="both"/>
        <w:rPr>
          <w:rFonts w:eastAsia="Times New Roman"/>
          <w:color w:val="000000"/>
        </w:rPr>
      </w:pPr>
      <w:r w:rsidRPr="00FA49B5">
        <w:rPr>
          <w:rFonts w:eastAsia="Times New Roman"/>
          <w:color w:val="000000"/>
        </w:rPr>
        <w:t>dokonywaniem uzgodnień z OSP i OSDp przy wykonywaniu prac eksploatacyjnych,</w:t>
      </w:r>
    </w:p>
    <w:p w14:paraId="1E67CE99" w14:textId="77777777" w:rsidR="00572BA3" w:rsidRDefault="00572BA3">
      <w:pPr>
        <w:numPr>
          <w:ilvl w:val="0"/>
          <w:numId w:val="81"/>
        </w:numPr>
        <w:tabs>
          <w:tab w:val="clear" w:pos="360"/>
        </w:tabs>
        <w:spacing w:line="0" w:lineRule="atLeast"/>
        <w:ind w:left="993" w:hanging="284"/>
        <w:jc w:val="both"/>
        <w:rPr>
          <w:rFonts w:eastAsia="Times New Roman"/>
        </w:rPr>
      </w:pPr>
      <w:r>
        <w:rPr>
          <w:rFonts w:eastAsia="Times New Roman"/>
        </w:rPr>
        <w:t>prowadzeniem dokumentacji technicznej i prawnej.</w:t>
      </w:r>
    </w:p>
    <w:p w14:paraId="0F6D970E" w14:textId="77777777" w:rsidR="00572BA3" w:rsidRPr="009A1B89" w:rsidRDefault="00572BA3" w:rsidP="00D718FC">
      <w:pPr>
        <w:tabs>
          <w:tab w:val="left" w:pos="1121"/>
        </w:tabs>
        <w:spacing w:line="237" w:lineRule="auto"/>
        <w:ind w:left="709" w:hanging="709"/>
        <w:jc w:val="both"/>
        <w:rPr>
          <w:rFonts w:eastAsia="Times New Roman"/>
          <w:szCs w:val="24"/>
        </w:rPr>
      </w:pPr>
      <w:r>
        <w:rPr>
          <w:rFonts w:eastAsia="Times New Roman"/>
        </w:rPr>
        <w:t>III.1.3.</w:t>
      </w:r>
      <w:r>
        <w:rPr>
          <w:rFonts w:eastAsia="Times New Roman"/>
        </w:rPr>
        <w:tab/>
        <w:t xml:space="preserve">Właściciel urządzeń, instalacji lub sieci odpowiada za ich należyty stan techniczny </w:t>
      </w:r>
      <w:r w:rsidR="00D718FC">
        <w:rPr>
          <w:rFonts w:eastAsia="Times New Roman"/>
        </w:rPr>
        <w:br/>
      </w:r>
      <w:r w:rsidRPr="009A1B89">
        <w:rPr>
          <w:rFonts w:eastAsia="Times New Roman"/>
          <w:szCs w:val="24"/>
        </w:rPr>
        <w:t xml:space="preserve">w tym za prawidłowe ich utrzymanie oraz prowadzenie eksploatacji przy zachowaniu należytej staranności poprzez m.in. wykonywanie oględzin, przeglądów, konserwacji </w:t>
      </w:r>
      <w:r w:rsidR="00D718FC">
        <w:rPr>
          <w:rFonts w:eastAsia="Times New Roman"/>
          <w:szCs w:val="24"/>
        </w:rPr>
        <w:br/>
      </w:r>
      <w:r w:rsidRPr="009A1B89">
        <w:rPr>
          <w:rFonts w:eastAsia="Times New Roman"/>
          <w:szCs w:val="24"/>
        </w:rPr>
        <w:t>i remontów oraz badań, pomiarów i prób eksploatacyjnych.</w:t>
      </w:r>
    </w:p>
    <w:p w14:paraId="7A48B4E5" w14:textId="77777777" w:rsidR="00572BA3" w:rsidRPr="009A1B89" w:rsidRDefault="00572BA3" w:rsidP="00D718FC">
      <w:pPr>
        <w:spacing w:line="137" w:lineRule="exact"/>
        <w:ind w:left="709" w:hanging="709"/>
        <w:jc w:val="both"/>
        <w:rPr>
          <w:rFonts w:eastAsia="Times New Roman"/>
          <w:szCs w:val="24"/>
        </w:rPr>
      </w:pPr>
    </w:p>
    <w:p w14:paraId="5250B9F7" w14:textId="77777777" w:rsidR="00572BA3" w:rsidRDefault="00572BA3" w:rsidP="00D718FC">
      <w:pPr>
        <w:spacing w:line="236" w:lineRule="auto"/>
        <w:ind w:left="709"/>
        <w:jc w:val="both"/>
        <w:rPr>
          <w:rFonts w:eastAsia="Times New Roman"/>
          <w:szCs w:val="24"/>
        </w:rPr>
      </w:pPr>
      <w:r w:rsidRPr="009A1B89">
        <w:rPr>
          <w:rFonts w:eastAsia="Times New Roman"/>
          <w:szCs w:val="24"/>
        </w:rPr>
        <w:t xml:space="preserve">Właściciel urządzeń, instalacji lub sieci może na podstawie umowy powierzyć prowadzenie eksploatacji swoich urządzeń, instalacji lub sieci innemu podmiotowi, </w:t>
      </w:r>
      <w:r w:rsidR="00D718FC">
        <w:rPr>
          <w:rFonts w:eastAsia="Times New Roman"/>
          <w:szCs w:val="24"/>
        </w:rPr>
        <w:br/>
      </w:r>
      <w:r w:rsidRPr="009A1B89">
        <w:rPr>
          <w:rFonts w:eastAsia="Times New Roman"/>
          <w:szCs w:val="24"/>
        </w:rPr>
        <w:t>z uwzględnieniem zasad określonych w niniejszej IRiESD.</w:t>
      </w:r>
    </w:p>
    <w:p w14:paraId="7DFB0D79" w14:textId="77777777" w:rsidR="001C2289" w:rsidRDefault="001C2289" w:rsidP="00D718FC">
      <w:pPr>
        <w:tabs>
          <w:tab w:val="left" w:pos="1121"/>
        </w:tabs>
        <w:spacing w:line="237" w:lineRule="auto"/>
        <w:ind w:left="709" w:hanging="709"/>
        <w:jc w:val="both"/>
        <w:rPr>
          <w:rFonts w:eastAsia="Times New Roman"/>
          <w:szCs w:val="24"/>
        </w:rPr>
      </w:pPr>
      <w:r>
        <w:rPr>
          <w:rFonts w:eastAsia="Times New Roman"/>
        </w:rPr>
        <w:t>III.1.4.</w:t>
      </w:r>
      <w:r>
        <w:rPr>
          <w:rFonts w:eastAsia="Times New Roman"/>
        </w:rPr>
        <w:tab/>
      </w:r>
      <w:r w:rsidRPr="009A1B89">
        <w:rPr>
          <w:rFonts w:eastAsia="Times New Roman"/>
          <w:szCs w:val="24"/>
        </w:rPr>
        <w:t>Dopuszcza się w umowie zawartej pomiędzy właścicielem urządzeń, instalacji lub sieci oraz OSDn, uzgodnienie innych niż określone w IRiESD standardów eksploatacji urządzeń, instalacji lub sieci.</w:t>
      </w:r>
    </w:p>
    <w:p w14:paraId="2340C582" w14:textId="77777777" w:rsidR="001C2289" w:rsidRDefault="001C2289" w:rsidP="00611BCE">
      <w:pPr>
        <w:spacing w:line="237" w:lineRule="auto"/>
        <w:ind w:left="709" w:hanging="709"/>
        <w:jc w:val="both"/>
        <w:rPr>
          <w:rFonts w:eastAsia="Times New Roman" w:cs="Times New Roman"/>
          <w:w w:val="99"/>
          <w:szCs w:val="24"/>
        </w:rPr>
      </w:pPr>
      <w:r>
        <w:rPr>
          <w:rFonts w:eastAsia="Times New Roman"/>
          <w:szCs w:val="24"/>
        </w:rPr>
        <w:t xml:space="preserve">III.1.5. </w:t>
      </w:r>
      <w:r w:rsidRPr="009A1B89">
        <w:rPr>
          <w:rFonts w:eastAsia="Times New Roman" w:cs="Times New Roman"/>
          <w:w w:val="99"/>
          <w:szCs w:val="24"/>
        </w:rPr>
        <w:t xml:space="preserve">OSDn prowadzi eksploatację własnych urządzeń elektroenergetycznych, zgodnie </w:t>
      </w:r>
      <w:r w:rsidRPr="009A1B89">
        <w:rPr>
          <w:rFonts w:eastAsia="Times New Roman" w:cs="Times New Roman"/>
          <w:w w:val="99"/>
          <w:szCs w:val="24"/>
        </w:rPr>
        <w:br/>
        <w:t xml:space="preserve">z zapisami niniejszej IRiESD oraz w oparciu o </w:t>
      </w:r>
      <w:r w:rsidRPr="009A1B89">
        <w:rPr>
          <w:rFonts w:cs="Times New Roman"/>
          <w:szCs w:val="24"/>
        </w:rPr>
        <w:t xml:space="preserve">zasady i instrukcje eksploatacji sieci, </w:t>
      </w:r>
      <w:r w:rsidRPr="009A1B89">
        <w:rPr>
          <w:rFonts w:cs="Times New Roman"/>
          <w:szCs w:val="24"/>
        </w:rPr>
        <w:lastRenderedPageBreak/>
        <w:t>instalacji, grup urządzeń lub poszczególnych urządzeń</w:t>
      </w:r>
      <w:r w:rsidRPr="009A1B89">
        <w:rPr>
          <w:rFonts w:eastAsia="Times New Roman" w:cs="Times New Roman"/>
          <w:w w:val="99"/>
          <w:szCs w:val="24"/>
        </w:rPr>
        <w:t xml:space="preserve">, w tym układów automatyki </w:t>
      </w:r>
      <w:r w:rsidR="00611BCE">
        <w:rPr>
          <w:rFonts w:eastAsia="Times New Roman" w:cs="Times New Roman"/>
          <w:w w:val="99"/>
          <w:szCs w:val="24"/>
        </w:rPr>
        <w:br/>
      </w:r>
      <w:r w:rsidRPr="009A1B89">
        <w:rPr>
          <w:rFonts w:eastAsia="Times New Roman" w:cs="Times New Roman"/>
          <w:w w:val="99"/>
          <w:szCs w:val="24"/>
        </w:rPr>
        <w:t>i zabezpieczeń, pomiarowych, regulacyjnych i sterowniczo-sygnalizacyjnych.</w:t>
      </w:r>
    </w:p>
    <w:p w14:paraId="06E5CB18" w14:textId="77777777" w:rsidR="001C2289" w:rsidRDefault="001C2289" w:rsidP="00D718FC">
      <w:pPr>
        <w:tabs>
          <w:tab w:val="left" w:pos="1121"/>
        </w:tabs>
        <w:spacing w:line="237" w:lineRule="auto"/>
        <w:ind w:left="709" w:hanging="709"/>
        <w:jc w:val="both"/>
        <w:rPr>
          <w:rFonts w:eastAsia="Times New Roman"/>
          <w:szCs w:val="24"/>
        </w:rPr>
      </w:pPr>
      <w:r>
        <w:rPr>
          <w:rFonts w:eastAsia="Times New Roman" w:cs="Times New Roman"/>
          <w:w w:val="99"/>
          <w:szCs w:val="24"/>
        </w:rPr>
        <w:t xml:space="preserve">III.1.6. </w:t>
      </w:r>
      <w:r w:rsidRPr="009A1B89">
        <w:rPr>
          <w:rFonts w:eastAsia="Times New Roman" w:cs="Times New Roman"/>
          <w:w w:val="99"/>
          <w:szCs w:val="24"/>
        </w:rPr>
        <w:t xml:space="preserve">Podmioty przyłączone do sieci dystrybucyjnej </w:t>
      </w:r>
      <w:r>
        <w:rPr>
          <w:rFonts w:eastAsia="Times New Roman" w:cs="Times New Roman"/>
          <w:w w:val="99"/>
          <w:szCs w:val="24"/>
        </w:rPr>
        <w:t xml:space="preserve">OSDn </w:t>
      </w:r>
      <w:r w:rsidRPr="009A1B89">
        <w:rPr>
          <w:rFonts w:eastAsia="Times New Roman" w:cs="Times New Roman"/>
          <w:w w:val="99"/>
          <w:szCs w:val="24"/>
        </w:rPr>
        <w:t>zobowiązane</w:t>
      </w:r>
      <w:r>
        <w:rPr>
          <w:rFonts w:eastAsia="Times New Roman" w:cs="Times New Roman"/>
          <w:w w:val="99"/>
          <w:szCs w:val="24"/>
        </w:rPr>
        <w:t xml:space="preserve"> </w:t>
      </w:r>
      <w:r w:rsidRPr="009A1B89">
        <w:rPr>
          <w:rFonts w:eastAsia="Times New Roman"/>
          <w:w w:val="99"/>
          <w:szCs w:val="24"/>
        </w:rPr>
        <w:t>są do eksploatowania sieci</w:t>
      </w:r>
      <w:r>
        <w:rPr>
          <w:rFonts w:eastAsia="Times New Roman"/>
          <w:w w:val="99"/>
          <w:szCs w:val="24"/>
        </w:rPr>
        <w:t xml:space="preserve"> </w:t>
      </w:r>
      <w:r w:rsidRPr="009A1B89">
        <w:rPr>
          <w:rFonts w:eastAsia="Times New Roman"/>
          <w:w w:val="99"/>
          <w:szCs w:val="24"/>
        </w:rPr>
        <w:t>urządzeń i instalacji będących ich własnością w sposób</w:t>
      </w:r>
      <w:r>
        <w:rPr>
          <w:rFonts w:eastAsia="Times New Roman"/>
          <w:w w:val="99"/>
          <w:szCs w:val="24"/>
        </w:rPr>
        <w:t xml:space="preserve"> </w:t>
      </w:r>
      <w:r w:rsidRPr="009A1B89">
        <w:rPr>
          <w:rFonts w:eastAsia="Times New Roman"/>
          <w:szCs w:val="24"/>
        </w:rPr>
        <w:t>nie zagrażający bezpiecznej pracy systemu dystrybucyjnego. Granicę eksploatacji</w:t>
      </w:r>
      <w:r>
        <w:rPr>
          <w:rFonts w:eastAsia="Times New Roman"/>
          <w:szCs w:val="24"/>
        </w:rPr>
        <w:t xml:space="preserve"> </w:t>
      </w:r>
      <w:r w:rsidRPr="009A1B89">
        <w:rPr>
          <w:rFonts w:eastAsia="Times New Roman"/>
          <w:szCs w:val="24"/>
        </w:rPr>
        <w:t>sieci, urządzeń i instalacji (w tym układy automatyki zabezpieczeniowej,</w:t>
      </w:r>
      <w:r>
        <w:rPr>
          <w:rFonts w:eastAsia="Times New Roman"/>
          <w:szCs w:val="24"/>
        </w:rPr>
        <w:t xml:space="preserve"> </w:t>
      </w:r>
      <w:r w:rsidRPr="009A1B89">
        <w:rPr>
          <w:rFonts w:eastAsia="Times New Roman"/>
          <w:w w:val="99"/>
          <w:szCs w:val="24"/>
        </w:rPr>
        <w:t>telemechaniki i układy pomiarowo-rozliczeniowe) oraz obowiązki stron w zakresie</w:t>
      </w:r>
      <w:r>
        <w:rPr>
          <w:rFonts w:eastAsia="Times New Roman"/>
          <w:w w:val="99"/>
          <w:szCs w:val="24"/>
        </w:rPr>
        <w:t xml:space="preserve"> </w:t>
      </w:r>
      <w:r w:rsidRPr="009A1B89">
        <w:rPr>
          <w:rFonts w:eastAsia="Times New Roman"/>
          <w:w w:val="99"/>
          <w:szCs w:val="24"/>
        </w:rPr>
        <w:t xml:space="preserve">utrzymywania tych elementów </w:t>
      </w:r>
      <w:r w:rsidR="00611BCE">
        <w:rPr>
          <w:rFonts w:eastAsia="Times New Roman"/>
          <w:w w:val="99"/>
          <w:szCs w:val="24"/>
        </w:rPr>
        <w:br/>
      </w:r>
      <w:r w:rsidRPr="009A1B89">
        <w:rPr>
          <w:rFonts w:eastAsia="Times New Roman"/>
          <w:w w:val="99"/>
          <w:szCs w:val="24"/>
        </w:rPr>
        <w:t>w należytym stanie technicznym, reguluje umowa o</w:t>
      </w:r>
      <w:r>
        <w:rPr>
          <w:rFonts w:eastAsia="Times New Roman"/>
          <w:w w:val="99"/>
          <w:szCs w:val="24"/>
        </w:rPr>
        <w:t xml:space="preserve"> </w:t>
      </w:r>
      <w:r w:rsidRPr="009A1B89">
        <w:rPr>
          <w:rFonts w:eastAsia="Times New Roman"/>
          <w:szCs w:val="24"/>
        </w:rPr>
        <w:t>świadczenie usług dystrybucyjnych lub umowa kompleksowa.</w:t>
      </w:r>
    </w:p>
    <w:p w14:paraId="38AD1A68" w14:textId="77777777" w:rsidR="001C2289" w:rsidRPr="009A1B89" w:rsidRDefault="001C2289" w:rsidP="00611BCE">
      <w:pPr>
        <w:spacing w:line="237" w:lineRule="auto"/>
        <w:ind w:left="709"/>
        <w:jc w:val="both"/>
        <w:rPr>
          <w:rFonts w:eastAsia="Times New Roman"/>
          <w:szCs w:val="24"/>
        </w:rPr>
      </w:pPr>
      <w:r>
        <w:rPr>
          <w:rFonts w:eastAsia="Times New Roman"/>
          <w:szCs w:val="24"/>
        </w:rPr>
        <w:t>OSDn</w:t>
      </w:r>
      <w:r w:rsidRPr="009A1B89">
        <w:rPr>
          <w:rFonts w:eastAsia="Times New Roman"/>
          <w:szCs w:val="24"/>
        </w:rPr>
        <w:t xml:space="preserve"> może zażądać od podmiotu, któremu świadczy usługę</w:t>
      </w:r>
      <w:r>
        <w:rPr>
          <w:rFonts w:eastAsia="Times New Roman"/>
          <w:szCs w:val="24"/>
        </w:rPr>
        <w:t xml:space="preserve"> dystrybucji </w:t>
      </w:r>
      <w:r w:rsidRPr="009A1B89">
        <w:rPr>
          <w:rFonts w:eastAsia="Times New Roman"/>
          <w:szCs w:val="24"/>
        </w:rPr>
        <w:t xml:space="preserve">wglądu </w:t>
      </w:r>
      <w:r>
        <w:rPr>
          <w:rFonts w:eastAsia="Times New Roman"/>
          <w:szCs w:val="24"/>
        </w:rPr>
        <w:br/>
      </w:r>
      <w:r w:rsidRPr="009A1B89">
        <w:rPr>
          <w:rFonts w:eastAsia="Times New Roman"/>
          <w:szCs w:val="24"/>
        </w:rPr>
        <w:t>w dokumentację eksploatacyjną potwierdzającą terminowość</w:t>
      </w:r>
      <w:r>
        <w:rPr>
          <w:rFonts w:eastAsia="Times New Roman"/>
          <w:szCs w:val="24"/>
        </w:rPr>
        <w:t xml:space="preserve"> </w:t>
      </w:r>
      <w:r w:rsidRPr="009A1B89">
        <w:rPr>
          <w:rFonts w:eastAsia="Times New Roman"/>
          <w:szCs w:val="24"/>
        </w:rPr>
        <w:t>i zakres prowadzonych prac eksploatacyjnych sieci, urządzeń i instalacji, których</w:t>
      </w:r>
      <w:r>
        <w:rPr>
          <w:rFonts w:eastAsia="Times New Roman"/>
          <w:szCs w:val="24"/>
        </w:rPr>
        <w:t xml:space="preserve"> </w:t>
      </w:r>
      <w:r w:rsidRPr="009A1B89">
        <w:rPr>
          <w:rFonts w:eastAsia="Times New Roman"/>
          <w:szCs w:val="24"/>
        </w:rPr>
        <w:t>stan techniczny może mieć wpływ na pracę sieci dystrybucyjnej.</w:t>
      </w:r>
    </w:p>
    <w:p w14:paraId="63DAD495" w14:textId="77777777" w:rsidR="001C2289" w:rsidRDefault="001C2289" w:rsidP="00611BCE">
      <w:pPr>
        <w:spacing w:line="236" w:lineRule="auto"/>
        <w:ind w:left="1141"/>
        <w:jc w:val="both"/>
        <w:rPr>
          <w:rFonts w:eastAsia="Times New Roman"/>
          <w:szCs w:val="24"/>
        </w:rPr>
      </w:pPr>
    </w:p>
    <w:p w14:paraId="5D1A38EF" w14:textId="77777777" w:rsidR="00D718FC" w:rsidRDefault="00D718FC" w:rsidP="00D718FC">
      <w:pPr>
        <w:pStyle w:val="Nagwek2"/>
      </w:pPr>
      <w:bookmarkStart w:id="25" w:name="_Toc141963876"/>
      <w:r>
        <w:t xml:space="preserve">III.2. </w:t>
      </w:r>
      <w:r w:rsidRPr="009A1B89">
        <w:t>PRZYJMOWANIE URZĄDZEŃ, INSTALACJI I SIECI DO</w:t>
      </w:r>
      <w:r>
        <w:t xml:space="preserve"> EKSPLOATACJI</w:t>
      </w:r>
      <w:bookmarkEnd w:id="25"/>
    </w:p>
    <w:p w14:paraId="52071CBD" w14:textId="77777777" w:rsidR="00D718FC" w:rsidRDefault="00D718FC" w:rsidP="00D718FC"/>
    <w:p w14:paraId="75E6586C" w14:textId="77777777" w:rsidR="00D718FC" w:rsidRPr="00D718FC" w:rsidRDefault="00D718FC">
      <w:pPr>
        <w:numPr>
          <w:ilvl w:val="0"/>
          <w:numId w:val="254"/>
        </w:numPr>
        <w:ind w:left="709" w:hanging="709"/>
        <w:jc w:val="both"/>
      </w:pPr>
      <w:r w:rsidRPr="009A1B89">
        <w:rPr>
          <w:rFonts w:eastAsia="Times New Roman"/>
          <w:w w:val="99"/>
          <w:szCs w:val="24"/>
        </w:rPr>
        <w:t>Przyjęcie do eksploatacji urządzeń, instalacji i sieci: nowych, przebudowanych i po</w:t>
      </w:r>
      <w:r>
        <w:rPr>
          <w:rFonts w:eastAsia="Times New Roman"/>
          <w:w w:val="99"/>
          <w:szCs w:val="24"/>
        </w:rPr>
        <w:t xml:space="preserve"> remoncie – następuje po przeprowadzeniu prób i pomiarów oraz stwierdzeniu spełnienia warunków określonych w niniejszej instrukcji, w zawartych umowach </w:t>
      </w:r>
      <w:r>
        <w:rPr>
          <w:rFonts w:eastAsia="Times New Roman"/>
          <w:w w:val="99"/>
          <w:szCs w:val="24"/>
        </w:rPr>
        <w:br/>
        <w:t xml:space="preserve">a także warunków zawartych w dokumentacji projektowej i fabrycznej </w:t>
      </w:r>
      <w:r w:rsidRPr="00010940">
        <w:rPr>
          <w:rFonts w:eastAsia="Times New Roman"/>
        </w:rPr>
        <w:t>oraz</w:t>
      </w:r>
      <w:r>
        <w:rPr>
          <w:rFonts w:eastAsia="Times New Roman"/>
        </w:rPr>
        <w:t xml:space="preserve"> spełnieniu </w:t>
      </w:r>
      <w:r w:rsidRPr="00010940">
        <w:rPr>
          <w:rFonts w:eastAsia="Times New Roman"/>
        </w:rPr>
        <w:t>wymagań, o których mowa w pkt. VII.4. Przyjmowane do eksploatac</w:t>
      </w:r>
      <w:r>
        <w:rPr>
          <w:rFonts w:eastAsia="Times New Roman"/>
        </w:rPr>
        <w:t xml:space="preserve">ji </w:t>
      </w:r>
      <w:r w:rsidRPr="00010940">
        <w:rPr>
          <w:rFonts w:eastAsia="Times New Roman"/>
          <w:w w:val="99"/>
        </w:rPr>
        <w:t>urządzenia, instalacje i sieci w zależności od potrzeb, powinny posiadać wymaganą</w:t>
      </w:r>
      <w:r>
        <w:rPr>
          <w:rFonts w:eastAsia="Times New Roman"/>
          <w:w w:val="99"/>
        </w:rPr>
        <w:t xml:space="preserve"> </w:t>
      </w:r>
      <w:r>
        <w:rPr>
          <w:rFonts w:eastAsia="Times New Roman"/>
        </w:rPr>
        <w:t>dokumentację prawną i techniczną.</w:t>
      </w:r>
      <w:r>
        <w:rPr>
          <w:rFonts w:eastAsia="Times New Roman"/>
          <w:w w:val="99"/>
        </w:rPr>
        <w:t xml:space="preserve"> </w:t>
      </w:r>
      <w:r>
        <w:rPr>
          <w:rFonts w:eastAsia="Times New Roman"/>
        </w:rPr>
        <w:t xml:space="preserve"> </w:t>
      </w:r>
    </w:p>
    <w:p w14:paraId="20DB184E" w14:textId="77777777" w:rsidR="00D718FC" w:rsidRPr="00D718FC" w:rsidRDefault="00D718FC">
      <w:pPr>
        <w:numPr>
          <w:ilvl w:val="0"/>
          <w:numId w:val="254"/>
        </w:numPr>
        <w:ind w:left="709" w:hanging="709"/>
        <w:jc w:val="both"/>
      </w:pPr>
      <w:r w:rsidRPr="00D718FC">
        <w:rPr>
          <w:rFonts w:eastAsia="Times New Roman"/>
          <w:color w:val="000000"/>
        </w:rPr>
        <w:t xml:space="preserve">Jednostki wytwórcze, transformatory blokowe oraz inne urządzenia określone przez OSDn przyłączane lub przyłączone do sieci SN i nN po dokonaniu remontu lub </w:t>
      </w:r>
      <w:r w:rsidRPr="00D718FC">
        <w:rPr>
          <w:rFonts w:eastAsia="Times New Roman"/>
          <w:color w:val="000000"/>
          <w:w w:val="99"/>
        </w:rPr>
        <w:t xml:space="preserve">przebudowy, przed przyjęciem do eksploatacji są poddawane specjalnej procedurze </w:t>
      </w:r>
      <w:r w:rsidRPr="00D718FC">
        <w:rPr>
          <w:rFonts w:eastAsia="Times New Roman"/>
          <w:color w:val="000000"/>
        </w:rPr>
        <w:t>przy wprowadzaniu do eksploatacji np. ruchowi próbnemu.</w:t>
      </w:r>
    </w:p>
    <w:p w14:paraId="10401F90" w14:textId="77777777" w:rsidR="00D718FC" w:rsidRPr="00D718FC" w:rsidRDefault="00D718FC">
      <w:pPr>
        <w:numPr>
          <w:ilvl w:val="0"/>
          <w:numId w:val="254"/>
        </w:numPr>
        <w:ind w:left="709" w:hanging="709"/>
        <w:jc w:val="both"/>
      </w:pPr>
      <w:r w:rsidRPr="00D718FC">
        <w:rPr>
          <w:rFonts w:eastAsia="Times New Roman"/>
          <w:color w:val="000000"/>
        </w:rPr>
        <w:t xml:space="preserve">Specjalne procedury, o których mowa w pkt.III.2.2.  są uzgadniane pomiędzy właścicielem lub podmiotem prowadzącym eksploatację urządzeń, OSDn </w:t>
      </w:r>
      <w:r w:rsidRPr="00D718FC">
        <w:rPr>
          <w:rFonts w:eastAsia="Times New Roman"/>
          <w:color w:val="000000"/>
        </w:rPr>
        <w:br/>
        <w:t>i wykonawcą prac, z uwzględnieniem wymagań producenta urządzeń.</w:t>
      </w:r>
    </w:p>
    <w:p w14:paraId="070785C6" w14:textId="77777777" w:rsidR="00D718FC" w:rsidRPr="00D718FC" w:rsidRDefault="00D718FC">
      <w:pPr>
        <w:numPr>
          <w:ilvl w:val="0"/>
          <w:numId w:val="254"/>
        </w:numPr>
        <w:spacing w:line="0" w:lineRule="atLeast"/>
        <w:ind w:left="709" w:hanging="709"/>
        <w:jc w:val="both"/>
        <w:rPr>
          <w:rFonts w:eastAsia="Times New Roman"/>
          <w:color w:val="000000"/>
        </w:rPr>
      </w:pPr>
      <w:r w:rsidRPr="00D718FC">
        <w:rPr>
          <w:rFonts w:eastAsia="Times New Roman"/>
          <w:color w:val="000000"/>
        </w:rPr>
        <w:t xml:space="preserve">Właściciel urządzeń, instalacji i sieci (w porozumieniu z OSDn, jeżeli właścicielem nie jest OSDn) dokonuje odbioru urządzeń, instalacji i sieci oraz sporządza protokół stwierdzający spełnienie przez przyjmowane do eksploatacji urządzenia, instalacje </w:t>
      </w:r>
      <w:r w:rsidR="00152D38">
        <w:rPr>
          <w:rFonts w:eastAsia="Times New Roman"/>
          <w:color w:val="000000"/>
        </w:rPr>
        <w:br/>
      </w:r>
      <w:r w:rsidRPr="00D718FC">
        <w:rPr>
          <w:rFonts w:eastAsia="Times New Roman"/>
          <w:color w:val="000000"/>
        </w:rPr>
        <w:t>i sieci wymagań określonych w niniejszej IRiESD.</w:t>
      </w:r>
    </w:p>
    <w:p w14:paraId="46A3A1B8" w14:textId="77777777" w:rsidR="00D718FC" w:rsidRPr="00D718FC" w:rsidRDefault="00D718FC" w:rsidP="00E84B0F">
      <w:pPr>
        <w:ind w:left="709"/>
        <w:jc w:val="both"/>
      </w:pPr>
      <w:r w:rsidRPr="00D718FC">
        <w:rPr>
          <w:rFonts w:eastAsia="Times New Roman"/>
          <w:color w:val="000000"/>
        </w:rPr>
        <w:t xml:space="preserve">OSDn, w przypadku, gdy nie jest właścicielem uruchamianych urządzeń, instalacji </w:t>
      </w:r>
      <w:r w:rsidRPr="00D718FC">
        <w:rPr>
          <w:rFonts w:eastAsia="Times New Roman"/>
          <w:color w:val="000000"/>
        </w:rPr>
        <w:br/>
        <w:t>i sieci, zastrzega sobie prawo sprawdzenia urządzeń, instalacji i sieci przyłączanych do sieci, której jest operatorem.</w:t>
      </w:r>
    </w:p>
    <w:p w14:paraId="0E7FF0CE" w14:textId="77777777" w:rsidR="00D718FC" w:rsidRDefault="00D718FC" w:rsidP="00E84B0F">
      <w:pPr>
        <w:spacing w:line="236" w:lineRule="auto"/>
        <w:ind w:left="1141"/>
        <w:jc w:val="both"/>
        <w:rPr>
          <w:rFonts w:eastAsia="Times New Roman"/>
          <w:szCs w:val="24"/>
        </w:rPr>
      </w:pPr>
    </w:p>
    <w:p w14:paraId="5D45C3F5" w14:textId="77777777" w:rsidR="002631F3" w:rsidRDefault="002631F3" w:rsidP="00E84B0F">
      <w:pPr>
        <w:pStyle w:val="Nagwek2"/>
        <w:jc w:val="both"/>
      </w:pPr>
      <w:bookmarkStart w:id="26" w:name="_Toc141963877"/>
      <w:r w:rsidRPr="002631F3">
        <w:t>III.3. PRZEKAZYWANIE URZĄDZEŃ DO REMONTU, PRZEBUDOWY LUB WYCOFANIE Z EKSPLOATACJI</w:t>
      </w:r>
      <w:bookmarkEnd w:id="26"/>
      <w:r w:rsidRPr="002631F3">
        <w:t xml:space="preserve"> </w:t>
      </w:r>
    </w:p>
    <w:p w14:paraId="587B85E3" w14:textId="77777777" w:rsidR="002631F3" w:rsidRDefault="002631F3" w:rsidP="00E84B0F"/>
    <w:p w14:paraId="15CC4749" w14:textId="77777777" w:rsidR="002631F3" w:rsidRPr="002631F3" w:rsidRDefault="002631F3">
      <w:pPr>
        <w:numPr>
          <w:ilvl w:val="0"/>
          <w:numId w:val="255"/>
        </w:numPr>
        <w:ind w:left="709" w:hanging="709"/>
      </w:pPr>
      <w:r>
        <w:rPr>
          <w:rFonts w:eastAsia="Times New Roman"/>
        </w:rPr>
        <w:t>Przekazanie urządzeń do remontu, przebudowy lub wycofanie z eksploatacji następuje na podstawie decyzji właściciela urządzeń.</w:t>
      </w:r>
    </w:p>
    <w:p w14:paraId="58D76B9F" w14:textId="77777777" w:rsidR="002631F3" w:rsidRPr="002631F3" w:rsidRDefault="002631F3">
      <w:pPr>
        <w:numPr>
          <w:ilvl w:val="0"/>
          <w:numId w:val="255"/>
        </w:numPr>
        <w:ind w:left="709" w:hanging="709"/>
      </w:pPr>
      <w:r>
        <w:rPr>
          <w:rFonts w:eastAsia="Times New Roman"/>
        </w:rPr>
        <w:t xml:space="preserve">Datę i sposób przekazania urządzeń do remontu, przebudowy lub wycofania </w:t>
      </w:r>
      <w:r>
        <w:rPr>
          <w:rFonts w:eastAsia="Times New Roman"/>
        </w:rPr>
        <w:br/>
        <w:t>z eksploatacji należy uzgodnić z właściwym OSDp.</w:t>
      </w:r>
    </w:p>
    <w:p w14:paraId="5B48A420" w14:textId="77777777" w:rsidR="002631F3" w:rsidRDefault="002631F3" w:rsidP="00E84B0F">
      <w:pPr>
        <w:spacing w:line="236" w:lineRule="auto"/>
        <w:ind w:left="1141"/>
        <w:jc w:val="both"/>
        <w:rPr>
          <w:rFonts w:eastAsia="Times New Roman"/>
          <w:szCs w:val="24"/>
        </w:rPr>
      </w:pPr>
    </w:p>
    <w:p w14:paraId="0CCD5903" w14:textId="77777777" w:rsidR="00D418D5" w:rsidRDefault="00D418D5" w:rsidP="00E84B0F">
      <w:pPr>
        <w:pStyle w:val="Nagwek2"/>
        <w:jc w:val="both"/>
      </w:pPr>
      <w:bookmarkStart w:id="27" w:name="_Toc141963878"/>
      <w:r w:rsidRPr="002631F3">
        <w:lastRenderedPageBreak/>
        <w:t>III.</w:t>
      </w:r>
      <w:r>
        <w:t>4</w:t>
      </w:r>
      <w:r w:rsidRPr="002631F3">
        <w:t xml:space="preserve">. </w:t>
      </w:r>
      <w:r>
        <w:t>UZGADNIANIE PRAC EKSPLOATACYJNYCH Z OPERATOREM SYSTEMU PRZESYŁOWEGO I OPERATORAMI SYSTEMÓW DYSTRYBUCYJNYCH</w:t>
      </w:r>
      <w:bookmarkEnd w:id="27"/>
      <w:r w:rsidRPr="002631F3">
        <w:t xml:space="preserve"> </w:t>
      </w:r>
    </w:p>
    <w:p w14:paraId="3CDC8575" w14:textId="77777777" w:rsidR="00D418D5" w:rsidRDefault="00D418D5" w:rsidP="00F54A17">
      <w:pPr>
        <w:ind w:left="709" w:hanging="709"/>
        <w:jc w:val="both"/>
      </w:pPr>
    </w:p>
    <w:p w14:paraId="72F8AA46" w14:textId="77777777" w:rsidR="00D418D5" w:rsidRPr="001C2289" w:rsidRDefault="00D418D5">
      <w:pPr>
        <w:numPr>
          <w:ilvl w:val="0"/>
          <w:numId w:val="256"/>
        </w:numPr>
        <w:ind w:left="709" w:hanging="709"/>
        <w:jc w:val="both"/>
      </w:pPr>
      <w:r w:rsidRPr="00732AD4">
        <w:rPr>
          <w:rFonts w:cs="Times New Roman"/>
          <w:color w:val="000000"/>
          <w:szCs w:val="24"/>
        </w:rPr>
        <w:t xml:space="preserve">Wszystkie prace wykonywane w sieciach dystrybucyjnych OSDn są prowadzone </w:t>
      </w:r>
      <w:r w:rsidRPr="00732AD4">
        <w:rPr>
          <w:rFonts w:cs="Times New Roman"/>
          <w:color w:val="000000"/>
          <w:szCs w:val="24"/>
        </w:rPr>
        <w:br/>
        <w:t>w uzgodnieniu z OSDn</w:t>
      </w:r>
      <w:r w:rsidRPr="0095164F">
        <w:rPr>
          <w:rFonts w:cs="Times New Roman"/>
          <w:color w:val="000000"/>
          <w:sz w:val="23"/>
          <w:szCs w:val="23"/>
        </w:rPr>
        <w:t>.</w:t>
      </w:r>
    </w:p>
    <w:p w14:paraId="48A9384A" w14:textId="77777777" w:rsidR="00D418D5" w:rsidRDefault="00D418D5">
      <w:pPr>
        <w:numPr>
          <w:ilvl w:val="0"/>
          <w:numId w:val="256"/>
        </w:numPr>
        <w:ind w:left="709" w:hanging="709"/>
        <w:jc w:val="both"/>
      </w:pPr>
      <w:r>
        <w:t xml:space="preserve">W </w:t>
      </w:r>
      <w:r w:rsidRPr="00732AD4">
        <w:t>przypadku powierzenia prowadzenia eksploatacji urządzeń, instalacji lub sieci innemu podmiotowi, szczegółowe zasady i terminy dokonywania uzgodnień prac eksploatacyjnych z OSDn reguluje umowa</w:t>
      </w:r>
      <w:r w:rsidR="007B34F3">
        <w:t>.</w:t>
      </w:r>
    </w:p>
    <w:p w14:paraId="1EE14846" w14:textId="77777777" w:rsidR="007B34F3" w:rsidRPr="001C2289" w:rsidRDefault="007B34F3">
      <w:pPr>
        <w:numPr>
          <w:ilvl w:val="0"/>
          <w:numId w:val="256"/>
        </w:numPr>
        <w:ind w:left="709" w:hanging="709"/>
        <w:jc w:val="both"/>
      </w:pPr>
      <w:r>
        <w:rPr>
          <w:sz w:val="23"/>
          <w:szCs w:val="23"/>
        </w:rPr>
        <w:t xml:space="preserve">OSDn dokonuje niezbędnych uzgodnień planowanych prac eksploatacyjnych w zakresie, </w:t>
      </w:r>
      <w:r>
        <w:rPr>
          <w:sz w:val="23"/>
          <w:szCs w:val="23"/>
        </w:rPr>
        <w:br/>
        <w:t>w jakim mogą one mieć wpływ na pracę sieci, której ruch prowadzą inni operatorzy.</w:t>
      </w:r>
    </w:p>
    <w:p w14:paraId="439E73A8" w14:textId="1C46B2AF" w:rsidR="00D418D5" w:rsidRDefault="00D418D5" w:rsidP="00F54A17">
      <w:pPr>
        <w:ind w:left="360"/>
      </w:pPr>
    </w:p>
    <w:p w14:paraId="30C7BFC9" w14:textId="77777777" w:rsidR="00E84B0F" w:rsidRPr="00FA49B5" w:rsidRDefault="00E84B0F" w:rsidP="00F54A17">
      <w:pPr>
        <w:pStyle w:val="Nagwek2"/>
        <w:jc w:val="both"/>
        <w:rPr>
          <w:color w:val="000000"/>
        </w:rPr>
      </w:pPr>
      <w:bookmarkStart w:id="28" w:name="_Toc141963879"/>
      <w:r w:rsidRPr="00E84B0F">
        <w:rPr>
          <w:color w:val="000000"/>
        </w:rPr>
        <w:t>III.</w:t>
      </w:r>
      <w:r w:rsidRPr="00FA49B5">
        <w:rPr>
          <w:color w:val="000000"/>
        </w:rPr>
        <w:t>5. DOKUMENTACJA TECHNICZNA I PRAWNA</w:t>
      </w:r>
      <w:bookmarkEnd w:id="28"/>
      <w:r w:rsidRPr="00FA49B5">
        <w:rPr>
          <w:color w:val="000000"/>
        </w:rPr>
        <w:t xml:space="preserve"> </w:t>
      </w:r>
    </w:p>
    <w:p w14:paraId="7A154DFE" w14:textId="77777777" w:rsidR="00B43E86" w:rsidRPr="00B43E86" w:rsidRDefault="00B43E86" w:rsidP="00F54A17"/>
    <w:p w14:paraId="1E5E1085" w14:textId="77777777" w:rsidR="00E84B0F" w:rsidRPr="00FA49B5" w:rsidRDefault="00E84B0F">
      <w:pPr>
        <w:numPr>
          <w:ilvl w:val="0"/>
          <w:numId w:val="258"/>
        </w:numPr>
        <w:ind w:left="709" w:hanging="709"/>
        <w:jc w:val="both"/>
        <w:rPr>
          <w:color w:val="000000"/>
        </w:rPr>
      </w:pPr>
      <w:r w:rsidRPr="00FA49B5">
        <w:rPr>
          <w:color w:val="000000"/>
        </w:rPr>
        <w:t xml:space="preserve">Właściciel obiektu lub urządzenia elektroenergetycznego prowadzi i na bieżąco aktualizuje następującą dokumentację: </w:t>
      </w:r>
    </w:p>
    <w:p w14:paraId="19AC92EA" w14:textId="77777777" w:rsidR="00E84B0F" w:rsidRPr="00FA49B5" w:rsidRDefault="00E84B0F">
      <w:pPr>
        <w:numPr>
          <w:ilvl w:val="0"/>
          <w:numId w:val="257"/>
        </w:numPr>
        <w:ind w:left="1134" w:hanging="283"/>
        <w:jc w:val="both"/>
        <w:rPr>
          <w:color w:val="000000"/>
        </w:rPr>
      </w:pPr>
      <w:r w:rsidRPr="00FA49B5">
        <w:rPr>
          <w:color w:val="000000"/>
        </w:rPr>
        <w:t>dla obiektu elektroenergetycznego – dokumentację prawną i techniczną,</w:t>
      </w:r>
    </w:p>
    <w:p w14:paraId="0C8CD142" w14:textId="77777777" w:rsidR="00E84B0F" w:rsidRPr="00FA49B5" w:rsidRDefault="00E84B0F">
      <w:pPr>
        <w:numPr>
          <w:ilvl w:val="0"/>
          <w:numId w:val="257"/>
        </w:numPr>
        <w:ind w:left="1134" w:hanging="283"/>
        <w:jc w:val="both"/>
        <w:rPr>
          <w:color w:val="000000"/>
        </w:rPr>
      </w:pPr>
      <w:r w:rsidRPr="00FA49B5">
        <w:rPr>
          <w:color w:val="000000"/>
        </w:rPr>
        <w:t xml:space="preserve">dla </w:t>
      </w:r>
      <w:r w:rsidRPr="00FA49B5">
        <w:rPr>
          <w:color w:val="000000"/>
          <w:sz w:val="23"/>
          <w:szCs w:val="23"/>
        </w:rPr>
        <w:t>urządzeń – dokumentację techniczną.</w:t>
      </w:r>
    </w:p>
    <w:p w14:paraId="114497F0" w14:textId="77777777" w:rsidR="00E84B0F" w:rsidRPr="00FA49B5" w:rsidRDefault="00E84B0F">
      <w:pPr>
        <w:numPr>
          <w:ilvl w:val="0"/>
          <w:numId w:val="258"/>
        </w:numPr>
        <w:ind w:left="709" w:hanging="709"/>
        <w:jc w:val="both"/>
        <w:rPr>
          <w:rFonts w:eastAsia="Times New Roman"/>
          <w:color w:val="000000"/>
          <w:szCs w:val="24"/>
        </w:rPr>
      </w:pPr>
      <w:r w:rsidRPr="00FA49B5">
        <w:rPr>
          <w:color w:val="000000"/>
        </w:rPr>
        <w:t>Dopuszcza się prowadzenie oraz aktualizacje dokumentacji przez inny podmiot działający na podstawie umowy zawartej z właścicielem. Rodzaj i zakres prowadzonej dokumentacji określa umowa.</w:t>
      </w:r>
    </w:p>
    <w:p w14:paraId="0F858631" w14:textId="77777777" w:rsidR="00572BA3" w:rsidRPr="00FA49B5" w:rsidRDefault="00572BA3" w:rsidP="00C73B38">
      <w:pPr>
        <w:spacing w:line="0" w:lineRule="atLeast"/>
        <w:ind w:left="709" w:hanging="709"/>
        <w:jc w:val="both"/>
        <w:rPr>
          <w:rFonts w:eastAsia="Times New Roman"/>
          <w:color w:val="000000"/>
        </w:rPr>
      </w:pPr>
      <w:r w:rsidRPr="00FA49B5">
        <w:rPr>
          <w:rFonts w:eastAsia="Times New Roman"/>
          <w:color w:val="000000"/>
        </w:rPr>
        <w:t>III.5.2.</w:t>
      </w:r>
      <w:r w:rsidRPr="00FA49B5">
        <w:rPr>
          <w:rFonts w:eastAsia="Times New Roman"/>
          <w:color w:val="000000"/>
        </w:rPr>
        <w:tab/>
        <w:t>Dokumentacja</w:t>
      </w:r>
      <w:r w:rsidR="00C73B38" w:rsidRPr="00FA49B5">
        <w:rPr>
          <w:rFonts w:eastAsia="Times New Roman"/>
          <w:color w:val="000000"/>
        </w:rPr>
        <w:t xml:space="preserve"> </w:t>
      </w:r>
      <w:r w:rsidRPr="00FA49B5">
        <w:rPr>
          <w:rFonts w:eastAsia="Times New Roman"/>
          <w:color w:val="000000"/>
        </w:rPr>
        <w:t>prawna</w:t>
      </w:r>
      <w:r w:rsidR="00C73B38" w:rsidRPr="00FA49B5">
        <w:rPr>
          <w:rFonts w:eastAsia="Times New Roman"/>
          <w:color w:val="000000"/>
        </w:rPr>
        <w:t xml:space="preserve"> </w:t>
      </w:r>
      <w:r w:rsidRPr="00FA49B5">
        <w:rPr>
          <w:rFonts w:eastAsia="Times New Roman"/>
          <w:color w:val="000000"/>
        </w:rPr>
        <w:t>obiektu</w:t>
      </w:r>
      <w:r w:rsidR="00C73B38" w:rsidRPr="00FA49B5">
        <w:rPr>
          <w:rFonts w:eastAsia="Times New Roman"/>
          <w:color w:val="000000"/>
        </w:rPr>
        <w:t xml:space="preserve"> </w:t>
      </w:r>
      <w:r w:rsidRPr="00FA49B5">
        <w:rPr>
          <w:rFonts w:eastAsia="Times New Roman"/>
          <w:color w:val="000000"/>
        </w:rPr>
        <w:t>elektroenergetycznego</w:t>
      </w:r>
      <w:r w:rsidR="00C73B38" w:rsidRPr="00FA49B5">
        <w:rPr>
          <w:rFonts w:eastAsia="Times New Roman"/>
          <w:color w:val="000000"/>
        </w:rPr>
        <w:t xml:space="preserve"> </w:t>
      </w:r>
      <w:r w:rsidRPr="00FA49B5">
        <w:rPr>
          <w:rFonts w:eastAsia="Times New Roman"/>
          <w:color w:val="000000"/>
        </w:rPr>
        <w:t>powinna</w:t>
      </w:r>
      <w:r w:rsidR="00C73B38" w:rsidRPr="00FA49B5">
        <w:rPr>
          <w:rFonts w:eastAsia="Times New Roman"/>
          <w:color w:val="000000"/>
        </w:rPr>
        <w:t xml:space="preserve"> </w:t>
      </w:r>
      <w:r w:rsidRPr="00FA49B5">
        <w:rPr>
          <w:rFonts w:eastAsia="Times New Roman"/>
          <w:color w:val="000000"/>
        </w:rPr>
        <w:t>zawierać</w:t>
      </w:r>
      <w:r w:rsidR="00C73B38" w:rsidRPr="00FA49B5">
        <w:rPr>
          <w:rFonts w:eastAsia="Times New Roman"/>
          <w:color w:val="000000"/>
        </w:rPr>
        <w:t xml:space="preserve"> </w:t>
      </w:r>
      <w:r w:rsidRPr="00FA49B5">
        <w:rPr>
          <w:rFonts w:eastAsia="Times New Roman"/>
          <w:color w:val="000000"/>
        </w:rPr>
        <w:t>szczególności:</w:t>
      </w:r>
    </w:p>
    <w:p w14:paraId="1079BB87" w14:textId="77777777" w:rsidR="00572BA3" w:rsidRPr="00FA49B5" w:rsidRDefault="00572BA3">
      <w:pPr>
        <w:numPr>
          <w:ilvl w:val="0"/>
          <w:numId w:val="35"/>
        </w:numPr>
        <w:tabs>
          <w:tab w:val="clear" w:pos="2749"/>
        </w:tabs>
        <w:spacing w:line="234" w:lineRule="auto"/>
        <w:ind w:left="1134" w:hanging="283"/>
        <w:jc w:val="both"/>
        <w:rPr>
          <w:rFonts w:eastAsia="Times New Roman"/>
          <w:color w:val="000000"/>
        </w:rPr>
      </w:pPr>
      <w:r w:rsidRPr="00FA49B5">
        <w:rPr>
          <w:rFonts w:eastAsia="Times New Roman"/>
          <w:color w:val="000000"/>
        </w:rPr>
        <w:t>decyzję o warunkach zabudowy i zagospodarowania terenu – jeżeli jest wymagana,</w:t>
      </w:r>
    </w:p>
    <w:p w14:paraId="291BE696" w14:textId="77777777" w:rsidR="00572BA3" w:rsidRPr="00FA49B5" w:rsidRDefault="00572BA3">
      <w:pPr>
        <w:numPr>
          <w:ilvl w:val="0"/>
          <w:numId w:val="35"/>
        </w:numPr>
        <w:tabs>
          <w:tab w:val="clear" w:pos="2749"/>
          <w:tab w:val="left" w:pos="1134"/>
        </w:tabs>
        <w:spacing w:line="0" w:lineRule="atLeast"/>
        <w:ind w:left="851"/>
        <w:jc w:val="both"/>
        <w:rPr>
          <w:rFonts w:eastAsia="Times New Roman"/>
          <w:color w:val="000000"/>
        </w:rPr>
      </w:pPr>
      <w:r w:rsidRPr="00FA49B5">
        <w:rPr>
          <w:rFonts w:eastAsia="Times New Roman"/>
          <w:color w:val="000000"/>
        </w:rPr>
        <w:t>dokumenty stwierdzające stan prawno-własnościowy nieruchomości,</w:t>
      </w:r>
    </w:p>
    <w:p w14:paraId="2E69D957" w14:textId="77777777" w:rsidR="00572BA3" w:rsidRPr="00FA49B5" w:rsidRDefault="00572BA3">
      <w:pPr>
        <w:numPr>
          <w:ilvl w:val="0"/>
          <w:numId w:val="35"/>
        </w:numPr>
        <w:tabs>
          <w:tab w:val="clear" w:pos="2749"/>
          <w:tab w:val="left" w:pos="1134"/>
        </w:tabs>
        <w:spacing w:line="0" w:lineRule="atLeast"/>
        <w:ind w:left="851"/>
        <w:jc w:val="both"/>
        <w:rPr>
          <w:rFonts w:eastAsia="Times New Roman"/>
          <w:color w:val="000000"/>
        </w:rPr>
      </w:pPr>
      <w:r w:rsidRPr="00FA49B5">
        <w:rPr>
          <w:rFonts w:eastAsia="Times New Roman"/>
          <w:color w:val="000000"/>
        </w:rPr>
        <w:t>pozwolenie na budowę wraz z załącznikami,</w:t>
      </w:r>
    </w:p>
    <w:p w14:paraId="2DC3B812" w14:textId="77777777" w:rsidR="00F771A4" w:rsidRPr="00FA49B5" w:rsidRDefault="00572BA3">
      <w:pPr>
        <w:numPr>
          <w:ilvl w:val="0"/>
          <w:numId w:val="35"/>
        </w:numPr>
        <w:tabs>
          <w:tab w:val="clear" w:pos="2749"/>
          <w:tab w:val="left" w:pos="1134"/>
        </w:tabs>
        <w:spacing w:line="0" w:lineRule="atLeast"/>
        <w:ind w:left="851"/>
        <w:rPr>
          <w:rFonts w:eastAsia="Times New Roman"/>
          <w:color w:val="000000"/>
        </w:rPr>
      </w:pPr>
      <w:r w:rsidRPr="00FA49B5">
        <w:rPr>
          <w:rFonts w:eastAsia="Times New Roman"/>
          <w:color w:val="000000"/>
        </w:rPr>
        <w:t>pozwolenie na użytkowanie – jeżeli jest wymagane.</w:t>
      </w:r>
    </w:p>
    <w:p w14:paraId="48795FBB" w14:textId="77777777" w:rsidR="00572BA3" w:rsidRPr="00FA49B5" w:rsidRDefault="00572BA3">
      <w:pPr>
        <w:numPr>
          <w:ilvl w:val="0"/>
          <w:numId w:val="258"/>
        </w:numPr>
        <w:spacing w:line="234" w:lineRule="auto"/>
        <w:ind w:left="709" w:hanging="709"/>
        <w:jc w:val="both"/>
        <w:rPr>
          <w:rFonts w:eastAsia="Times New Roman"/>
          <w:color w:val="000000"/>
        </w:rPr>
      </w:pPr>
      <w:r w:rsidRPr="00FA49B5">
        <w:rPr>
          <w:rFonts w:eastAsia="Times New Roman"/>
          <w:color w:val="000000"/>
        </w:rPr>
        <w:t>Dokumentacja techniczna w zależności od potrzeb, rodzaju obiektu, urządzenia lub grupy urządzeń obejmuje m.in.:</w:t>
      </w:r>
    </w:p>
    <w:p w14:paraId="735A76ED" w14:textId="77777777" w:rsidR="00572BA3" w:rsidRPr="00FA49B5" w:rsidRDefault="00572BA3">
      <w:pPr>
        <w:numPr>
          <w:ilvl w:val="0"/>
          <w:numId w:val="82"/>
        </w:numPr>
        <w:tabs>
          <w:tab w:val="clear" w:pos="1626"/>
        </w:tabs>
        <w:spacing w:line="0" w:lineRule="atLeast"/>
        <w:ind w:left="1134" w:hanging="283"/>
        <w:jc w:val="both"/>
        <w:rPr>
          <w:rFonts w:eastAsia="Times New Roman"/>
          <w:color w:val="000000"/>
        </w:rPr>
      </w:pPr>
      <w:r w:rsidRPr="00FA49B5">
        <w:rPr>
          <w:rFonts w:eastAsia="Times New Roman"/>
          <w:color w:val="000000"/>
        </w:rPr>
        <w:t>dokumentację projektową i powykonawczą,</w:t>
      </w:r>
    </w:p>
    <w:p w14:paraId="709154CF" w14:textId="77777777" w:rsidR="00572BA3" w:rsidRPr="00FA49B5" w:rsidRDefault="00572BA3">
      <w:pPr>
        <w:numPr>
          <w:ilvl w:val="0"/>
          <w:numId w:val="82"/>
        </w:numPr>
        <w:tabs>
          <w:tab w:val="clear" w:pos="1626"/>
        </w:tabs>
        <w:spacing w:line="249" w:lineRule="auto"/>
        <w:ind w:left="1134" w:hanging="283"/>
        <w:jc w:val="both"/>
        <w:rPr>
          <w:rFonts w:eastAsia="Times New Roman"/>
          <w:color w:val="000000"/>
          <w:sz w:val="23"/>
        </w:rPr>
      </w:pPr>
      <w:r w:rsidRPr="00FA49B5">
        <w:rPr>
          <w:rFonts w:eastAsia="Times New Roman"/>
          <w:color w:val="000000"/>
          <w:sz w:val="23"/>
        </w:rPr>
        <w:t>protokół zakwalifikowania pomieszczeń i ich stref lub przestrzeni zewnętrznych do kategorii niebezpieczeństwa pożarowego i/lub zagrożenia wybuchem,</w:t>
      </w:r>
    </w:p>
    <w:p w14:paraId="126F8D00" w14:textId="77777777" w:rsidR="00572BA3" w:rsidRPr="00FA49B5" w:rsidRDefault="00572BA3">
      <w:pPr>
        <w:numPr>
          <w:ilvl w:val="0"/>
          <w:numId w:val="82"/>
        </w:numPr>
        <w:tabs>
          <w:tab w:val="clear" w:pos="1626"/>
        </w:tabs>
        <w:spacing w:line="0" w:lineRule="atLeast"/>
        <w:ind w:left="1134" w:hanging="283"/>
        <w:jc w:val="both"/>
        <w:rPr>
          <w:rFonts w:eastAsia="Times New Roman"/>
          <w:color w:val="000000"/>
        </w:rPr>
      </w:pPr>
      <w:r w:rsidRPr="00FA49B5">
        <w:rPr>
          <w:rFonts w:eastAsia="Times New Roman"/>
          <w:color w:val="000000"/>
        </w:rPr>
        <w:t>dokumentację techniczno – ruchową urządzeń,</w:t>
      </w:r>
    </w:p>
    <w:p w14:paraId="5C80FFF5" w14:textId="77777777" w:rsidR="00572BA3" w:rsidRPr="00FA49B5" w:rsidRDefault="00572BA3">
      <w:pPr>
        <w:numPr>
          <w:ilvl w:val="0"/>
          <w:numId w:val="82"/>
        </w:numPr>
        <w:tabs>
          <w:tab w:val="clear" w:pos="1626"/>
        </w:tabs>
        <w:spacing w:line="0" w:lineRule="atLeast"/>
        <w:ind w:left="1134" w:hanging="283"/>
        <w:jc w:val="both"/>
        <w:rPr>
          <w:rFonts w:eastAsia="Times New Roman"/>
          <w:color w:val="000000"/>
        </w:rPr>
      </w:pPr>
      <w:r w:rsidRPr="00FA49B5">
        <w:rPr>
          <w:rFonts w:eastAsia="Times New Roman"/>
          <w:color w:val="000000"/>
        </w:rPr>
        <w:t>dokumentację związaną z ochroną środowiska naturalnego,</w:t>
      </w:r>
    </w:p>
    <w:p w14:paraId="5BE8345E" w14:textId="77777777" w:rsidR="00F771A4" w:rsidRPr="00FA49B5" w:rsidRDefault="00572BA3">
      <w:pPr>
        <w:numPr>
          <w:ilvl w:val="0"/>
          <w:numId w:val="82"/>
        </w:numPr>
        <w:tabs>
          <w:tab w:val="clear" w:pos="1626"/>
        </w:tabs>
        <w:spacing w:line="0" w:lineRule="atLeast"/>
        <w:ind w:left="1134" w:hanging="283"/>
        <w:jc w:val="both"/>
        <w:rPr>
          <w:rFonts w:eastAsia="Times New Roman"/>
          <w:color w:val="000000"/>
        </w:rPr>
      </w:pPr>
      <w:r w:rsidRPr="00FA49B5">
        <w:rPr>
          <w:rFonts w:eastAsia="Times New Roman"/>
          <w:color w:val="000000"/>
        </w:rPr>
        <w:t>dokumentację eksploatacyjną i ruchową.</w:t>
      </w:r>
    </w:p>
    <w:p w14:paraId="762DD63B" w14:textId="77777777" w:rsidR="00572BA3" w:rsidRPr="00FA49B5" w:rsidRDefault="00572BA3">
      <w:pPr>
        <w:numPr>
          <w:ilvl w:val="0"/>
          <w:numId w:val="258"/>
        </w:numPr>
        <w:spacing w:line="234" w:lineRule="auto"/>
        <w:ind w:left="709" w:hanging="709"/>
        <w:jc w:val="both"/>
        <w:rPr>
          <w:rFonts w:eastAsia="Times New Roman"/>
          <w:color w:val="000000"/>
        </w:rPr>
      </w:pPr>
      <w:r w:rsidRPr="00FA49B5">
        <w:rPr>
          <w:rFonts w:eastAsia="Times New Roman"/>
          <w:color w:val="000000"/>
        </w:rPr>
        <w:t>Dokumentacja eksploatacyjna i ruchowa w zależności od potrzeb, rodzaju obiektu, urządzenia lub grupy urządzeń obejmuje m.in.:</w:t>
      </w:r>
    </w:p>
    <w:p w14:paraId="57809EB3" w14:textId="77777777" w:rsidR="00572BA3" w:rsidRPr="00FA49B5" w:rsidRDefault="00572BA3">
      <w:pPr>
        <w:numPr>
          <w:ilvl w:val="0"/>
          <w:numId w:val="83"/>
        </w:numPr>
        <w:tabs>
          <w:tab w:val="clear" w:pos="1626"/>
        </w:tabs>
        <w:spacing w:line="0" w:lineRule="atLeast"/>
        <w:ind w:left="1134" w:hanging="283"/>
        <w:jc w:val="both"/>
        <w:rPr>
          <w:rFonts w:eastAsia="Times New Roman"/>
          <w:color w:val="000000"/>
        </w:rPr>
      </w:pPr>
      <w:r w:rsidRPr="00FA49B5">
        <w:rPr>
          <w:rFonts w:eastAsia="Times New Roman"/>
          <w:color w:val="000000"/>
        </w:rPr>
        <w:t>dokumenty przyjęcia do eksploatacji,</w:t>
      </w:r>
    </w:p>
    <w:p w14:paraId="7C55303C" w14:textId="77777777" w:rsidR="00572BA3" w:rsidRPr="00FA49B5" w:rsidRDefault="00572BA3">
      <w:pPr>
        <w:numPr>
          <w:ilvl w:val="0"/>
          <w:numId w:val="83"/>
        </w:numPr>
        <w:tabs>
          <w:tab w:val="clear" w:pos="1626"/>
        </w:tabs>
        <w:spacing w:line="0" w:lineRule="atLeast"/>
        <w:ind w:left="1134" w:hanging="283"/>
        <w:jc w:val="both"/>
        <w:rPr>
          <w:rFonts w:eastAsia="Times New Roman"/>
          <w:color w:val="000000"/>
        </w:rPr>
      </w:pPr>
      <w:r w:rsidRPr="00FA49B5">
        <w:rPr>
          <w:rFonts w:eastAsia="Times New Roman"/>
          <w:color w:val="000000"/>
        </w:rPr>
        <w:t>instrukcję eksploatacji wraz z niezbędnymi załącznikami,</w:t>
      </w:r>
    </w:p>
    <w:p w14:paraId="6B286D9F" w14:textId="77777777" w:rsidR="00572BA3" w:rsidRPr="00FA49B5" w:rsidRDefault="00572BA3" w:rsidP="00C149DB">
      <w:pPr>
        <w:spacing w:line="234" w:lineRule="auto"/>
        <w:ind w:left="1134" w:hanging="283"/>
        <w:jc w:val="both"/>
        <w:rPr>
          <w:rFonts w:eastAsia="Times New Roman"/>
          <w:color w:val="000000"/>
        </w:rPr>
      </w:pPr>
      <w:r w:rsidRPr="00FA49B5">
        <w:rPr>
          <w:rFonts w:eastAsia="Times New Roman"/>
          <w:color w:val="000000"/>
        </w:rPr>
        <w:t>c)</w:t>
      </w:r>
      <w:r w:rsidRPr="00FA49B5">
        <w:rPr>
          <w:rFonts w:eastAsia="Times New Roman"/>
          <w:color w:val="000000"/>
        </w:rPr>
        <w:tab/>
        <w:t xml:space="preserve">dokumenty dotyczące oględzin, przeglądów, konserwacji, napraw i remontów, </w:t>
      </w:r>
      <w:r w:rsidR="00C73B38" w:rsidRPr="00FA49B5">
        <w:rPr>
          <w:rFonts w:eastAsia="Times New Roman"/>
          <w:color w:val="000000"/>
        </w:rPr>
        <w:br/>
      </w:r>
      <w:r w:rsidRPr="00FA49B5">
        <w:rPr>
          <w:rFonts w:eastAsia="Times New Roman"/>
          <w:color w:val="000000"/>
        </w:rPr>
        <w:t>w tym dokumenty dotyczące rodzaju i zakresu uszkodzeń</w:t>
      </w:r>
      <w:r w:rsidR="00A847C2" w:rsidRPr="00FA49B5">
        <w:rPr>
          <w:rFonts w:eastAsia="Times New Roman"/>
          <w:color w:val="000000"/>
        </w:rPr>
        <w:t xml:space="preserve"> i napraw,</w:t>
      </w:r>
    </w:p>
    <w:p w14:paraId="09026879" w14:textId="77777777" w:rsidR="00572BA3" w:rsidRPr="00FA49B5" w:rsidRDefault="00572BA3">
      <w:pPr>
        <w:numPr>
          <w:ilvl w:val="0"/>
          <w:numId w:val="84"/>
        </w:numPr>
        <w:tabs>
          <w:tab w:val="clear" w:pos="1626"/>
        </w:tabs>
        <w:spacing w:line="0" w:lineRule="atLeast"/>
        <w:ind w:left="1134" w:hanging="283"/>
        <w:rPr>
          <w:rFonts w:eastAsia="Times New Roman"/>
          <w:color w:val="000000"/>
        </w:rPr>
      </w:pPr>
      <w:r w:rsidRPr="00FA49B5">
        <w:rPr>
          <w:rFonts w:eastAsia="Times New Roman"/>
          <w:color w:val="000000"/>
        </w:rPr>
        <w:t>protokoły zawierające wyniki przeprowadzonych badań, prób i pomiarów,</w:t>
      </w:r>
    </w:p>
    <w:p w14:paraId="3C6E993D" w14:textId="77777777" w:rsidR="00572BA3" w:rsidRPr="00FA49B5" w:rsidRDefault="00572BA3">
      <w:pPr>
        <w:numPr>
          <w:ilvl w:val="0"/>
          <w:numId w:val="84"/>
        </w:numPr>
        <w:tabs>
          <w:tab w:val="clear" w:pos="1626"/>
        </w:tabs>
        <w:spacing w:line="0" w:lineRule="atLeast"/>
        <w:ind w:left="1134" w:hanging="283"/>
        <w:rPr>
          <w:rFonts w:eastAsia="Times New Roman"/>
          <w:color w:val="000000"/>
        </w:rPr>
      </w:pPr>
      <w:r w:rsidRPr="00FA49B5">
        <w:rPr>
          <w:rFonts w:eastAsia="Times New Roman"/>
          <w:color w:val="000000"/>
        </w:rPr>
        <w:t>wykaz niezbędnych części zamiennych,</w:t>
      </w:r>
    </w:p>
    <w:p w14:paraId="79F9843C" w14:textId="77777777" w:rsidR="00572BA3" w:rsidRPr="00FA49B5" w:rsidRDefault="00572BA3">
      <w:pPr>
        <w:numPr>
          <w:ilvl w:val="0"/>
          <w:numId w:val="84"/>
        </w:numPr>
        <w:tabs>
          <w:tab w:val="clear" w:pos="1626"/>
        </w:tabs>
        <w:spacing w:line="0" w:lineRule="atLeast"/>
        <w:ind w:left="1134" w:hanging="283"/>
        <w:rPr>
          <w:rFonts w:eastAsia="Times New Roman"/>
          <w:color w:val="000000"/>
        </w:rPr>
      </w:pPr>
      <w:r w:rsidRPr="00FA49B5">
        <w:rPr>
          <w:rFonts w:eastAsia="Times New Roman"/>
          <w:color w:val="000000"/>
        </w:rPr>
        <w:t>dokumenty z przeprowadzonej oceny stanu technicznego,</w:t>
      </w:r>
    </w:p>
    <w:p w14:paraId="7452F225" w14:textId="77777777" w:rsidR="00572BA3" w:rsidRPr="00FA49B5" w:rsidRDefault="00572BA3">
      <w:pPr>
        <w:numPr>
          <w:ilvl w:val="0"/>
          <w:numId w:val="84"/>
        </w:numPr>
        <w:tabs>
          <w:tab w:val="clear" w:pos="1626"/>
        </w:tabs>
        <w:spacing w:line="0" w:lineRule="atLeast"/>
        <w:ind w:left="1134" w:hanging="283"/>
        <w:rPr>
          <w:rFonts w:eastAsia="Times New Roman"/>
          <w:color w:val="000000"/>
        </w:rPr>
      </w:pPr>
      <w:r w:rsidRPr="00FA49B5">
        <w:rPr>
          <w:rFonts w:eastAsia="Times New Roman"/>
          <w:color w:val="000000"/>
        </w:rPr>
        <w:t>dziennik operacyjny,</w:t>
      </w:r>
    </w:p>
    <w:p w14:paraId="2D207B7D" w14:textId="77777777" w:rsidR="00572BA3" w:rsidRPr="00FA49B5" w:rsidRDefault="00572BA3">
      <w:pPr>
        <w:numPr>
          <w:ilvl w:val="0"/>
          <w:numId w:val="84"/>
        </w:numPr>
        <w:tabs>
          <w:tab w:val="clear" w:pos="1626"/>
        </w:tabs>
        <w:spacing w:line="0" w:lineRule="atLeast"/>
        <w:ind w:left="1134" w:hanging="283"/>
        <w:rPr>
          <w:rFonts w:eastAsia="Times New Roman"/>
          <w:color w:val="000000"/>
        </w:rPr>
      </w:pPr>
      <w:r w:rsidRPr="00FA49B5">
        <w:rPr>
          <w:rFonts w:eastAsia="Times New Roman"/>
          <w:color w:val="000000"/>
        </w:rPr>
        <w:t>schemat elektryczny obiektu z zaznaczeniem granic własności,</w:t>
      </w:r>
    </w:p>
    <w:p w14:paraId="522E429A" w14:textId="77777777" w:rsidR="00572BA3" w:rsidRPr="00FA49B5" w:rsidRDefault="00572BA3">
      <w:pPr>
        <w:numPr>
          <w:ilvl w:val="0"/>
          <w:numId w:val="84"/>
        </w:numPr>
        <w:tabs>
          <w:tab w:val="clear" w:pos="1626"/>
        </w:tabs>
        <w:spacing w:line="0" w:lineRule="atLeast"/>
        <w:ind w:left="1134" w:hanging="283"/>
        <w:rPr>
          <w:rFonts w:eastAsia="Times New Roman"/>
          <w:color w:val="000000"/>
        </w:rPr>
      </w:pPr>
      <w:r w:rsidRPr="00FA49B5">
        <w:rPr>
          <w:rFonts w:eastAsia="Times New Roman"/>
          <w:color w:val="000000"/>
        </w:rPr>
        <w:t>wykaz nastawień zabezpieczeń i automatyki,</w:t>
      </w:r>
    </w:p>
    <w:p w14:paraId="53BDDFC4" w14:textId="77777777" w:rsidR="00572BA3" w:rsidRPr="00FA49B5" w:rsidRDefault="00572BA3">
      <w:pPr>
        <w:numPr>
          <w:ilvl w:val="0"/>
          <w:numId w:val="84"/>
        </w:numPr>
        <w:tabs>
          <w:tab w:val="clear" w:pos="1626"/>
        </w:tabs>
        <w:spacing w:line="0" w:lineRule="atLeast"/>
        <w:ind w:left="1134" w:hanging="283"/>
        <w:rPr>
          <w:rFonts w:eastAsia="Times New Roman"/>
          <w:color w:val="000000"/>
        </w:rPr>
      </w:pPr>
      <w:r w:rsidRPr="00FA49B5">
        <w:rPr>
          <w:rFonts w:eastAsia="Times New Roman"/>
          <w:color w:val="000000"/>
        </w:rPr>
        <w:t>karty przełączeń,</w:t>
      </w:r>
    </w:p>
    <w:p w14:paraId="363E4988" w14:textId="77777777" w:rsidR="00572BA3" w:rsidRPr="00FA49B5" w:rsidRDefault="00572BA3">
      <w:pPr>
        <w:numPr>
          <w:ilvl w:val="0"/>
          <w:numId w:val="84"/>
        </w:numPr>
        <w:tabs>
          <w:tab w:val="clear" w:pos="1626"/>
        </w:tabs>
        <w:spacing w:line="0" w:lineRule="atLeast"/>
        <w:ind w:left="1134" w:hanging="283"/>
        <w:rPr>
          <w:rFonts w:eastAsia="Times New Roman"/>
          <w:color w:val="000000"/>
        </w:rPr>
      </w:pPr>
      <w:r w:rsidRPr="00FA49B5">
        <w:rPr>
          <w:rFonts w:eastAsia="Times New Roman"/>
          <w:color w:val="000000"/>
        </w:rPr>
        <w:t>ewidencję założonych uziemień,</w:t>
      </w:r>
    </w:p>
    <w:p w14:paraId="0E97AC65" w14:textId="77777777" w:rsidR="00C73B38" w:rsidRPr="00C73B38" w:rsidRDefault="00572BA3">
      <w:pPr>
        <w:numPr>
          <w:ilvl w:val="0"/>
          <w:numId w:val="84"/>
        </w:numPr>
        <w:tabs>
          <w:tab w:val="clear" w:pos="1626"/>
        </w:tabs>
        <w:spacing w:line="276" w:lineRule="auto"/>
        <w:ind w:left="1134" w:hanging="283"/>
        <w:rPr>
          <w:rFonts w:eastAsia="Times New Roman"/>
        </w:rPr>
      </w:pPr>
      <w:r w:rsidRPr="00FA49B5">
        <w:rPr>
          <w:rFonts w:eastAsia="Times New Roman"/>
          <w:color w:val="000000"/>
        </w:rPr>
        <w:t>programy łączeniowe,</w:t>
      </w:r>
    </w:p>
    <w:p w14:paraId="6BBD44D4" w14:textId="77777777" w:rsidR="00F771A4" w:rsidRPr="00C73B38" w:rsidRDefault="00572BA3">
      <w:pPr>
        <w:numPr>
          <w:ilvl w:val="0"/>
          <w:numId w:val="84"/>
        </w:numPr>
        <w:tabs>
          <w:tab w:val="clear" w:pos="1626"/>
        </w:tabs>
        <w:spacing w:line="276" w:lineRule="auto"/>
        <w:ind w:left="1134" w:hanging="283"/>
        <w:rPr>
          <w:rFonts w:eastAsia="Times New Roman"/>
        </w:rPr>
      </w:pPr>
      <w:r w:rsidRPr="00C73B38">
        <w:rPr>
          <w:rFonts w:eastAsia="Times New Roman"/>
        </w:rPr>
        <w:t>wykaz personelu ruchowego.</w:t>
      </w:r>
    </w:p>
    <w:p w14:paraId="57066450" w14:textId="77777777" w:rsidR="00572BA3" w:rsidRDefault="00572BA3">
      <w:pPr>
        <w:numPr>
          <w:ilvl w:val="0"/>
          <w:numId w:val="258"/>
        </w:numPr>
        <w:spacing w:line="276" w:lineRule="auto"/>
        <w:ind w:left="709" w:hanging="709"/>
        <w:jc w:val="both"/>
        <w:rPr>
          <w:rFonts w:eastAsia="Times New Roman"/>
        </w:rPr>
      </w:pPr>
      <w:r>
        <w:rPr>
          <w:rFonts w:eastAsia="Times New Roman"/>
        </w:rPr>
        <w:lastRenderedPageBreak/>
        <w:t>Instrukcja eksploatacji obiektu, urządzenia lub grupy urządzeń jest opracowywana przez właściciela i w zależności od potrzeb oraz rodzaju obiektu, urządzenia lub grupy urządzeń zawiera m.in.:</w:t>
      </w:r>
    </w:p>
    <w:p w14:paraId="2B432F19" w14:textId="77777777" w:rsidR="00572BA3" w:rsidRPr="0040513D" w:rsidRDefault="00572BA3">
      <w:pPr>
        <w:numPr>
          <w:ilvl w:val="0"/>
          <w:numId w:val="85"/>
        </w:numPr>
        <w:tabs>
          <w:tab w:val="clear" w:pos="1626"/>
        </w:tabs>
        <w:spacing w:line="276" w:lineRule="auto"/>
        <w:ind w:left="1134" w:hanging="283"/>
        <w:jc w:val="both"/>
        <w:rPr>
          <w:rFonts w:eastAsia="Times New Roman"/>
        </w:rPr>
      </w:pPr>
      <w:r w:rsidRPr="0040513D">
        <w:rPr>
          <w:rFonts w:eastAsia="Times New Roman"/>
        </w:rPr>
        <w:t>ogólną charakterystykę urządzenia,</w:t>
      </w:r>
    </w:p>
    <w:p w14:paraId="4B72AA59" w14:textId="77777777" w:rsidR="00572BA3" w:rsidRPr="0040513D" w:rsidRDefault="00572BA3">
      <w:pPr>
        <w:numPr>
          <w:ilvl w:val="0"/>
          <w:numId w:val="85"/>
        </w:numPr>
        <w:tabs>
          <w:tab w:val="clear" w:pos="1626"/>
        </w:tabs>
        <w:spacing w:line="276" w:lineRule="auto"/>
        <w:ind w:left="1134" w:hanging="283"/>
        <w:jc w:val="both"/>
        <w:rPr>
          <w:rFonts w:eastAsia="Times New Roman"/>
        </w:rPr>
      </w:pPr>
      <w:r w:rsidRPr="0040513D">
        <w:rPr>
          <w:rFonts w:eastAsia="Times New Roman"/>
        </w:rPr>
        <w:t>niezbędne warunki eksploatacji urządzenia,</w:t>
      </w:r>
    </w:p>
    <w:p w14:paraId="08FDF120" w14:textId="77777777" w:rsidR="00572BA3" w:rsidRDefault="00572BA3">
      <w:pPr>
        <w:numPr>
          <w:ilvl w:val="0"/>
          <w:numId w:val="85"/>
        </w:numPr>
        <w:tabs>
          <w:tab w:val="clear" w:pos="1626"/>
        </w:tabs>
        <w:spacing w:line="276" w:lineRule="auto"/>
        <w:ind w:left="1134" w:hanging="283"/>
        <w:jc w:val="both"/>
        <w:rPr>
          <w:rFonts w:eastAsia="Times New Roman"/>
        </w:rPr>
      </w:pPr>
      <w:r>
        <w:rPr>
          <w:rFonts w:eastAsia="Times New Roman"/>
        </w:rPr>
        <w:t>wymagania dotyczące kwalifikacji osób zajmujących się eksploatacją,</w:t>
      </w:r>
    </w:p>
    <w:p w14:paraId="11181578" w14:textId="77777777" w:rsidR="00572BA3" w:rsidRDefault="00572BA3">
      <w:pPr>
        <w:numPr>
          <w:ilvl w:val="0"/>
          <w:numId w:val="85"/>
        </w:numPr>
        <w:tabs>
          <w:tab w:val="clear" w:pos="1626"/>
        </w:tabs>
        <w:spacing w:line="276" w:lineRule="auto"/>
        <w:ind w:left="1134" w:hanging="283"/>
        <w:jc w:val="both"/>
        <w:rPr>
          <w:rFonts w:eastAsia="Times New Roman"/>
        </w:rPr>
      </w:pPr>
      <w:r>
        <w:rPr>
          <w:rFonts w:eastAsia="Times New Roman"/>
        </w:rPr>
        <w:t>określenie czynności związanych z uruchomieniem, obsługą w czasie pracy</w:t>
      </w:r>
      <w:r w:rsidR="00F768F5">
        <w:rPr>
          <w:rFonts w:eastAsia="Times New Roman"/>
        </w:rPr>
        <w:t xml:space="preserve"> </w:t>
      </w:r>
      <w:r w:rsidR="00B1303E">
        <w:rPr>
          <w:rFonts w:eastAsia="Times New Roman"/>
        </w:rPr>
        <w:br/>
      </w:r>
      <w:r w:rsidR="00F768F5">
        <w:rPr>
          <w:rFonts w:eastAsia="Times New Roman"/>
        </w:rPr>
        <w:t>i wyłączeniem urządzenia w warunkach normalnej eksploatacji,</w:t>
      </w:r>
    </w:p>
    <w:p w14:paraId="63FC62F3" w14:textId="77777777" w:rsidR="00572BA3" w:rsidRDefault="00572BA3">
      <w:pPr>
        <w:numPr>
          <w:ilvl w:val="0"/>
          <w:numId w:val="86"/>
        </w:numPr>
        <w:spacing w:line="276" w:lineRule="auto"/>
        <w:ind w:left="1134" w:hanging="283"/>
        <w:jc w:val="both"/>
        <w:rPr>
          <w:rFonts w:eastAsia="Times New Roman"/>
        </w:rPr>
      </w:pPr>
      <w:r>
        <w:rPr>
          <w:rFonts w:eastAsia="Times New Roman"/>
        </w:rPr>
        <w:t>zakresy przeprowadzania oględzin, przeglądów oraz prób, pomiarów i badań,</w:t>
      </w:r>
    </w:p>
    <w:p w14:paraId="646CF39E" w14:textId="77777777" w:rsidR="00572BA3" w:rsidRDefault="00572BA3">
      <w:pPr>
        <w:numPr>
          <w:ilvl w:val="0"/>
          <w:numId w:val="86"/>
        </w:numPr>
        <w:spacing w:line="276" w:lineRule="auto"/>
        <w:ind w:left="1134" w:hanging="283"/>
        <w:jc w:val="both"/>
        <w:rPr>
          <w:rFonts w:eastAsia="Times New Roman"/>
        </w:rPr>
      </w:pPr>
      <w:r>
        <w:rPr>
          <w:rFonts w:eastAsia="Times New Roman"/>
        </w:rPr>
        <w:t>wymagania w zakresie konserwacji i napraw,</w:t>
      </w:r>
    </w:p>
    <w:p w14:paraId="42CAF174" w14:textId="77777777" w:rsidR="00572BA3" w:rsidRDefault="00572BA3">
      <w:pPr>
        <w:numPr>
          <w:ilvl w:val="0"/>
          <w:numId w:val="86"/>
        </w:numPr>
        <w:spacing w:line="276" w:lineRule="auto"/>
        <w:ind w:left="1134" w:hanging="283"/>
        <w:jc w:val="both"/>
        <w:rPr>
          <w:rFonts w:eastAsia="Times New Roman"/>
        </w:rPr>
      </w:pPr>
      <w:r>
        <w:rPr>
          <w:rFonts w:eastAsia="Times New Roman"/>
        </w:rPr>
        <w:t>zasady postępowania w razie awarii, pożaru i w przypadku innych zakłóceń</w:t>
      </w:r>
    </w:p>
    <w:p w14:paraId="7E9DCF0C" w14:textId="77777777" w:rsidR="00572BA3" w:rsidRDefault="00572BA3">
      <w:pPr>
        <w:numPr>
          <w:ilvl w:val="1"/>
          <w:numId w:val="36"/>
        </w:numPr>
        <w:spacing w:line="276" w:lineRule="auto"/>
        <w:ind w:left="1134" w:hanging="283"/>
        <w:jc w:val="both"/>
        <w:rPr>
          <w:rFonts w:eastAsia="Times New Roman"/>
        </w:rPr>
      </w:pPr>
      <w:r>
        <w:rPr>
          <w:rFonts w:eastAsia="Times New Roman"/>
        </w:rPr>
        <w:t>pracy urządzenia,</w:t>
      </w:r>
    </w:p>
    <w:p w14:paraId="071CEC62" w14:textId="77777777" w:rsidR="00572BA3" w:rsidRDefault="00572BA3">
      <w:pPr>
        <w:numPr>
          <w:ilvl w:val="0"/>
          <w:numId w:val="86"/>
        </w:numPr>
        <w:spacing w:line="276" w:lineRule="auto"/>
        <w:ind w:left="1134" w:hanging="283"/>
        <w:jc w:val="both"/>
        <w:rPr>
          <w:rFonts w:eastAsia="Times New Roman"/>
        </w:rPr>
      </w:pPr>
      <w:r>
        <w:rPr>
          <w:rFonts w:eastAsia="Times New Roman"/>
        </w:rPr>
        <w:t>wykaz niezbędnego sprzętu ochronnego,</w:t>
      </w:r>
    </w:p>
    <w:p w14:paraId="7BA52A2A" w14:textId="77777777" w:rsidR="00572BA3" w:rsidRDefault="00572BA3">
      <w:pPr>
        <w:numPr>
          <w:ilvl w:val="0"/>
          <w:numId w:val="86"/>
        </w:numPr>
        <w:spacing w:line="276" w:lineRule="auto"/>
        <w:ind w:left="1134" w:hanging="283"/>
        <w:jc w:val="both"/>
        <w:rPr>
          <w:rFonts w:eastAsia="Times New Roman"/>
        </w:rPr>
      </w:pPr>
      <w:r>
        <w:rPr>
          <w:rFonts w:eastAsia="Times New Roman"/>
        </w:rPr>
        <w:t>informacje o środkach łączności,</w:t>
      </w:r>
    </w:p>
    <w:p w14:paraId="0A4F80CD" w14:textId="77777777" w:rsidR="00572BA3" w:rsidRDefault="00572BA3">
      <w:pPr>
        <w:numPr>
          <w:ilvl w:val="0"/>
          <w:numId w:val="86"/>
        </w:numPr>
        <w:spacing w:line="276" w:lineRule="auto"/>
        <w:ind w:left="1134" w:hanging="283"/>
        <w:jc w:val="both"/>
        <w:rPr>
          <w:rFonts w:eastAsia="Times New Roman"/>
        </w:rPr>
      </w:pPr>
      <w:r>
        <w:rPr>
          <w:rFonts w:eastAsia="Times New Roman"/>
        </w:rPr>
        <w:t>wymagania związane z ochroną środowiska naturalnego,</w:t>
      </w:r>
    </w:p>
    <w:p w14:paraId="270CEF8C" w14:textId="77777777" w:rsidR="00572BA3" w:rsidRDefault="00572BA3">
      <w:pPr>
        <w:numPr>
          <w:ilvl w:val="0"/>
          <w:numId w:val="86"/>
        </w:numPr>
        <w:spacing w:line="276" w:lineRule="auto"/>
        <w:ind w:left="1134" w:hanging="283"/>
        <w:jc w:val="both"/>
        <w:rPr>
          <w:rFonts w:eastAsia="Times New Roman"/>
        </w:rPr>
      </w:pPr>
      <w:r>
        <w:rPr>
          <w:rFonts w:eastAsia="Times New Roman"/>
        </w:rPr>
        <w:t>zakresy wykonywania zapisów ruchowych, w tym wskazań aparatury kontrolno-pomiarowej,</w:t>
      </w:r>
    </w:p>
    <w:p w14:paraId="364E94BE" w14:textId="77777777" w:rsidR="000647F5" w:rsidRDefault="00572BA3">
      <w:pPr>
        <w:numPr>
          <w:ilvl w:val="0"/>
          <w:numId w:val="86"/>
        </w:numPr>
        <w:spacing w:line="276" w:lineRule="auto"/>
        <w:ind w:left="1134" w:hanging="283"/>
        <w:jc w:val="both"/>
        <w:rPr>
          <w:rFonts w:eastAsia="Times New Roman"/>
        </w:rPr>
      </w:pPr>
      <w:r w:rsidRPr="0040513D">
        <w:rPr>
          <w:rFonts w:eastAsia="Times New Roman"/>
        </w:rPr>
        <w:t>opis zastosowanych środków ochrony przed porażeniem, pożarem, wybuchem oraz środków w zakresie bezpieczeństwa obsługi i otoczenia.</w:t>
      </w:r>
    </w:p>
    <w:p w14:paraId="7FAD106A" w14:textId="77777777" w:rsidR="00B43E86" w:rsidRPr="0040513D" w:rsidRDefault="00B43E86" w:rsidP="00B43E86">
      <w:pPr>
        <w:spacing w:line="276" w:lineRule="auto"/>
        <w:ind w:left="851"/>
        <w:jc w:val="both"/>
        <w:rPr>
          <w:rFonts w:eastAsia="Times New Roman"/>
        </w:rPr>
      </w:pPr>
    </w:p>
    <w:p w14:paraId="2D5BB915" w14:textId="77777777" w:rsidR="00572BA3" w:rsidRPr="00FA49B5" w:rsidRDefault="00572BA3" w:rsidP="0040513D">
      <w:pPr>
        <w:pStyle w:val="Nagwek2"/>
        <w:rPr>
          <w:color w:val="000000"/>
        </w:rPr>
      </w:pPr>
      <w:bookmarkStart w:id="29" w:name="_Toc141963880"/>
      <w:r>
        <w:t>III.6.</w:t>
      </w:r>
      <w:r>
        <w:tab/>
      </w:r>
      <w:r w:rsidRPr="00FA49B5">
        <w:rPr>
          <w:color w:val="000000"/>
        </w:rPr>
        <w:t>REZERWA URZĄDZEŃ I CZĘŚCI ZAPASOWYCH</w:t>
      </w:r>
      <w:bookmarkEnd w:id="29"/>
    </w:p>
    <w:p w14:paraId="32D816CC" w14:textId="77777777" w:rsidR="00F771A4" w:rsidRPr="00FA49B5" w:rsidRDefault="0038084F">
      <w:pPr>
        <w:numPr>
          <w:ilvl w:val="0"/>
          <w:numId w:val="259"/>
        </w:numPr>
        <w:spacing w:line="0" w:lineRule="atLeast"/>
        <w:ind w:left="709" w:hanging="709"/>
        <w:jc w:val="both"/>
        <w:rPr>
          <w:rFonts w:eastAsia="Times New Roman"/>
          <w:color w:val="000000"/>
          <w:szCs w:val="24"/>
        </w:rPr>
      </w:pPr>
      <w:r w:rsidRPr="00FA49B5">
        <w:rPr>
          <w:rFonts w:eastAsia="Times New Roman"/>
          <w:color w:val="000000"/>
          <w:szCs w:val="24"/>
        </w:rPr>
        <w:t>OSDn</w:t>
      </w:r>
      <w:r w:rsidR="00123EC5" w:rsidRPr="00FA49B5">
        <w:rPr>
          <w:rFonts w:eastAsia="Times New Roman"/>
          <w:color w:val="000000"/>
          <w:szCs w:val="24"/>
        </w:rPr>
        <w:t xml:space="preserve"> </w:t>
      </w:r>
      <w:r w:rsidR="00572BA3" w:rsidRPr="00FA49B5">
        <w:rPr>
          <w:rFonts w:eastAsia="Times New Roman"/>
          <w:color w:val="000000"/>
          <w:szCs w:val="24"/>
        </w:rPr>
        <w:t>w</w:t>
      </w:r>
      <w:r w:rsidR="00123EC5" w:rsidRPr="00FA49B5">
        <w:rPr>
          <w:rFonts w:eastAsia="Times New Roman"/>
          <w:color w:val="000000"/>
          <w:szCs w:val="24"/>
        </w:rPr>
        <w:t xml:space="preserve"> </w:t>
      </w:r>
      <w:r w:rsidR="00572BA3" w:rsidRPr="00FA49B5">
        <w:rPr>
          <w:rFonts w:eastAsia="Times New Roman"/>
          <w:color w:val="000000"/>
          <w:szCs w:val="24"/>
        </w:rPr>
        <w:t>zakresie</w:t>
      </w:r>
      <w:r w:rsidR="00123EC5" w:rsidRPr="00FA49B5">
        <w:rPr>
          <w:rFonts w:eastAsia="Times New Roman"/>
          <w:color w:val="000000"/>
          <w:szCs w:val="24"/>
        </w:rPr>
        <w:t xml:space="preserve"> </w:t>
      </w:r>
      <w:r w:rsidR="00572BA3" w:rsidRPr="00FA49B5">
        <w:rPr>
          <w:rFonts w:eastAsia="Times New Roman"/>
          <w:color w:val="000000"/>
          <w:szCs w:val="24"/>
        </w:rPr>
        <w:t>posiadanego</w:t>
      </w:r>
      <w:r w:rsidR="00123EC5" w:rsidRPr="00FA49B5">
        <w:rPr>
          <w:rFonts w:eastAsia="Times New Roman"/>
          <w:color w:val="000000"/>
          <w:szCs w:val="24"/>
        </w:rPr>
        <w:t xml:space="preserve"> </w:t>
      </w:r>
      <w:r w:rsidR="00572BA3" w:rsidRPr="00FA49B5">
        <w:rPr>
          <w:rFonts w:eastAsia="Times New Roman"/>
          <w:color w:val="000000"/>
          <w:szCs w:val="24"/>
        </w:rPr>
        <w:t>majątku,</w:t>
      </w:r>
      <w:r w:rsidR="00123EC5" w:rsidRPr="00FA49B5">
        <w:rPr>
          <w:rFonts w:eastAsia="Times New Roman"/>
          <w:color w:val="000000"/>
          <w:szCs w:val="24"/>
        </w:rPr>
        <w:t xml:space="preserve"> </w:t>
      </w:r>
      <w:r w:rsidR="00572BA3" w:rsidRPr="00FA49B5">
        <w:rPr>
          <w:rFonts w:eastAsia="Times New Roman"/>
          <w:color w:val="000000"/>
          <w:szCs w:val="24"/>
        </w:rPr>
        <w:t>zapewnia</w:t>
      </w:r>
      <w:r w:rsidR="002C3BD1" w:rsidRPr="00FA49B5">
        <w:rPr>
          <w:rFonts w:eastAsia="Times New Roman"/>
          <w:color w:val="000000"/>
          <w:szCs w:val="24"/>
        </w:rPr>
        <w:t xml:space="preserve"> rezerwy </w:t>
      </w:r>
      <w:r w:rsidR="00AA5E03" w:rsidRPr="00FA49B5">
        <w:rPr>
          <w:rFonts w:eastAsia="Times New Roman"/>
          <w:color w:val="000000"/>
          <w:szCs w:val="24"/>
        </w:rPr>
        <w:t>urządzeń i części zapasowych, niezbędne z punktu widzenia bezpiecznej pracy systemu elektroenergetycznego.</w:t>
      </w:r>
    </w:p>
    <w:p w14:paraId="26EF647B" w14:textId="77777777" w:rsidR="00123EC5" w:rsidRPr="00B43E86" w:rsidRDefault="00123EC5">
      <w:pPr>
        <w:numPr>
          <w:ilvl w:val="0"/>
          <w:numId w:val="259"/>
        </w:numPr>
        <w:spacing w:line="0" w:lineRule="atLeast"/>
        <w:ind w:left="709" w:hanging="709"/>
        <w:jc w:val="both"/>
        <w:rPr>
          <w:rFonts w:eastAsia="Times New Roman"/>
          <w:color w:val="FF0000"/>
          <w:szCs w:val="24"/>
        </w:rPr>
      </w:pPr>
      <w:r w:rsidRPr="00FA49B5">
        <w:rPr>
          <w:rFonts w:cs="Times New Roman"/>
          <w:color w:val="000000"/>
          <w:szCs w:val="24"/>
        </w:rPr>
        <w:t>W przypadku powierzenia OSDn prowadzenia eksploatacji przez właściciela urządzeń zawarta umowa powinna regulować</w:t>
      </w:r>
      <w:r w:rsidRPr="00203EDC">
        <w:rPr>
          <w:rFonts w:cs="Times New Roman"/>
          <w:color w:val="000000"/>
          <w:szCs w:val="24"/>
        </w:rPr>
        <w:t xml:space="preserve"> zasady utrzymywania niezbędnej rezerwy urządzeń i części zapasowych.</w:t>
      </w:r>
    </w:p>
    <w:p w14:paraId="48EE8A64" w14:textId="77777777" w:rsidR="00B43E86" w:rsidRPr="00B43E86" w:rsidRDefault="00B43E86" w:rsidP="00B43E86">
      <w:pPr>
        <w:spacing w:line="0" w:lineRule="atLeast"/>
        <w:jc w:val="both"/>
        <w:rPr>
          <w:rFonts w:eastAsia="Times New Roman"/>
          <w:color w:val="FF0000"/>
          <w:szCs w:val="24"/>
        </w:rPr>
      </w:pPr>
    </w:p>
    <w:p w14:paraId="023FF1A7" w14:textId="77777777" w:rsidR="00B43E86" w:rsidRDefault="00B43E86" w:rsidP="00B43E86">
      <w:pPr>
        <w:pStyle w:val="Nagwek2"/>
      </w:pPr>
      <w:bookmarkStart w:id="30" w:name="_Toc141963881"/>
      <w:r>
        <w:t>III.7. WYMIANA INFORMACJI EKSPLOATACYJNYCH</w:t>
      </w:r>
      <w:bookmarkEnd w:id="30"/>
    </w:p>
    <w:p w14:paraId="6A26468B" w14:textId="77777777" w:rsidR="00B43E86" w:rsidRDefault="00B43E86" w:rsidP="00B43E86"/>
    <w:p w14:paraId="596D2926" w14:textId="77777777" w:rsidR="00B43E86" w:rsidRPr="00B43E86" w:rsidRDefault="00B43E86">
      <w:pPr>
        <w:numPr>
          <w:ilvl w:val="0"/>
          <w:numId w:val="260"/>
        </w:numPr>
        <w:ind w:left="709" w:hanging="709"/>
        <w:jc w:val="both"/>
      </w:pPr>
      <w:r>
        <w:t xml:space="preserve">Podmioty prowadzące eksploatację sieci </w:t>
      </w:r>
      <w:r>
        <w:rPr>
          <w:rFonts w:eastAsia="Times New Roman"/>
        </w:rPr>
        <w:t>dystrybucyjnej oraz urządzeń, instalacji i sieci przyłączonych do sieci dystrybucyjnej wymieniają wzajemne informacje eksploatacyjne.</w:t>
      </w:r>
    </w:p>
    <w:p w14:paraId="4BD081CD" w14:textId="77777777" w:rsidR="00B43E86" w:rsidRDefault="00B43E86" w:rsidP="00B43E86">
      <w:pPr>
        <w:ind w:left="709"/>
        <w:jc w:val="both"/>
        <w:rPr>
          <w:rFonts w:eastAsia="Times New Roman"/>
        </w:rPr>
      </w:pPr>
      <w:r>
        <w:rPr>
          <w:rFonts w:eastAsia="Times New Roman"/>
        </w:rPr>
        <w:t xml:space="preserve">Odbiorcy i wytwórcy mogą uzyskać od OSDn informacje </w:t>
      </w:r>
      <w:r>
        <w:rPr>
          <w:rFonts w:eastAsia="Times New Roman"/>
          <w:w w:val="98"/>
        </w:rPr>
        <w:t xml:space="preserve">eksploatacyjne </w:t>
      </w:r>
      <w:r>
        <w:rPr>
          <w:rFonts w:eastAsia="Times New Roman"/>
          <w:w w:val="98"/>
        </w:rPr>
        <w:br/>
        <w:t xml:space="preserve">o sieci dystrybucyjnej OSDn w zakresie związanym </w:t>
      </w:r>
      <w:r>
        <w:rPr>
          <w:rFonts w:eastAsia="Times New Roman"/>
        </w:rPr>
        <w:t xml:space="preserve">z bezpieczeństwem </w:t>
      </w:r>
      <w:r>
        <w:rPr>
          <w:rFonts w:eastAsia="Times New Roman"/>
        </w:rPr>
        <w:br/>
        <w:t>i niezawodnością pracy ich urządzeń i instalacji.</w:t>
      </w:r>
    </w:p>
    <w:p w14:paraId="19107E00" w14:textId="77777777" w:rsidR="00B43E86" w:rsidRPr="00D25FA3" w:rsidRDefault="00D25FA3">
      <w:pPr>
        <w:numPr>
          <w:ilvl w:val="0"/>
          <w:numId w:val="260"/>
        </w:numPr>
        <w:jc w:val="both"/>
      </w:pPr>
      <w:r>
        <w:rPr>
          <w:rFonts w:eastAsia="Times New Roman"/>
        </w:rPr>
        <w:t>Wymiana informacji eksploatacyjnych obejmuje w zależności od potrzeb:</w:t>
      </w:r>
    </w:p>
    <w:p w14:paraId="28BE8863" w14:textId="77777777" w:rsidR="00D25FA3" w:rsidRPr="00D25FA3" w:rsidRDefault="00D25FA3">
      <w:pPr>
        <w:numPr>
          <w:ilvl w:val="1"/>
          <w:numId w:val="85"/>
        </w:numPr>
        <w:ind w:left="993" w:hanging="284"/>
        <w:jc w:val="both"/>
      </w:pPr>
      <w:r>
        <w:rPr>
          <w:rFonts w:eastAsia="Times New Roman"/>
        </w:rPr>
        <w:t>informacje niezbędne do sporządzenia schematów sieci dystrybucyjnej,</w:t>
      </w:r>
    </w:p>
    <w:p w14:paraId="30831542" w14:textId="77777777" w:rsidR="00D25FA3" w:rsidRPr="00D25FA3" w:rsidRDefault="00D25FA3">
      <w:pPr>
        <w:numPr>
          <w:ilvl w:val="1"/>
          <w:numId w:val="85"/>
        </w:numPr>
        <w:ind w:left="993" w:hanging="284"/>
        <w:jc w:val="both"/>
      </w:pPr>
      <w:r>
        <w:rPr>
          <w:rFonts w:eastAsia="Times New Roman"/>
        </w:rPr>
        <w:t>wyniki oględzin, przeglądów i oceny stanu technicznego,</w:t>
      </w:r>
    </w:p>
    <w:p w14:paraId="2FD34FE8" w14:textId="77777777" w:rsidR="00D25FA3" w:rsidRPr="00D25FA3" w:rsidRDefault="00D25FA3">
      <w:pPr>
        <w:numPr>
          <w:ilvl w:val="1"/>
          <w:numId w:val="85"/>
        </w:numPr>
        <w:ind w:left="993" w:hanging="284"/>
        <w:jc w:val="both"/>
      </w:pPr>
      <w:r>
        <w:rPr>
          <w:rFonts w:eastAsia="Times New Roman"/>
        </w:rPr>
        <w:t>wyniki badań, pomiarów i prób eksploatacyjnych,</w:t>
      </w:r>
    </w:p>
    <w:p w14:paraId="58AD4355" w14:textId="77777777" w:rsidR="00D25FA3" w:rsidRPr="00D25FA3" w:rsidRDefault="00D25FA3">
      <w:pPr>
        <w:numPr>
          <w:ilvl w:val="1"/>
          <w:numId w:val="85"/>
        </w:numPr>
        <w:ind w:left="993" w:hanging="284"/>
        <w:jc w:val="both"/>
      </w:pPr>
      <w:r>
        <w:rPr>
          <w:rFonts w:eastAsia="Times New Roman"/>
        </w:rPr>
        <w:t>parametry obiektów, urządzeń i sieci zmienione w wyniku podjęcia działań eksploatacyjnych,</w:t>
      </w:r>
    </w:p>
    <w:p w14:paraId="09FCFBBC" w14:textId="77777777" w:rsidR="00D25FA3" w:rsidRPr="00D25FA3" w:rsidRDefault="00D25FA3">
      <w:pPr>
        <w:numPr>
          <w:ilvl w:val="1"/>
          <w:numId w:val="85"/>
        </w:numPr>
        <w:ind w:left="993" w:hanging="284"/>
        <w:jc w:val="both"/>
      </w:pPr>
      <w:r>
        <w:rPr>
          <w:rFonts w:eastAsia="Times New Roman"/>
        </w:rPr>
        <w:t>informacje związane z elektroenergetyczną automatyką zabezpieczeniową,</w:t>
      </w:r>
    </w:p>
    <w:p w14:paraId="49520555" w14:textId="77777777" w:rsidR="00D25FA3" w:rsidRPr="00D25FA3" w:rsidRDefault="00D25FA3">
      <w:pPr>
        <w:numPr>
          <w:ilvl w:val="1"/>
          <w:numId w:val="85"/>
        </w:numPr>
        <w:ind w:left="993" w:hanging="284"/>
        <w:jc w:val="both"/>
      </w:pPr>
      <w:r>
        <w:rPr>
          <w:rFonts w:eastAsia="Times New Roman"/>
        </w:rPr>
        <w:t xml:space="preserve">imienne wykazy osób, wraz z danymi teleadresowymi, odpowiedzialnych za podejmowanie działań eksploatacyjnych. </w:t>
      </w:r>
    </w:p>
    <w:p w14:paraId="6AA363E5" w14:textId="77777777" w:rsidR="00D25FA3" w:rsidRPr="004D078C" w:rsidRDefault="004D078C">
      <w:pPr>
        <w:numPr>
          <w:ilvl w:val="0"/>
          <w:numId w:val="260"/>
        </w:numPr>
        <w:ind w:left="851" w:hanging="851"/>
        <w:jc w:val="both"/>
      </w:pPr>
      <w:r>
        <w:rPr>
          <w:rFonts w:eastAsia="Times New Roman"/>
        </w:rPr>
        <w:t xml:space="preserve">Informacje eksploatacyjne, o których mowa w pkt.III.7.2, są aktualizowane </w:t>
      </w:r>
      <w:r>
        <w:rPr>
          <w:rFonts w:eastAsia="Times New Roman"/>
        </w:rPr>
        <w:br/>
        <w:t>i przekazywane na bieżąco.</w:t>
      </w:r>
    </w:p>
    <w:p w14:paraId="193C361D" w14:textId="77777777" w:rsidR="004D078C" w:rsidRPr="004D078C" w:rsidRDefault="004D078C">
      <w:pPr>
        <w:numPr>
          <w:ilvl w:val="0"/>
          <w:numId w:val="260"/>
        </w:numPr>
        <w:ind w:left="709" w:hanging="709"/>
        <w:jc w:val="both"/>
      </w:pPr>
      <w:r>
        <w:rPr>
          <w:rFonts w:eastAsia="Times New Roman"/>
        </w:rPr>
        <w:lastRenderedPageBreak/>
        <w:t>Operator systemu przesyłowego, operatorzy systemów dystrybucyjnych oraz podmioty przyłączone do sieci dystrybucyjnej OSDn stosują jednolite nazewnictwo i numerację swoich obiektów i urządzeń</w:t>
      </w:r>
    </w:p>
    <w:p w14:paraId="35F4BBEB" w14:textId="77777777" w:rsidR="004D078C" w:rsidRPr="004D078C" w:rsidRDefault="004D078C">
      <w:pPr>
        <w:numPr>
          <w:ilvl w:val="0"/>
          <w:numId w:val="260"/>
        </w:numPr>
        <w:ind w:left="709" w:hanging="709"/>
        <w:jc w:val="both"/>
      </w:pPr>
      <w:r>
        <w:rPr>
          <w:rFonts w:eastAsia="Times New Roman"/>
        </w:rPr>
        <w:t>Spory wynikające z proponowanego nazewnictwa i i numeracji w zakresie sieci dystrybucyjnej rozstrzyga OSDn.</w:t>
      </w:r>
    </w:p>
    <w:p w14:paraId="08DA07DB" w14:textId="77777777" w:rsidR="004D078C" w:rsidRPr="00B43E86" w:rsidRDefault="004D078C">
      <w:pPr>
        <w:numPr>
          <w:ilvl w:val="0"/>
          <w:numId w:val="260"/>
        </w:numPr>
        <w:jc w:val="both"/>
      </w:pPr>
      <w:r>
        <w:rPr>
          <w:rFonts w:eastAsia="Times New Roman"/>
        </w:rPr>
        <w:t>OSDn sporządza i aktualizuje schematy sieci dystrybucyjnej OSDn</w:t>
      </w:r>
      <w:r w:rsidR="000D4007">
        <w:rPr>
          <w:rFonts w:eastAsia="Times New Roman"/>
        </w:rPr>
        <w:t>.</w:t>
      </w:r>
    </w:p>
    <w:p w14:paraId="20C605A6" w14:textId="77777777" w:rsidR="000131BF" w:rsidRPr="000131BF" w:rsidRDefault="000131BF" w:rsidP="000131BF">
      <w:bookmarkStart w:id="31" w:name="page74"/>
      <w:bookmarkStart w:id="32" w:name="page75"/>
      <w:bookmarkEnd w:id="31"/>
      <w:bookmarkEnd w:id="32"/>
    </w:p>
    <w:p w14:paraId="617EC61E" w14:textId="1C84889D" w:rsidR="00572BA3" w:rsidRDefault="00572BA3" w:rsidP="00862437">
      <w:pPr>
        <w:pStyle w:val="Nagwek2"/>
        <w:jc w:val="both"/>
      </w:pPr>
      <w:bookmarkStart w:id="33" w:name="_Toc141963882"/>
      <w:r>
        <w:t>III.8.</w:t>
      </w:r>
      <w:r>
        <w:tab/>
        <w:t>OCHRONA ŚRODOWISKA NATURALNEGO</w:t>
      </w:r>
      <w:bookmarkEnd w:id="33"/>
    </w:p>
    <w:p w14:paraId="57836156" w14:textId="77777777" w:rsidR="00572BA3" w:rsidRDefault="00572BA3" w:rsidP="00862437">
      <w:pPr>
        <w:spacing w:line="203" w:lineRule="exact"/>
        <w:jc w:val="both"/>
        <w:rPr>
          <w:rFonts w:eastAsia="Times New Roman"/>
        </w:rPr>
      </w:pPr>
    </w:p>
    <w:p w14:paraId="663A046B" w14:textId="77777777" w:rsidR="00572BA3" w:rsidRDefault="00572BA3" w:rsidP="00862437">
      <w:pPr>
        <w:tabs>
          <w:tab w:val="left" w:pos="1120"/>
        </w:tabs>
        <w:spacing w:line="236" w:lineRule="auto"/>
        <w:ind w:left="1140" w:hanging="1139"/>
        <w:jc w:val="both"/>
        <w:rPr>
          <w:rFonts w:eastAsia="Times New Roman"/>
        </w:rPr>
      </w:pPr>
      <w:r>
        <w:rPr>
          <w:rFonts w:eastAsia="Times New Roman"/>
        </w:rPr>
        <w:t>III.8.1.</w:t>
      </w:r>
      <w:r>
        <w:rPr>
          <w:rFonts w:eastAsia="Times New Roman"/>
        </w:rPr>
        <w:tab/>
      </w:r>
      <w:r w:rsidR="00A6159D">
        <w:rPr>
          <w:rFonts w:eastAsia="Times New Roman"/>
        </w:rPr>
        <w:t>OSDn</w:t>
      </w:r>
      <w:r>
        <w:rPr>
          <w:rFonts w:eastAsia="Times New Roman"/>
        </w:rPr>
        <w:t xml:space="preserve"> oraz podmioty przyłączone do sieci dystrybucyjnej </w:t>
      </w:r>
      <w:r w:rsidR="00A6159D">
        <w:rPr>
          <w:rFonts w:eastAsia="Times New Roman"/>
        </w:rPr>
        <w:t>OSDn</w:t>
      </w:r>
      <w:r>
        <w:rPr>
          <w:rFonts w:eastAsia="Times New Roman"/>
        </w:rPr>
        <w:t xml:space="preserve"> są zobowiązane do przestrzegania zasad ochrony środowiska, określonych obowiązującymi normami </w:t>
      </w:r>
      <w:r w:rsidR="0077698B">
        <w:rPr>
          <w:rFonts w:eastAsia="Times New Roman"/>
        </w:rPr>
        <w:br/>
      </w:r>
      <w:r>
        <w:rPr>
          <w:rFonts w:eastAsia="Times New Roman"/>
        </w:rPr>
        <w:t>i przepisami prawnymi.</w:t>
      </w:r>
    </w:p>
    <w:p w14:paraId="5AC87774" w14:textId="77777777" w:rsidR="00572BA3" w:rsidRDefault="00572BA3" w:rsidP="00862437">
      <w:pPr>
        <w:tabs>
          <w:tab w:val="left" w:pos="1120"/>
        </w:tabs>
        <w:spacing w:line="234" w:lineRule="auto"/>
        <w:ind w:left="1140" w:hanging="1139"/>
        <w:jc w:val="both"/>
        <w:rPr>
          <w:rFonts w:eastAsia="Times New Roman"/>
        </w:rPr>
      </w:pPr>
      <w:r>
        <w:rPr>
          <w:rFonts w:eastAsia="Times New Roman"/>
        </w:rPr>
        <w:t>III.8.2.</w:t>
      </w:r>
      <w:r>
        <w:rPr>
          <w:rFonts w:eastAsia="Times New Roman"/>
        </w:rPr>
        <w:tab/>
      </w:r>
      <w:r w:rsidR="00A6159D">
        <w:rPr>
          <w:rFonts w:eastAsia="Times New Roman"/>
        </w:rPr>
        <w:t>OSDn</w:t>
      </w:r>
      <w:r>
        <w:rPr>
          <w:rFonts w:eastAsia="Times New Roman"/>
        </w:rPr>
        <w:t xml:space="preserve"> stosuje środki techniczne i organizacyjne ograniczające wpływ pracy urządzeń elektrycznych na środowisko naturalne.</w:t>
      </w:r>
    </w:p>
    <w:p w14:paraId="579B7D46" w14:textId="0988722A" w:rsidR="00572BA3" w:rsidRDefault="00572BA3">
      <w:pPr>
        <w:tabs>
          <w:tab w:val="left" w:pos="1120"/>
        </w:tabs>
        <w:spacing w:line="250" w:lineRule="auto"/>
        <w:ind w:left="1140" w:hanging="1139"/>
        <w:jc w:val="both"/>
        <w:rPr>
          <w:rFonts w:eastAsia="Times New Roman"/>
          <w:sz w:val="23"/>
        </w:rPr>
      </w:pPr>
      <w:r>
        <w:rPr>
          <w:rFonts w:eastAsia="Times New Roman"/>
          <w:sz w:val="23"/>
        </w:rPr>
        <w:t>III.8.3.</w:t>
      </w:r>
      <w:r>
        <w:rPr>
          <w:rFonts w:eastAsia="Times New Roman"/>
        </w:rPr>
        <w:tab/>
      </w:r>
      <w:r>
        <w:rPr>
          <w:rFonts w:eastAsia="Times New Roman"/>
          <w:sz w:val="23"/>
        </w:rPr>
        <w:t xml:space="preserve">Dokumentacja projektowa obiektów i urządzeń sieci dystrybucyjnej jest uzgadniana </w:t>
      </w:r>
      <w:r w:rsidR="00247C87">
        <w:rPr>
          <w:rFonts w:eastAsia="Times New Roman"/>
          <w:sz w:val="23"/>
        </w:rPr>
        <w:br/>
      </w:r>
      <w:r>
        <w:rPr>
          <w:rFonts w:eastAsia="Times New Roman"/>
          <w:sz w:val="23"/>
        </w:rPr>
        <w:t>w zakresie wymogów ochrony środowiska z właściwymi organami administracji, jeśli uzgodnienia takie są wymagane obowiązującymi przepisami prawa.</w:t>
      </w:r>
    </w:p>
    <w:p w14:paraId="0321C1FF" w14:textId="77777777" w:rsidR="00572BA3" w:rsidRDefault="00572BA3" w:rsidP="00802B7F">
      <w:pPr>
        <w:pStyle w:val="Nagwek2"/>
      </w:pPr>
      <w:bookmarkStart w:id="34" w:name="_Toc141963883"/>
      <w:r>
        <w:t>III.9.</w:t>
      </w:r>
      <w:r>
        <w:tab/>
        <w:t>OCHRONA PRZECIWPOŻAROWA</w:t>
      </w:r>
      <w:bookmarkEnd w:id="34"/>
    </w:p>
    <w:p w14:paraId="411C05C4" w14:textId="77777777" w:rsidR="000D4007" w:rsidRPr="000D4007" w:rsidRDefault="000D4007" w:rsidP="000D4007"/>
    <w:p w14:paraId="6B15F789" w14:textId="77777777" w:rsidR="00572BA3" w:rsidRDefault="00572BA3">
      <w:pPr>
        <w:tabs>
          <w:tab w:val="left" w:pos="1120"/>
        </w:tabs>
        <w:spacing w:line="234" w:lineRule="auto"/>
        <w:ind w:left="1140" w:hanging="1139"/>
        <w:jc w:val="both"/>
        <w:rPr>
          <w:rFonts w:eastAsia="Times New Roman"/>
        </w:rPr>
      </w:pPr>
      <w:r>
        <w:rPr>
          <w:rFonts w:eastAsia="Times New Roman"/>
        </w:rPr>
        <w:t>III.9.1.</w:t>
      </w:r>
      <w:r>
        <w:rPr>
          <w:rFonts w:eastAsia="Times New Roman"/>
        </w:rPr>
        <w:tab/>
        <w:t>Właściciel urządzeń, instalacji i sieci zapewnia ich ochronę przeciwpożarową zgodnie z obowiązującymi normami i przepisami prawnymi.</w:t>
      </w:r>
    </w:p>
    <w:p w14:paraId="44C6309D" w14:textId="77777777" w:rsidR="00572BA3" w:rsidRDefault="00572BA3">
      <w:pPr>
        <w:tabs>
          <w:tab w:val="left" w:pos="1120"/>
        </w:tabs>
        <w:spacing w:line="236" w:lineRule="auto"/>
        <w:ind w:left="1140" w:hanging="1139"/>
        <w:jc w:val="both"/>
        <w:rPr>
          <w:rFonts w:eastAsia="Times New Roman"/>
        </w:rPr>
      </w:pPr>
      <w:r>
        <w:rPr>
          <w:rFonts w:eastAsia="Times New Roman"/>
        </w:rPr>
        <w:t>III.9.2.</w:t>
      </w:r>
      <w:r>
        <w:rPr>
          <w:rFonts w:eastAsia="Times New Roman"/>
        </w:rPr>
        <w:tab/>
      </w:r>
      <w:r w:rsidR="00A6159D">
        <w:rPr>
          <w:rFonts w:eastAsia="Times New Roman"/>
        </w:rPr>
        <w:t>OSDn</w:t>
      </w:r>
      <w:r>
        <w:rPr>
          <w:rFonts w:eastAsia="Times New Roman"/>
        </w:rPr>
        <w:t xml:space="preserve"> zapewnia opracowanie instrukcji przeciwpożarowych dla określonych obiektów, układów, urządzeń i instalacji eksploatowanej przez siebie sieci dystrybucyjnej.</w:t>
      </w:r>
    </w:p>
    <w:p w14:paraId="0243DBF8" w14:textId="77777777" w:rsidR="00572BA3" w:rsidRDefault="00572BA3" w:rsidP="00802B7F">
      <w:pPr>
        <w:pStyle w:val="Nagwek2"/>
      </w:pPr>
      <w:bookmarkStart w:id="35" w:name="_Toc141963884"/>
      <w:r>
        <w:t>III.10.</w:t>
      </w:r>
      <w:r>
        <w:tab/>
        <w:t>PLANOWANIE PRAC EKSPLOATACYJNYCH</w:t>
      </w:r>
      <w:bookmarkEnd w:id="35"/>
    </w:p>
    <w:p w14:paraId="005A5FE9" w14:textId="77777777" w:rsidR="00572BA3" w:rsidRDefault="00572BA3">
      <w:pPr>
        <w:spacing w:line="200" w:lineRule="exact"/>
        <w:rPr>
          <w:rFonts w:eastAsia="Times New Roman"/>
        </w:rPr>
      </w:pPr>
    </w:p>
    <w:p w14:paraId="261E2492" w14:textId="77777777" w:rsidR="00572BA3" w:rsidRDefault="00572BA3">
      <w:pPr>
        <w:tabs>
          <w:tab w:val="left" w:pos="1120"/>
        </w:tabs>
        <w:spacing w:line="234" w:lineRule="auto"/>
        <w:ind w:left="1140" w:hanging="1139"/>
        <w:jc w:val="both"/>
        <w:rPr>
          <w:rFonts w:eastAsia="Times New Roman"/>
        </w:rPr>
      </w:pPr>
      <w:r>
        <w:rPr>
          <w:rFonts w:eastAsia="Times New Roman"/>
        </w:rPr>
        <w:t>III.10.1.</w:t>
      </w:r>
      <w:r>
        <w:rPr>
          <w:rFonts w:eastAsia="Times New Roman"/>
        </w:rPr>
        <w:tab/>
      </w:r>
      <w:r w:rsidR="00D5166B">
        <w:rPr>
          <w:rFonts w:eastAsia="Times New Roman"/>
        </w:rPr>
        <w:t>OSDn</w:t>
      </w:r>
      <w:r>
        <w:rPr>
          <w:rFonts w:eastAsia="Times New Roman"/>
        </w:rPr>
        <w:t xml:space="preserve"> opracowuje roczne plany prac eksploatacyjnych dla urządzeń, instalacji </w:t>
      </w:r>
      <w:r w:rsidR="00D5166B">
        <w:rPr>
          <w:rFonts w:eastAsia="Times New Roman"/>
        </w:rPr>
        <w:br/>
      </w:r>
      <w:r>
        <w:rPr>
          <w:rFonts w:eastAsia="Times New Roman"/>
        </w:rPr>
        <w:t xml:space="preserve">i sieci dystrybucyjnej </w:t>
      </w:r>
      <w:r w:rsidR="00D5166B">
        <w:rPr>
          <w:rFonts w:eastAsia="Times New Roman"/>
        </w:rPr>
        <w:t>OSDn</w:t>
      </w:r>
      <w:r>
        <w:rPr>
          <w:rFonts w:eastAsia="Times New Roman"/>
        </w:rPr>
        <w:t xml:space="preserve"> obejmujące</w:t>
      </w:r>
      <w:r w:rsidR="00D5166B">
        <w:rPr>
          <w:rFonts w:eastAsia="Times New Roman"/>
        </w:rPr>
        <w:t xml:space="preserve"> w szczególności:</w:t>
      </w:r>
    </w:p>
    <w:p w14:paraId="6D6DC4FB" w14:textId="77777777" w:rsidR="00572BA3" w:rsidRDefault="00572BA3">
      <w:pPr>
        <w:numPr>
          <w:ilvl w:val="0"/>
          <w:numId w:val="87"/>
        </w:numPr>
        <w:tabs>
          <w:tab w:val="clear" w:pos="1626"/>
        </w:tabs>
        <w:spacing w:line="0" w:lineRule="atLeast"/>
        <w:ind w:left="1134"/>
        <w:rPr>
          <w:rFonts w:eastAsia="Times New Roman"/>
        </w:rPr>
      </w:pPr>
      <w:r>
        <w:rPr>
          <w:rFonts w:eastAsia="Times New Roman"/>
        </w:rPr>
        <w:t>oględziny, przeglądy oraz badania i pomiary,</w:t>
      </w:r>
    </w:p>
    <w:p w14:paraId="272AB9DC" w14:textId="77777777" w:rsidR="00572BA3" w:rsidRDefault="00572BA3">
      <w:pPr>
        <w:numPr>
          <w:ilvl w:val="0"/>
          <w:numId w:val="87"/>
        </w:numPr>
        <w:tabs>
          <w:tab w:val="clear" w:pos="1626"/>
        </w:tabs>
        <w:spacing w:line="0" w:lineRule="atLeast"/>
        <w:ind w:left="1134"/>
        <w:rPr>
          <w:rFonts w:eastAsia="Times New Roman"/>
        </w:rPr>
      </w:pPr>
      <w:r>
        <w:rPr>
          <w:rFonts w:eastAsia="Times New Roman"/>
        </w:rPr>
        <w:t>remonty.</w:t>
      </w:r>
    </w:p>
    <w:p w14:paraId="2D28FD52" w14:textId="7D14BC67" w:rsidR="00572BA3" w:rsidRDefault="00572BA3">
      <w:pPr>
        <w:tabs>
          <w:tab w:val="left" w:pos="1120"/>
        </w:tabs>
        <w:spacing w:line="237" w:lineRule="auto"/>
        <w:ind w:left="1140" w:hanging="1139"/>
        <w:jc w:val="both"/>
        <w:rPr>
          <w:rFonts w:eastAsia="Times New Roman"/>
        </w:rPr>
      </w:pPr>
      <w:r>
        <w:rPr>
          <w:rFonts w:eastAsia="Times New Roman"/>
        </w:rPr>
        <w:t>III.10.2.</w:t>
      </w:r>
      <w:r>
        <w:rPr>
          <w:rFonts w:eastAsia="Times New Roman"/>
        </w:rPr>
        <w:tab/>
        <w:t xml:space="preserve">Poza pracami przewidywanymi w rocznym planie prac eksploatacyjnych </w:t>
      </w:r>
      <w:r w:rsidR="00C44041">
        <w:rPr>
          <w:rFonts w:eastAsia="Times New Roman"/>
        </w:rPr>
        <w:t>OSDn</w:t>
      </w:r>
      <w:r>
        <w:rPr>
          <w:rFonts w:eastAsia="Times New Roman"/>
        </w:rPr>
        <w:t xml:space="preserve"> zapewnia realizację doraźnych prac eksploatacyjnych, mających na celu naprawę uszkodzeń zagrażających prawidłowemu funkcjonowaniu urządzeń, instalacji </w:t>
      </w:r>
      <w:r w:rsidR="00C44041">
        <w:rPr>
          <w:rFonts w:eastAsia="Times New Roman"/>
        </w:rPr>
        <w:br/>
      </w:r>
      <w:r>
        <w:rPr>
          <w:rFonts w:eastAsia="Times New Roman"/>
        </w:rPr>
        <w:t xml:space="preserve">i sieci dystrybucyjnej </w:t>
      </w:r>
      <w:r w:rsidR="00C44041">
        <w:rPr>
          <w:rFonts w:eastAsia="Times New Roman"/>
        </w:rPr>
        <w:t>OSDn</w:t>
      </w:r>
      <w:r>
        <w:rPr>
          <w:rFonts w:eastAsia="Times New Roman"/>
        </w:rPr>
        <w:t xml:space="preserve"> lub stwarzających zagrożenie dla bezpieczeństwa ludzi </w:t>
      </w:r>
      <w:r w:rsidR="00841CFB">
        <w:rPr>
          <w:rFonts w:eastAsia="Times New Roman"/>
        </w:rPr>
        <w:br/>
      </w:r>
      <w:r>
        <w:rPr>
          <w:rFonts w:eastAsia="Times New Roman"/>
        </w:rPr>
        <w:t>i środowiska naturalnego.</w:t>
      </w:r>
    </w:p>
    <w:p w14:paraId="188B08CF" w14:textId="77777777" w:rsidR="00572BA3" w:rsidRDefault="00572BA3">
      <w:pPr>
        <w:tabs>
          <w:tab w:val="left" w:pos="1120"/>
        </w:tabs>
        <w:spacing w:line="236" w:lineRule="auto"/>
        <w:ind w:left="1140" w:hanging="1139"/>
        <w:jc w:val="both"/>
        <w:rPr>
          <w:rFonts w:eastAsia="Times New Roman"/>
        </w:rPr>
      </w:pPr>
      <w:r>
        <w:rPr>
          <w:rFonts w:eastAsia="Times New Roman"/>
        </w:rPr>
        <w:t>III.10.3.</w:t>
      </w:r>
      <w:r>
        <w:rPr>
          <w:rFonts w:eastAsia="Times New Roman"/>
        </w:rPr>
        <w:tab/>
        <w:t>Podmioty przyłączone do sieci dystrybucyjnej</w:t>
      </w:r>
      <w:r w:rsidR="00C44041">
        <w:rPr>
          <w:rFonts w:eastAsia="Times New Roman"/>
        </w:rPr>
        <w:t xml:space="preserve"> OSDn</w:t>
      </w:r>
      <w:r>
        <w:rPr>
          <w:rFonts w:eastAsia="Times New Roman"/>
        </w:rPr>
        <w:t xml:space="preserve"> uzgadniają z </w:t>
      </w:r>
      <w:r w:rsidR="00C44041">
        <w:rPr>
          <w:rFonts w:eastAsia="Times New Roman"/>
        </w:rPr>
        <w:t>OSDn</w:t>
      </w:r>
      <w:r>
        <w:rPr>
          <w:rFonts w:eastAsia="Times New Roman"/>
        </w:rPr>
        <w:t xml:space="preserve"> prace eksploatacyjne w zakresie, w jakim mogą mieć one wpływ na ruch i eksploatację sieci dystrybucyjnej.</w:t>
      </w:r>
    </w:p>
    <w:p w14:paraId="28DDB4C2" w14:textId="77777777" w:rsidR="00572BA3" w:rsidRPr="009076B9" w:rsidRDefault="00572BA3" w:rsidP="00D23E88">
      <w:pPr>
        <w:tabs>
          <w:tab w:val="left" w:pos="1120"/>
        </w:tabs>
        <w:spacing w:line="237" w:lineRule="auto"/>
        <w:ind w:left="1140" w:hanging="1139"/>
        <w:jc w:val="both"/>
        <w:rPr>
          <w:rFonts w:eastAsia="Times New Roman"/>
        </w:rPr>
      </w:pPr>
      <w:r>
        <w:rPr>
          <w:rFonts w:eastAsia="Times New Roman"/>
        </w:rPr>
        <w:t>III.10.4.</w:t>
      </w:r>
      <w:r>
        <w:rPr>
          <w:rFonts w:eastAsia="Times New Roman"/>
        </w:rPr>
        <w:tab/>
        <w:t xml:space="preserve">Podmioty planujące realizację prac eksploatacyjnych wymagających wyłączeń elementów sieci dystrybucyjnej </w:t>
      </w:r>
      <w:r w:rsidR="00C44041">
        <w:rPr>
          <w:rFonts w:eastAsia="Times New Roman"/>
        </w:rPr>
        <w:t>OSDn</w:t>
      </w:r>
      <w:r>
        <w:rPr>
          <w:rFonts w:eastAsia="Times New Roman"/>
        </w:rPr>
        <w:t xml:space="preserve"> są zobowiązane do przestrzegania zasad </w:t>
      </w:r>
      <w:r w:rsidR="00C44041">
        <w:rPr>
          <w:rFonts w:eastAsia="Times New Roman"/>
        </w:rPr>
        <w:br/>
      </w:r>
      <w:r>
        <w:rPr>
          <w:rFonts w:eastAsia="Times New Roman"/>
        </w:rPr>
        <w:t>i trybu planowania wyłączeń w sieci dystrybucyjne</w:t>
      </w:r>
      <w:r w:rsidR="00C44041">
        <w:rPr>
          <w:rFonts w:eastAsia="Times New Roman"/>
        </w:rPr>
        <w:t xml:space="preserve"> OSDn</w:t>
      </w:r>
      <w:r>
        <w:rPr>
          <w:rFonts w:eastAsia="Times New Roman"/>
        </w:rPr>
        <w:t xml:space="preserve"> ustalonego </w:t>
      </w:r>
      <w:r w:rsidRPr="009076B9">
        <w:rPr>
          <w:rFonts w:eastAsia="Times New Roman"/>
        </w:rPr>
        <w:t>w pkt.VI.6.</w:t>
      </w:r>
      <w:bookmarkStart w:id="36" w:name="page76"/>
      <w:bookmarkEnd w:id="36"/>
    </w:p>
    <w:p w14:paraId="5C6C3BDC" w14:textId="77777777" w:rsidR="00572BA3" w:rsidRDefault="00572BA3" w:rsidP="00A74722">
      <w:pPr>
        <w:tabs>
          <w:tab w:val="left" w:pos="1120"/>
        </w:tabs>
        <w:spacing w:line="237" w:lineRule="auto"/>
        <w:ind w:left="1140" w:hanging="1139"/>
        <w:jc w:val="both"/>
        <w:rPr>
          <w:rFonts w:eastAsia="Times New Roman"/>
        </w:rPr>
      </w:pPr>
      <w:r w:rsidRPr="009076B9">
        <w:rPr>
          <w:rFonts w:eastAsia="Times New Roman"/>
        </w:rPr>
        <w:t>III.10.5.</w:t>
      </w:r>
      <w:r w:rsidRPr="009076B9">
        <w:rPr>
          <w:rFonts w:eastAsia="Times New Roman"/>
        </w:rPr>
        <w:tab/>
        <w:t xml:space="preserve">Podmioty planujące realizację prac eksploatacyjnych wymagających wyłączeń elementów sieci dystrybucyjnej </w:t>
      </w:r>
      <w:r w:rsidR="00D23E88" w:rsidRPr="009076B9">
        <w:rPr>
          <w:rFonts w:eastAsia="Times New Roman"/>
        </w:rPr>
        <w:t>OSDn</w:t>
      </w:r>
      <w:r w:rsidRPr="009076B9">
        <w:rPr>
          <w:rFonts w:eastAsia="Times New Roman"/>
        </w:rPr>
        <w:t xml:space="preserve"> przekazują do </w:t>
      </w:r>
      <w:r w:rsidR="00D23E88" w:rsidRPr="009076B9">
        <w:rPr>
          <w:rFonts w:eastAsia="Times New Roman"/>
        </w:rPr>
        <w:t>OSDn</w:t>
      </w:r>
      <w:r w:rsidRPr="009076B9">
        <w:rPr>
          <w:rFonts w:eastAsia="Times New Roman"/>
        </w:rPr>
        <w:t xml:space="preserve"> zgłoszenia wyłączeń elementów sieci. Zawartość i terminy przekazywania zgłoszeń określono </w:t>
      </w:r>
      <w:r w:rsidR="00D23E88" w:rsidRPr="009076B9">
        <w:rPr>
          <w:rFonts w:eastAsia="Times New Roman"/>
        </w:rPr>
        <w:br/>
      </w:r>
      <w:r w:rsidRPr="009076B9">
        <w:rPr>
          <w:rFonts w:eastAsia="Times New Roman"/>
        </w:rPr>
        <w:t>w pkt.VI.6.</w:t>
      </w:r>
    </w:p>
    <w:p w14:paraId="3F414867" w14:textId="77777777" w:rsidR="00572BA3" w:rsidRDefault="00572BA3" w:rsidP="00A74722">
      <w:pPr>
        <w:spacing w:line="200" w:lineRule="exact"/>
        <w:rPr>
          <w:rFonts w:eastAsia="Times New Roman"/>
        </w:rPr>
      </w:pPr>
    </w:p>
    <w:p w14:paraId="46837D52" w14:textId="77777777" w:rsidR="00572BA3" w:rsidRDefault="00572BA3" w:rsidP="00A74722">
      <w:pPr>
        <w:pStyle w:val="Nagwek2"/>
      </w:pPr>
      <w:bookmarkStart w:id="37" w:name="_Toc141963885"/>
      <w:r>
        <w:lastRenderedPageBreak/>
        <w:t>III.11.</w:t>
      </w:r>
      <w:r>
        <w:tab/>
        <w:t>WARUNKI BEZPIECZNEGO WYKONYWANIA PRAC</w:t>
      </w:r>
      <w:bookmarkEnd w:id="37"/>
    </w:p>
    <w:p w14:paraId="3D6B8DD4" w14:textId="77777777" w:rsidR="00572BA3" w:rsidRDefault="00572BA3" w:rsidP="00A74722">
      <w:pPr>
        <w:spacing w:line="200" w:lineRule="exact"/>
        <w:rPr>
          <w:rFonts w:eastAsia="Times New Roman"/>
        </w:rPr>
      </w:pPr>
    </w:p>
    <w:p w14:paraId="622CCC17" w14:textId="77777777" w:rsidR="00572BA3" w:rsidRDefault="00572BA3" w:rsidP="00A74722">
      <w:pPr>
        <w:spacing w:line="203" w:lineRule="exact"/>
        <w:rPr>
          <w:rFonts w:eastAsia="Times New Roman"/>
        </w:rPr>
      </w:pPr>
    </w:p>
    <w:p w14:paraId="6B9E7288" w14:textId="77777777" w:rsidR="00572BA3" w:rsidRDefault="00572BA3" w:rsidP="00A74722">
      <w:pPr>
        <w:tabs>
          <w:tab w:val="left" w:pos="1120"/>
        </w:tabs>
        <w:spacing w:line="234" w:lineRule="auto"/>
        <w:ind w:left="1140" w:hanging="1139"/>
        <w:jc w:val="both"/>
        <w:rPr>
          <w:rFonts w:eastAsia="Times New Roman"/>
        </w:rPr>
      </w:pPr>
      <w:r>
        <w:rPr>
          <w:rFonts w:eastAsia="Times New Roman"/>
        </w:rPr>
        <w:t>III.11.1.</w:t>
      </w:r>
      <w:r>
        <w:rPr>
          <w:rFonts w:eastAsia="Times New Roman"/>
        </w:rPr>
        <w:tab/>
      </w:r>
      <w:r w:rsidR="00BE2988">
        <w:rPr>
          <w:rFonts w:eastAsia="Times New Roman"/>
        </w:rPr>
        <w:t>OSDn</w:t>
      </w:r>
      <w:r>
        <w:rPr>
          <w:rFonts w:eastAsia="Times New Roman"/>
        </w:rPr>
        <w:t xml:space="preserve"> opracowuje instrukcję organizacji bezpiecznej pracy, obowiązującą osoby eksploatujące jego urządzenia, instalacje i sieci.</w:t>
      </w:r>
    </w:p>
    <w:p w14:paraId="389CC5FD" w14:textId="77777777" w:rsidR="00572BA3" w:rsidRDefault="00572BA3" w:rsidP="00A74722">
      <w:pPr>
        <w:spacing w:line="134" w:lineRule="exact"/>
        <w:rPr>
          <w:rFonts w:eastAsia="Times New Roman"/>
        </w:rPr>
      </w:pPr>
    </w:p>
    <w:p w14:paraId="71645B0A" w14:textId="77777777" w:rsidR="00B02298" w:rsidRDefault="00572BA3" w:rsidP="00A74722">
      <w:pPr>
        <w:tabs>
          <w:tab w:val="left" w:pos="1120"/>
        </w:tabs>
        <w:spacing w:line="237" w:lineRule="auto"/>
        <w:ind w:left="1140" w:hanging="1139"/>
        <w:jc w:val="both"/>
        <w:rPr>
          <w:rFonts w:eastAsia="Times New Roman"/>
        </w:rPr>
      </w:pPr>
      <w:r>
        <w:rPr>
          <w:rFonts w:eastAsia="Times New Roman"/>
        </w:rPr>
        <w:t>III.11.2.</w:t>
      </w:r>
      <w:r>
        <w:rPr>
          <w:rFonts w:eastAsia="Times New Roman"/>
        </w:rPr>
        <w:tab/>
        <w:t>Pracownicy zatrudnieni przy eksploatacji urządzeń, instalacji i sieci elektroenergetycznych powinni posiadać odpowiednie kwalifikacje i spełniać określone wymagania zdrowotne oraz być przeszkoleni do pracy na zajmowanych stanowiskach.</w:t>
      </w:r>
      <w:bookmarkStart w:id="38" w:name="page77"/>
      <w:bookmarkEnd w:id="38"/>
    </w:p>
    <w:p w14:paraId="3205908F" w14:textId="77777777" w:rsidR="00B02298" w:rsidRDefault="00B02298" w:rsidP="00A74722">
      <w:pPr>
        <w:spacing w:line="20" w:lineRule="exact"/>
        <w:rPr>
          <w:rFonts w:eastAsia="Times New Roman"/>
        </w:rPr>
      </w:pPr>
    </w:p>
    <w:p w14:paraId="1A879698" w14:textId="77777777" w:rsidR="00572BA3" w:rsidRDefault="003B4A97" w:rsidP="00A74722">
      <w:pPr>
        <w:pStyle w:val="Nagwek1"/>
        <w:ind w:left="851" w:hanging="851"/>
        <w:rPr>
          <w:rStyle w:val="Nagwek2Znak"/>
          <w:rFonts w:eastAsia="Calibri"/>
        </w:rPr>
      </w:pPr>
      <w:bookmarkStart w:id="39" w:name="_Toc141963886"/>
      <w:r>
        <w:t>IV.</w:t>
      </w:r>
      <w:r w:rsidR="00802B7F">
        <w:t xml:space="preserve">       </w:t>
      </w:r>
      <w:r w:rsidR="00572BA3">
        <w:t xml:space="preserve">BEZPIECZEŃSTWO FUNKCJONOWANIA SYSTEMU </w:t>
      </w:r>
      <w:r w:rsidR="00802B7F">
        <w:t>ELEKTROENERGETYCZNEGO</w:t>
      </w:r>
      <w:bookmarkEnd w:id="39"/>
      <w:r>
        <w:rPr>
          <w:rStyle w:val="Nagwek2Znak"/>
          <w:rFonts w:eastAsia="Calibri"/>
        </w:rPr>
        <w:t xml:space="preserve"> </w:t>
      </w:r>
    </w:p>
    <w:p w14:paraId="5EA8F41F" w14:textId="77777777" w:rsidR="003B4A97" w:rsidRPr="00FE611B" w:rsidRDefault="003B4A97" w:rsidP="00910AD3">
      <w:pPr>
        <w:pStyle w:val="Nagwek2"/>
        <w:ind w:left="851" w:hanging="851"/>
        <w:jc w:val="both"/>
        <w:rPr>
          <w:rStyle w:val="Nagwek2Znak"/>
          <w:b/>
          <w:bCs/>
          <w:iCs/>
        </w:rPr>
      </w:pPr>
      <w:bookmarkStart w:id="40" w:name="_Toc141963887"/>
      <w:r w:rsidRPr="00FE611B">
        <w:rPr>
          <w:rStyle w:val="Nagwek2Znak"/>
          <w:rFonts w:eastAsia="Calibri"/>
          <w:b/>
          <w:bCs/>
          <w:iCs/>
        </w:rPr>
        <w:t>IV.1. BE</w:t>
      </w:r>
      <w:r w:rsidRPr="00FE611B">
        <w:rPr>
          <w:rStyle w:val="Nagwek2Znak"/>
          <w:b/>
          <w:bCs/>
          <w:iCs/>
        </w:rPr>
        <w:t>ZPIECZEŃSTWO DOSTAW ENERGII ELEKTRYCZNEJ, AWARIA SIECIOWA I AWARIA W SYSTEMIE</w:t>
      </w:r>
      <w:bookmarkEnd w:id="40"/>
    </w:p>
    <w:p w14:paraId="12AA3E3A" w14:textId="77777777" w:rsidR="001107FF" w:rsidRPr="00D47B01" w:rsidRDefault="005B15D0" w:rsidP="001107FF">
      <w:pPr>
        <w:autoSpaceDE w:val="0"/>
        <w:autoSpaceDN w:val="0"/>
        <w:adjustRightInd w:val="0"/>
        <w:ind w:left="1134" w:right="60" w:hanging="1134"/>
        <w:jc w:val="both"/>
        <w:rPr>
          <w:rFonts w:cs="Times New Roman"/>
          <w:color w:val="000000"/>
          <w:szCs w:val="24"/>
        </w:rPr>
      </w:pPr>
      <w:r>
        <w:rPr>
          <w:rFonts w:eastAsia="Times New Roman"/>
        </w:rPr>
        <w:t>I</w:t>
      </w:r>
      <w:r w:rsidR="00572BA3">
        <w:rPr>
          <w:rFonts w:eastAsia="Times New Roman"/>
        </w:rPr>
        <w:t>V.1.1.</w:t>
      </w:r>
      <w:r w:rsidR="00572BA3">
        <w:rPr>
          <w:rFonts w:eastAsia="Times New Roman"/>
        </w:rPr>
        <w:tab/>
      </w:r>
      <w:r w:rsidR="001107FF" w:rsidRPr="00D47B01">
        <w:rPr>
          <w:rFonts w:cs="Times New Roman"/>
          <w:color w:val="000000"/>
          <w:szCs w:val="24"/>
        </w:rPr>
        <w:t xml:space="preserve">OSP, zgodnie z IRiESP, na bieżąco kontroluje warunki pracy KSE. OSP może stwierdzić zagrożenie bezpieczeństwa dostaw energii elektrycznej i podać do publicznej wiadomości komunikat o wystąpieniu zagrożenia bezpieczeństwa dostaw energii elektrycznej i podejmowanych działaniach. </w:t>
      </w:r>
    </w:p>
    <w:p w14:paraId="2821FF4E" w14:textId="77777777" w:rsidR="001107FF" w:rsidRPr="00D47B01" w:rsidRDefault="001107FF" w:rsidP="001107FF">
      <w:pPr>
        <w:spacing w:line="0" w:lineRule="atLeast"/>
        <w:ind w:left="1134" w:right="60" w:hanging="1134"/>
        <w:jc w:val="both"/>
        <w:rPr>
          <w:rFonts w:eastAsia="Times New Roman" w:cs="Times New Roman"/>
          <w:b/>
          <w:color w:val="000000"/>
          <w:szCs w:val="24"/>
          <w:u w:val="single"/>
        </w:rPr>
      </w:pPr>
    </w:p>
    <w:p w14:paraId="3B4C0AB5" w14:textId="77777777" w:rsidR="001107FF" w:rsidRPr="00D47B01" w:rsidRDefault="001107FF" w:rsidP="001107FF">
      <w:pPr>
        <w:autoSpaceDE w:val="0"/>
        <w:autoSpaceDN w:val="0"/>
        <w:adjustRightInd w:val="0"/>
        <w:ind w:left="1134" w:right="60"/>
        <w:jc w:val="both"/>
        <w:rPr>
          <w:rFonts w:cs="Times New Roman"/>
          <w:color w:val="000000"/>
          <w:szCs w:val="24"/>
        </w:rPr>
      </w:pPr>
      <w:r w:rsidRPr="00D47B01">
        <w:rPr>
          <w:rFonts w:cs="Times New Roman"/>
          <w:color w:val="000000"/>
          <w:szCs w:val="24"/>
        </w:rPr>
        <w:t xml:space="preserve">OSP, zgodnie z IRiESP, opracowuje i aktualizuje plan obrony systemu i plan odbudowy zgodnie z NC ER. </w:t>
      </w:r>
    </w:p>
    <w:p w14:paraId="6F43A482" w14:textId="77777777" w:rsidR="00572BA3" w:rsidRDefault="00572BA3" w:rsidP="000C40A4">
      <w:pPr>
        <w:tabs>
          <w:tab w:val="left" w:pos="1120"/>
        </w:tabs>
        <w:spacing w:line="237" w:lineRule="auto"/>
        <w:ind w:left="1140" w:right="40" w:hanging="1079"/>
        <w:jc w:val="both"/>
        <w:rPr>
          <w:rFonts w:eastAsia="Times New Roman"/>
        </w:rPr>
      </w:pPr>
      <w:r>
        <w:rPr>
          <w:rFonts w:eastAsia="Times New Roman"/>
        </w:rPr>
        <w:t>IV.1.2.</w:t>
      </w:r>
      <w:r>
        <w:rPr>
          <w:rFonts w:eastAsia="Times New Roman"/>
        </w:rPr>
        <w:tab/>
        <w:t>Podstawowym stanem pracy KSE wymagającym działań interwencyjnych służb dyspozytorskich i służb ruchowych jest zagrożenie bezpieczeństwa dostaw energii elektrycznej, w tym:</w:t>
      </w:r>
    </w:p>
    <w:p w14:paraId="110AF881" w14:textId="77777777" w:rsidR="00572BA3" w:rsidRDefault="00572BA3">
      <w:pPr>
        <w:numPr>
          <w:ilvl w:val="0"/>
          <w:numId w:val="88"/>
        </w:numPr>
        <w:tabs>
          <w:tab w:val="left" w:pos="1500"/>
        </w:tabs>
        <w:spacing w:line="0" w:lineRule="atLeast"/>
        <w:ind w:left="1134"/>
        <w:rPr>
          <w:rFonts w:eastAsia="Times New Roman"/>
        </w:rPr>
      </w:pPr>
      <w:r>
        <w:rPr>
          <w:rFonts w:eastAsia="Times New Roman"/>
        </w:rPr>
        <w:t>awaria w systemie,</w:t>
      </w:r>
    </w:p>
    <w:p w14:paraId="6CEC2847" w14:textId="77777777" w:rsidR="00572BA3" w:rsidRDefault="00572BA3">
      <w:pPr>
        <w:numPr>
          <w:ilvl w:val="0"/>
          <w:numId w:val="88"/>
        </w:numPr>
        <w:tabs>
          <w:tab w:val="left" w:pos="1500"/>
        </w:tabs>
        <w:spacing w:line="0" w:lineRule="atLeast"/>
        <w:ind w:left="1134"/>
        <w:rPr>
          <w:rFonts w:eastAsia="Times New Roman"/>
        </w:rPr>
      </w:pPr>
      <w:r>
        <w:rPr>
          <w:rFonts w:eastAsia="Times New Roman"/>
        </w:rPr>
        <w:t>awaria sieciowa.</w:t>
      </w:r>
    </w:p>
    <w:p w14:paraId="3AD22D92" w14:textId="77777777" w:rsidR="00572BA3" w:rsidRDefault="00572BA3">
      <w:pPr>
        <w:spacing w:line="132" w:lineRule="exact"/>
        <w:rPr>
          <w:rFonts w:eastAsia="Times New Roman"/>
        </w:rPr>
      </w:pPr>
    </w:p>
    <w:p w14:paraId="2C2B0498" w14:textId="77777777" w:rsidR="00572BA3" w:rsidRDefault="00572BA3" w:rsidP="003F0FAF">
      <w:pPr>
        <w:spacing w:line="234" w:lineRule="auto"/>
        <w:ind w:left="1140" w:right="40"/>
        <w:jc w:val="both"/>
        <w:rPr>
          <w:rFonts w:eastAsia="Times New Roman"/>
        </w:rPr>
      </w:pPr>
      <w:r>
        <w:rPr>
          <w:rFonts w:eastAsia="Times New Roman"/>
        </w:rPr>
        <w:t xml:space="preserve">Zagrożenie bezpieczeństwa dostaw energii elektrycznej może powstać </w:t>
      </w:r>
      <w:r w:rsidR="003F0FAF">
        <w:rPr>
          <w:rFonts w:eastAsia="Times New Roman"/>
        </w:rPr>
        <w:br/>
      </w:r>
      <w:r>
        <w:rPr>
          <w:rFonts w:eastAsia="Times New Roman"/>
        </w:rPr>
        <w:t>w szczególności w następstwie:</w:t>
      </w:r>
    </w:p>
    <w:p w14:paraId="095C0ACC" w14:textId="77777777" w:rsidR="00572BA3" w:rsidRDefault="00572BA3">
      <w:pPr>
        <w:numPr>
          <w:ilvl w:val="0"/>
          <w:numId w:val="89"/>
        </w:numPr>
        <w:tabs>
          <w:tab w:val="left" w:pos="1500"/>
        </w:tabs>
        <w:spacing w:line="0" w:lineRule="atLeast"/>
        <w:ind w:left="1134"/>
        <w:rPr>
          <w:rFonts w:eastAsia="Times New Roman"/>
        </w:rPr>
      </w:pPr>
      <w:r>
        <w:rPr>
          <w:rFonts w:eastAsia="Times New Roman"/>
        </w:rPr>
        <w:t>działań wynikających z wprowadzenia stanu nadzwyczajnego,</w:t>
      </w:r>
    </w:p>
    <w:p w14:paraId="2B16E3D7" w14:textId="77777777" w:rsidR="00572BA3" w:rsidRDefault="00572BA3">
      <w:pPr>
        <w:numPr>
          <w:ilvl w:val="0"/>
          <w:numId w:val="89"/>
        </w:numPr>
        <w:tabs>
          <w:tab w:val="clear" w:pos="1626"/>
        </w:tabs>
        <w:spacing w:line="234" w:lineRule="auto"/>
        <w:ind w:left="1418" w:hanging="284"/>
        <w:rPr>
          <w:rFonts w:eastAsia="Times New Roman"/>
        </w:rPr>
      </w:pPr>
      <w:r>
        <w:rPr>
          <w:rFonts w:eastAsia="Times New Roman"/>
        </w:rPr>
        <w:t>katastrofy naturalnej albo bezpośredniego zagrożenia wystąpienia awarii technicznej,</w:t>
      </w:r>
    </w:p>
    <w:p w14:paraId="282F7DA2" w14:textId="77777777" w:rsidR="00572BA3" w:rsidRDefault="00572BA3">
      <w:pPr>
        <w:numPr>
          <w:ilvl w:val="0"/>
          <w:numId w:val="89"/>
        </w:numPr>
        <w:tabs>
          <w:tab w:val="clear" w:pos="1626"/>
        </w:tabs>
        <w:spacing w:line="237" w:lineRule="auto"/>
        <w:ind w:left="1418" w:hanging="284"/>
        <w:jc w:val="both"/>
        <w:rPr>
          <w:rFonts w:eastAsia="Times New Roman"/>
        </w:rPr>
      </w:pPr>
      <w:r>
        <w:rPr>
          <w:rFonts w:eastAsia="Times New Roman"/>
        </w:rPr>
        <w:t xml:space="preserve">wprowadzenia embarga, blokady, ograniczenia lub braku dostaw paliw lub energii elektrycznej z innego kraju na terytorium Rzeczypospolitej Polskiej, lub zakłóceń w funkcjonowaniu systemów elektroenergetycznych połączonych </w:t>
      </w:r>
      <w:r w:rsidR="005E2C4A">
        <w:rPr>
          <w:rFonts w:eastAsia="Times New Roman"/>
        </w:rPr>
        <w:br/>
      </w:r>
      <w:r>
        <w:rPr>
          <w:rFonts w:eastAsia="Times New Roman"/>
        </w:rPr>
        <w:t>z krajowym systemem elektroenergetycznym</w:t>
      </w:r>
    </w:p>
    <w:p w14:paraId="40F3711D" w14:textId="77777777" w:rsidR="00572BA3" w:rsidRDefault="00572BA3">
      <w:pPr>
        <w:numPr>
          <w:ilvl w:val="0"/>
          <w:numId w:val="89"/>
        </w:numPr>
        <w:tabs>
          <w:tab w:val="clear" w:pos="1626"/>
        </w:tabs>
        <w:spacing w:line="0" w:lineRule="atLeast"/>
        <w:ind w:left="1134"/>
        <w:rPr>
          <w:rFonts w:eastAsia="Times New Roman"/>
        </w:rPr>
      </w:pPr>
      <w:r>
        <w:rPr>
          <w:rFonts w:eastAsia="Times New Roman"/>
        </w:rPr>
        <w:t>strajku lub niepokojów społecznych,</w:t>
      </w:r>
    </w:p>
    <w:p w14:paraId="56474764" w14:textId="77777777" w:rsidR="00572BA3" w:rsidRDefault="00572BA3">
      <w:pPr>
        <w:numPr>
          <w:ilvl w:val="0"/>
          <w:numId w:val="89"/>
        </w:numPr>
        <w:tabs>
          <w:tab w:val="clear" w:pos="1626"/>
        </w:tabs>
        <w:spacing w:line="234" w:lineRule="auto"/>
        <w:ind w:left="1418" w:hanging="284"/>
        <w:rPr>
          <w:rFonts w:eastAsia="Times New Roman"/>
        </w:rPr>
      </w:pPr>
      <w:r>
        <w:rPr>
          <w:rFonts w:eastAsia="Times New Roman"/>
        </w:rPr>
        <w:t>obniżenia dostępnych rezerw zdolności wytwórczych poniżej niezbędnych wielkości lub braku możliwości ich wykorzystania.</w:t>
      </w:r>
    </w:p>
    <w:p w14:paraId="078AA9B6" w14:textId="77777777" w:rsidR="00572BA3" w:rsidRDefault="00572BA3" w:rsidP="00C7498B">
      <w:pPr>
        <w:autoSpaceDE w:val="0"/>
        <w:autoSpaceDN w:val="0"/>
        <w:adjustRightInd w:val="0"/>
        <w:ind w:left="1134" w:right="-82" w:hanging="1134"/>
        <w:jc w:val="both"/>
        <w:rPr>
          <w:rFonts w:eastAsia="Times New Roman"/>
        </w:rPr>
      </w:pPr>
      <w:r>
        <w:rPr>
          <w:rFonts w:eastAsia="Times New Roman"/>
        </w:rPr>
        <w:t>IV.1.3.</w:t>
      </w:r>
      <w:r>
        <w:rPr>
          <w:rFonts w:eastAsia="Times New Roman"/>
        </w:rPr>
        <w:tab/>
      </w:r>
      <w:r w:rsidR="00C7498B" w:rsidRPr="00D47B01">
        <w:rPr>
          <w:rFonts w:cs="Times New Roman"/>
          <w:color w:val="000000"/>
          <w:szCs w:val="24"/>
        </w:rPr>
        <w:t xml:space="preserve">W przypadku ogłoszenia zagrożenia bezpieczeństwa dostaw energii elektrycznej, OSP może stosować procedury awaryjne bilansowania systemu i zarządzania ograniczeniami systemowymi, nazywane również „procedurami awaryjnymi”. Procedury awaryjne stosowane na rynku bilansującym określa TCM. </w:t>
      </w:r>
    </w:p>
    <w:p w14:paraId="6D9D718C" w14:textId="77777777" w:rsidR="00FA22F8" w:rsidRPr="00D47B01" w:rsidRDefault="00572BA3" w:rsidP="00FA22F8">
      <w:pPr>
        <w:autoSpaceDE w:val="0"/>
        <w:autoSpaceDN w:val="0"/>
        <w:adjustRightInd w:val="0"/>
        <w:ind w:left="1134" w:right="60" w:hanging="1134"/>
        <w:jc w:val="both"/>
        <w:rPr>
          <w:rFonts w:cs="Times New Roman"/>
          <w:color w:val="000000"/>
          <w:szCs w:val="24"/>
        </w:rPr>
      </w:pPr>
      <w:r>
        <w:rPr>
          <w:rFonts w:eastAsia="Times New Roman"/>
        </w:rPr>
        <w:t>IV.1.4.</w:t>
      </w:r>
      <w:r>
        <w:rPr>
          <w:rFonts w:eastAsia="Times New Roman"/>
        </w:rPr>
        <w:tab/>
      </w:r>
      <w:r w:rsidR="00FA22F8" w:rsidRPr="00D47B01">
        <w:rPr>
          <w:rFonts w:cs="Times New Roman"/>
          <w:color w:val="000000"/>
          <w:szCs w:val="24"/>
        </w:rPr>
        <w:t xml:space="preserve">OSP ma prawo stosować zgodnie z TCM procedury awaryjne w przypadku wystąpienia każdej z poniższych sytuacji: </w:t>
      </w:r>
    </w:p>
    <w:p w14:paraId="4C19FE2C" w14:textId="77777777" w:rsidR="00FA22F8" w:rsidRPr="00D47B01" w:rsidRDefault="00FA22F8" w:rsidP="00FA22F8">
      <w:pPr>
        <w:autoSpaceDE w:val="0"/>
        <w:autoSpaceDN w:val="0"/>
        <w:adjustRightInd w:val="0"/>
        <w:ind w:left="1418" w:right="60" w:hanging="284"/>
        <w:jc w:val="both"/>
        <w:rPr>
          <w:rFonts w:cs="Times New Roman"/>
          <w:color w:val="000000"/>
          <w:szCs w:val="24"/>
        </w:rPr>
      </w:pPr>
      <w:r w:rsidRPr="00D47B01">
        <w:rPr>
          <w:rFonts w:cs="Times New Roman"/>
          <w:color w:val="000000"/>
          <w:szCs w:val="24"/>
        </w:rPr>
        <w:t xml:space="preserve">a) zagrożenia bezpieczeństwa dostaw energii elektrycznej, w tym awarii sieciowej lub awarii w systemie, </w:t>
      </w:r>
    </w:p>
    <w:p w14:paraId="1C38B0A2" w14:textId="77777777" w:rsidR="00FA22F8" w:rsidRPr="00D47B01" w:rsidRDefault="00FA22F8" w:rsidP="00FA22F8">
      <w:pPr>
        <w:autoSpaceDE w:val="0"/>
        <w:autoSpaceDN w:val="0"/>
        <w:adjustRightInd w:val="0"/>
        <w:ind w:left="1418" w:right="60" w:hanging="284"/>
        <w:jc w:val="both"/>
        <w:rPr>
          <w:rFonts w:cs="Times New Roman"/>
          <w:color w:val="000000"/>
          <w:szCs w:val="24"/>
        </w:rPr>
      </w:pPr>
      <w:r w:rsidRPr="00D47B01">
        <w:rPr>
          <w:rFonts w:cs="Times New Roman"/>
          <w:color w:val="000000"/>
          <w:szCs w:val="24"/>
        </w:rPr>
        <w:t xml:space="preserve">b) awarii systemów teleinformatycznych o podstawowym znaczeniu dla realizacji bilansowania systemu i zarządzania ograniczeniami systemowymi, między </w:t>
      </w:r>
      <w:r w:rsidRPr="00D47B01">
        <w:rPr>
          <w:rFonts w:cs="Times New Roman"/>
          <w:color w:val="000000"/>
          <w:szCs w:val="24"/>
        </w:rPr>
        <w:lastRenderedPageBreak/>
        <w:t xml:space="preserve">innymi takich jak WIRE, SOWE, system planowania pracy jednostek wytwórczych lub systemy wspomagania dyspozytorskiego. </w:t>
      </w:r>
    </w:p>
    <w:p w14:paraId="45DCF7BD" w14:textId="77777777" w:rsidR="00572BA3" w:rsidRDefault="00572BA3" w:rsidP="00FA22F8">
      <w:pPr>
        <w:tabs>
          <w:tab w:val="left" w:pos="1120"/>
        </w:tabs>
        <w:spacing w:line="234" w:lineRule="auto"/>
        <w:ind w:left="1134" w:right="40" w:hanging="1079"/>
        <w:jc w:val="both"/>
        <w:rPr>
          <w:rFonts w:eastAsia="Times New Roman"/>
        </w:rPr>
      </w:pPr>
      <w:r>
        <w:rPr>
          <w:rFonts w:eastAsia="Times New Roman"/>
        </w:rPr>
        <w:t>IV.1.5.</w:t>
      </w:r>
      <w:r>
        <w:rPr>
          <w:rFonts w:eastAsia="Times New Roman"/>
        </w:rPr>
        <w:tab/>
        <w:t xml:space="preserve">W przypadku stwierdzenia przez OSP zagrożenia bezpieczeństwa dostaw energii elektrycznej, JWCK przyłączone do sieci dystrybucyjnej stosują się do bezpośrednich poleceń operatora systemu przesyłowego. Pozostali wytwórcy oraz odbiorcy przyłączeni do sieci dystrybucyjnej stosują się do poleceń </w:t>
      </w:r>
      <w:r w:rsidR="001B64E9">
        <w:rPr>
          <w:rFonts w:eastAsia="Times New Roman"/>
        </w:rPr>
        <w:t>OSDn</w:t>
      </w:r>
      <w:r>
        <w:rPr>
          <w:rFonts w:eastAsia="Times New Roman"/>
        </w:rPr>
        <w:t xml:space="preserve">. </w:t>
      </w:r>
      <w:r w:rsidR="001B64E9">
        <w:rPr>
          <w:rFonts w:eastAsia="Times New Roman"/>
        </w:rPr>
        <w:br/>
      </w:r>
      <w:r>
        <w:rPr>
          <w:rFonts w:eastAsia="Times New Roman"/>
        </w:rPr>
        <w:t>W przypadkach awarii sieciowych i awarii w systemie niepowodujących wystąpienia zagrożenia bezpieczeństwa dostaw energii elektrycznej, bezpośrednie polecenia właściwych operatorów realizują podmioty bezpośrednio zaangażowane w proces usunięcia skutków awarii.</w:t>
      </w:r>
    </w:p>
    <w:p w14:paraId="4918F30A" w14:textId="77777777" w:rsidR="00572BA3" w:rsidRDefault="00572BA3">
      <w:pPr>
        <w:spacing w:line="139" w:lineRule="exact"/>
        <w:rPr>
          <w:rFonts w:eastAsia="Times New Roman"/>
        </w:rPr>
      </w:pPr>
    </w:p>
    <w:p w14:paraId="5D309741" w14:textId="77777777" w:rsidR="00572BA3" w:rsidRDefault="00572BA3">
      <w:pPr>
        <w:tabs>
          <w:tab w:val="left" w:pos="1120"/>
        </w:tabs>
        <w:spacing w:line="236" w:lineRule="auto"/>
        <w:ind w:left="1140" w:right="40" w:hanging="1079"/>
        <w:jc w:val="both"/>
        <w:rPr>
          <w:rFonts w:eastAsia="Times New Roman"/>
        </w:rPr>
      </w:pPr>
      <w:r>
        <w:rPr>
          <w:rFonts w:eastAsia="Times New Roman"/>
        </w:rPr>
        <w:t>IV.1.6.</w:t>
      </w:r>
      <w:r>
        <w:rPr>
          <w:rFonts w:eastAsia="Times New Roman"/>
        </w:rPr>
        <w:tab/>
      </w:r>
      <w:r w:rsidR="00493023" w:rsidRPr="00D47B01">
        <w:rPr>
          <w:rFonts w:cs="Times New Roman"/>
          <w:color w:val="000000"/>
          <w:szCs w:val="24"/>
        </w:rPr>
        <w:t>OSDn wraz z OSP podejmują, zgodnie z IRiESP, niezwłoczne działania zmierzające do likwidacji zagrożenia bezpieczeństwa dostaw energii elektrycznej, awarii sieciowej lub awarii w systemie i odbudowy KSE na podstawie planu odbudowy.</w:t>
      </w:r>
    </w:p>
    <w:p w14:paraId="2C27838A" w14:textId="77777777" w:rsidR="00572BA3" w:rsidRDefault="00572BA3" w:rsidP="00793A90">
      <w:pPr>
        <w:autoSpaceDE w:val="0"/>
        <w:autoSpaceDN w:val="0"/>
        <w:adjustRightInd w:val="0"/>
        <w:ind w:left="1134" w:right="60" w:hanging="1134"/>
        <w:jc w:val="both"/>
        <w:rPr>
          <w:rFonts w:eastAsia="Times New Roman"/>
        </w:rPr>
      </w:pPr>
      <w:r>
        <w:rPr>
          <w:rFonts w:eastAsia="Times New Roman"/>
        </w:rPr>
        <w:t>IV.1.7.</w:t>
      </w:r>
      <w:r>
        <w:rPr>
          <w:rFonts w:eastAsia="Times New Roman"/>
        </w:rPr>
        <w:tab/>
      </w:r>
      <w:r w:rsidR="00793A90" w:rsidRPr="00D47B01">
        <w:rPr>
          <w:rFonts w:cs="Times New Roman"/>
          <w:color w:val="000000"/>
          <w:szCs w:val="24"/>
        </w:rPr>
        <w:t>OSDn bierze udział w organizowanych przez OSP szkoleniach w zakresie planu obrony i planu odbudowy oraz opracowuje i na bieżąco aktualizuje procedury dyspozytorskie na okres odbudowy zasilania systemu dystrybucyjnego, którego pracą kieruje.</w:t>
      </w:r>
      <w:r w:rsidR="00793A90" w:rsidRPr="00F27A63">
        <w:rPr>
          <w:rFonts w:cs="Times New Roman"/>
          <w:color w:val="000000"/>
          <w:szCs w:val="24"/>
        </w:rPr>
        <w:t xml:space="preserve"> </w:t>
      </w:r>
    </w:p>
    <w:p w14:paraId="02EE0055" w14:textId="77777777" w:rsidR="00572BA3" w:rsidRDefault="00572BA3">
      <w:pPr>
        <w:tabs>
          <w:tab w:val="left" w:pos="1120"/>
        </w:tabs>
        <w:spacing w:line="234" w:lineRule="auto"/>
        <w:ind w:left="1140" w:right="40" w:hanging="1079"/>
        <w:jc w:val="both"/>
        <w:rPr>
          <w:rFonts w:eastAsia="Times New Roman"/>
        </w:rPr>
      </w:pPr>
      <w:r>
        <w:rPr>
          <w:rFonts w:eastAsia="Times New Roman"/>
        </w:rPr>
        <w:t>IV.1.8.</w:t>
      </w:r>
      <w:r>
        <w:rPr>
          <w:rFonts w:eastAsia="Times New Roman"/>
        </w:rPr>
        <w:tab/>
        <w:t>Procedury dyspozytorskie na okres odbudowy zasilania systemu dystrybucyjnego obejmują w szczególności:</w:t>
      </w:r>
    </w:p>
    <w:p w14:paraId="7F8F5D05" w14:textId="77777777" w:rsidR="00572BA3" w:rsidRDefault="00572BA3">
      <w:pPr>
        <w:numPr>
          <w:ilvl w:val="0"/>
          <w:numId w:val="90"/>
        </w:numPr>
        <w:tabs>
          <w:tab w:val="clear" w:pos="1626"/>
        </w:tabs>
        <w:spacing w:line="0" w:lineRule="atLeast"/>
        <w:ind w:left="1134"/>
        <w:rPr>
          <w:rFonts w:eastAsia="Times New Roman"/>
        </w:rPr>
      </w:pPr>
      <w:r>
        <w:rPr>
          <w:rFonts w:eastAsia="Times New Roman"/>
        </w:rPr>
        <w:t>podział kompetencji służb dyspozytorskich,</w:t>
      </w:r>
    </w:p>
    <w:p w14:paraId="39F08619" w14:textId="77777777" w:rsidR="00572BA3" w:rsidRDefault="00572BA3">
      <w:pPr>
        <w:numPr>
          <w:ilvl w:val="0"/>
          <w:numId w:val="90"/>
        </w:numPr>
        <w:tabs>
          <w:tab w:val="clear" w:pos="1626"/>
        </w:tabs>
        <w:spacing w:line="0" w:lineRule="atLeast"/>
        <w:ind w:left="1134"/>
        <w:rPr>
          <w:rFonts w:eastAsia="Times New Roman"/>
        </w:rPr>
      </w:pPr>
      <w:r>
        <w:rPr>
          <w:rFonts w:eastAsia="Times New Roman"/>
        </w:rPr>
        <w:t>awaryjne układy pracy sieci,</w:t>
      </w:r>
    </w:p>
    <w:p w14:paraId="5B55529C" w14:textId="77777777" w:rsidR="00572BA3" w:rsidRDefault="00572BA3">
      <w:pPr>
        <w:numPr>
          <w:ilvl w:val="0"/>
          <w:numId w:val="90"/>
        </w:numPr>
        <w:tabs>
          <w:tab w:val="clear" w:pos="1626"/>
        </w:tabs>
        <w:spacing w:line="234" w:lineRule="auto"/>
        <w:ind w:left="1418" w:hanging="284"/>
        <w:rPr>
          <w:rFonts w:eastAsia="Times New Roman"/>
        </w:rPr>
      </w:pPr>
      <w:r>
        <w:rPr>
          <w:rFonts w:eastAsia="Times New Roman"/>
        </w:rPr>
        <w:t>wykaz operacji ruchowych wykonywanych w poszczególnych fazach odbudowy zasilania,</w:t>
      </w:r>
    </w:p>
    <w:p w14:paraId="734F093B" w14:textId="77777777" w:rsidR="00572BA3" w:rsidRDefault="00572BA3">
      <w:pPr>
        <w:numPr>
          <w:ilvl w:val="0"/>
          <w:numId w:val="90"/>
        </w:numPr>
        <w:tabs>
          <w:tab w:val="clear" w:pos="1626"/>
        </w:tabs>
        <w:spacing w:line="234" w:lineRule="auto"/>
        <w:ind w:left="1418" w:hanging="284"/>
        <w:rPr>
          <w:rFonts w:eastAsia="Times New Roman"/>
        </w:rPr>
      </w:pPr>
      <w:r>
        <w:rPr>
          <w:rFonts w:eastAsia="Times New Roman"/>
        </w:rPr>
        <w:t>dane techniczne niezbędne do odbudowy zasilania, tryb i zasady wymiany informacji i poleceń dyspozytorskich.</w:t>
      </w:r>
    </w:p>
    <w:p w14:paraId="3A21FF1D" w14:textId="77777777" w:rsidR="00572BA3" w:rsidRDefault="00572BA3">
      <w:pPr>
        <w:tabs>
          <w:tab w:val="left" w:pos="1120"/>
        </w:tabs>
        <w:spacing w:line="238" w:lineRule="auto"/>
        <w:ind w:left="1140" w:right="40" w:hanging="1079"/>
        <w:jc w:val="both"/>
        <w:rPr>
          <w:rFonts w:eastAsia="Times New Roman"/>
        </w:rPr>
      </w:pPr>
      <w:r>
        <w:rPr>
          <w:rFonts w:eastAsia="Times New Roman"/>
        </w:rPr>
        <w:t>IV.1.9.</w:t>
      </w:r>
      <w:r>
        <w:rPr>
          <w:rFonts w:eastAsia="Times New Roman"/>
        </w:rPr>
        <w:tab/>
        <w:t xml:space="preserve">Jeżeli zagrożenie bezpieczeństwa dostaw energii elektrycznej, w tym awaria sieciowa lub awaria w systemie, lub też przewidziana procedura likwidacji awarii lub zagrożenia bezpieczeństwa dostaw energii elektrycznej stanowi zagrożenie dla użytkowników systemu nie objętych awarią lub stanem zagrożenia, </w:t>
      </w:r>
      <w:r w:rsidR="000F0196">
        <w:rPr>
          <w:rFonts w:eastAsia="Times New Roman"/>
        </w:rPr>
        <w:t>OSDn</w:t>
      </w:r>
      <w:r>
        <w:rPr>
          <w:rFonts w:eastAsia="Times New Roman"/>
        </w:rPr>
        <w:t xml:space="preserve"> udziela tym użytkownikom niezbędnych informacji o zagrożeniu i sposobach przeciwdziałania rozszerzaniu się awarii lub stanu zagrożenia.</w:t>
      </w:r>
    </w:p>
    <w:p w14:paraId="4544DDEA" w14:textId="77777777" w:rsidR="00572BA3" w:rsidRDefault="00572BA3">
      <w:pPr>
        <w:tabs>
          <w:tab w:val="left" w:pos="1120"/>
        </w:tabs>
        <w:spacing w:line="237" w:lineRule="auto"/>
        <w:ind w:left="1140" w:right="40" w:hanging="1079"/>
        <w:jc w:val="both"/>
        <w:rPr>
          <w:rFonts w:eastAsia="Times New Roman"/>
        </w:rPr>
      </w:pPr>
      <w:r>
        <w:rPr>
          <w:rFonts w:eastAsia="Times New Roman"/>
        </w:rPr>
        <w:t>IV.1.10.</w:t>
      </w:r>
      <w:r>
        <w:rPr>
          <w:rFonts w:eastAsia="Times New Roman"/>
        </w:rPr>
        <w:tab/>
        <w:t xml:space="preserve">W celu ustalenia przebiegu awarii sieci dystrybucyjnej, przyczyny jej powstania, </w:t>
      </w:r>
      <w:r w:rsidR="004812ED">
        <w:rPr>
          <w:rFonts w:eastAsia="Times New Roman"/>
        </w:rPr>
        <w:br/>
      </w:r>
      <w:r>
        <w:rPr>
          <w:rFonts w:eastAsia="Times New Roman"/>
        </w:rPr>
        <w:t xml:space="preserve">a także zaproponowania działań zapobiegających powstaniu podobnych awarii </w:t>
      </w:r>
      <w:r w:rsidR="004812ED">
        <w:rPr>
          <w:rFonts w:eastAsia="Times New Roman"/>
        </w:rPr>
        <w:br/>
      </w:r>
      <w:r>
        <w:rPr>
          <w:rFonts w:eastAsia="Times New Roman"/>
        </w:rPr>
        <w:t>w przyszłości, operator systemu dystrybucyjnego ma prawo powołać komisję poawaryjną. W pracach komisji biorą udział przedstawiciele podmiotów, których urządzenia, instalacje lub sieci brały bezpośredni udział w awarii.</w:t>
      </w:r>
    </w:p>
    <w:p w14:paraId="7E0246CD" w14:textId="77777777" w:rsidR="00572BA3" w:rsidRDefault="00572BA3">
      <w:pPr>
        <w:spacing w:line="214" w:lineRule="exact"/>
        <w:rPr>
          <w:rFonts w:eastAsia="Times New Roman"/>
        </w:rPr>
      </w:pPr>
    </w:p>
    <w:p w14:paraId="38631CC9" w14:textId="77777777" w:rsidR="00572BA3" w:rsidRDefault="00572BA3" w:rsidP="00BF157A">
      <w:pPr>
        <w:pStyle w:val="Nagwek2"/>
      </w:pPr>
      <w:bookmarkStart w:id="41" w:name="_Toc141963888"/>
      <w:r>
        <w:t>IV.2.</w:t>
      </w:r>
      <w:r>
        <w:tab/>
        <w:t>BEZPIECZEŃSTWO PRACY SIECI DYSTRYBUCYJNEJ</w:t>
      </w:r>
      <w:bookmarkEnd w:id="41"/>
    </w:p>
    <w:p w14:paraId="4D541DAA" w14:textId="77777777" w:rsidR="00572BA3" w:rsidRDefault="00572BA3">
      <w:pPr>
        <w:spacing w:line="200" w:lineRule="exact"/>
        <w:rPr>
          <w:rFonts w:eastAsia="Times New Roman"/>
        </w:rPr>
      </w:pPr>
    </w:p>
    <w:p w14:paraId="2F02EA03" w14:textId="77777777" w:rsidR="00572BA3" w:rsidRDefault="00572BA3">
      <w:pPr>
        <w:tabs>
          <w:tab w:val="left" w:pos="1120"/>
        </w:tabs>
        <w:spacing w:line="236" w:lineRule="auto"/>
        <w:ind w:left="1140" w:hanging="1079"/>
        <w:jc w:val="both"/>
        <w:rPr>
          <w:rFonts w:eastAsia="Times New Roman"/>
        </w:rPr>
      </w:pPr>
      <w:r>
        <w:rPr>
          <w:rFonts w:eastAsia="Times New Roman"/>
        </w:rPr>
        <w:t>IV.2.1.</w:t>
      </w:r>
      <w:r>
        <w:rPr>
          <w:rFonts w:eastAsia="Times New Roman"/>
        </w:rPr>
        <w:tab/>
      </w:r>
      <w:r w:rsidR="003C3A41">
        <w:rPr>
          <w:rFonts w:eastAsia="Times New Roman"/>
        </w:rPr>
        <w:t>OSDn</w:t>
      </w:r>
      <w:r>
        <w:rPr>
          <w:rFonts w:eastAsia="Times New Roman"/>
        </w:rPr>
        <w:t xml:space="preserve"> prowadzi ruch sieci dystrybucyjnej w sposób zapewniający bezpieczeństwo realizacji dostaw energii elektrycznej siecią dystrybucyjną </w:t>
      </w:r>
      <w:r w:rsidR="003C3A41">
        <w:rPr>
          <w:rFonts w:eastAsia="Times New Roman"/>
        </w:rPr>
        <w:t>OSDn</w:t>
      </w:r>
      <w:r>
        <w:rPr>
          <w:rFonts w:eastAsia="Times New Roman"/>
        </w:rPr>
        <w:t>.</w:t>
      </w:r>
    </w:p>
    <w:p w14:paraId="1DD8341B" w14:textId="2D3052EA" w:rsidR="00572BA3" w:rsidRDefault="00572BA3">
      <w:pPr>
        <w:tabs>
          <w:tab w:val="left" w:pos="1120"/>
        </w:tabs>
        <w:spacing w:line="234" w:lineRule="auto"/>
        <w:ind w:left="1140" w:hanging="1079"/>
        <w:jc w:val="both"/>
        <w:rPr>
          <w:rFonts w:eastAsia="Times New Roman"/>
        </w:rPr>
      </w:pPr>
      <w:r>
        <w:rPr>
          <w:rFonts w:eastAsia="Times New Roman"/>
        </w:rPr>
        <w:t>IV.2.2.</w:t>
      </w:r>
      <w:r>
        <w:rPr>
          <w:rFonts w:eastAsia="Times New Roman"/>
        </w:rPr>
        <w:tab/>
      </w:r>
      <w:r w:rsidR="003C3A41">
        <w:rPr>
          <w:rFonts w:eastAsia="Times New Roman"/>
        </w:rPr>
        <w:t>OSDn</w:t>
      </w:r>
      <w:r>
        <w:rPr>
          <w:rFonts w:eastAsia="Times New Roman"/>
        </w:rPr>
        <w:t xml:space="preserve"> dotrzymuje standardowych parametrów jakościowych energii elektrycznej </w:t>
      </w:r>
      <w:r w:rsidR="003C3A41">
        <w:rPr>
          <w:rFonts w:eastAsia="Times New Roman"/>
        </w:rPr>
        <w:br/>
      </w:r>
      <w:r>
        <w:rPr>
          <w:rFonts w:eastAsia="Times New Roman"/>
        </w:rPr>
        <w:t>i standardów jakościowych obsługi odbiorców.</w:t>
      </w:r>
    </w:p>
    <w:p w14:paraId="31E9A2DD" w14:textId="6B19D98A" w:rsidR="00F27359" w:rsidRDefault="00F27359">
      <w:pPr>
        <w:tabs>
          <w:tab w:val="left" w:pos="1120"/>
        </w:tabs>
        <w:spacing w:line="234" w:lineRule="auto"/>
        <w:ind w:left="1140" w:hanging="1079"/>
        <w:jc w:val="both"/>
        <w:rPr>
          <w:rFonts w:eastAsia="Times New Roman"/>
        </w:rPr>
      </w:pPr>
    </w:p>
    <w:p w14:paraId="59BB7A7E" w14:textId="466D6E3E" w:rsidR="00F27359" w:rsidRDefault="00F27359">
      <w:pPr>
        <w:tabs>
          <w:tab w:val="left" w:pos="1120"/>
        </w:tabs>
        <w:spacing w:line="234" w:lineRule="auto"/>
        <w:ind w:left="1140" w:hanging="1079"/>
        <w:jc w:val="both"/>
        <w:rPr>
          <w:rFonts w:eastAsia="Times New Roman"/>
        </w:rPr>
      </w:pPr>
    </w:p>
    <w:p w14:paraId="6CAFA85F" w14:textId="77777777" w:rsidR="000C205C" w:rsidRDefault="000C205C">
      <w:pPr>
        <w:tabs>
          <w:tab w:val="left" w:pos="1120"/>
        </w:tabs>
        <w:spacing w:line="234" w:lineRule="auto"/>
        <w:ind w:left="1140" w:hanging="1079"/>
        <w:jc w:val="both"/>
        <w:rPr>
          <w:rFonts w:eastAsia="Times New Roman"/>
        </w:rPr>
      </w:pPr>
    </w:p>
    <w:p w14:paraId="57300F23" w14:textId="77777777" w:rsidR="000C205C" w:rsidRDefault="000C205C">
      <w:pPr>
        <w:tabs>
          <w:tab w:val="left" w:pos="1120"/>
        </w:tabs>
        <w:spacing w:line="234" w:lineRule="auto"/>
        <w:ind w:left="1140" w:hanging="1079"/>
        <w:jc w:val="both"/>
        <w:rPr>
          <w:rFonts w:eastAsia="Times New Roman"/>
        </w:rPr>
      </w:pPr>
    </w:p>
    <w:p w14:paraId="0A53C06F" w14:textId="77777777" w:rsidR="00572BA3" w:rsidRDefault="00572BA3" w:rsidP="00BF157A">
      <w:pPr>
        <w:pStyle w:val="Nagwek2"/>
        <w:ind w:left="709" w:hanging="709"/>
        <w:jc w:val="both"/>
        <w:rPr>
          <w:sz w:val="23"/>
        </w:rPr>
      </w:pPr>
      <w:bookmarkStart w:id="42" w:name="_Toc141963889"/>
      <w:r w:rsidRPr="00003C96">
        <w:rPr>
          <w:szCs w:val="24"/>
        </w:rPr>
        <w:lastRenderedPageBreak/>
        <w:t>IV.3.</w:t>
      </w:r>
      <w:r>
        <w:tab/>
      </w:r>
      <w:r>
        <w:rPr>
          <w:sz w:val="23"/>
        </w:rPr>
        <w:t xml:space="preserve">WPROWADZANIE PRZERW ORAZ OGRANICZEŃ W DOSTARCZANIU </w:t>
      </w:r>
      <w:r w:rsidR="003C3A41">
        <w:rPr>
          <w:sz w:val="23"/>
        </w:rPr>
        <w:br/>
      </w:r>
      <w:r>
        <w:rPr>
          <w:sz w:val="23"/>
        </w:rPr>
        <w:t>I POBORZE ENERGII ELEKTRYCZNEJ</w:t>
      </w:r>
      <w:bookmarkEnd w:id="42"/>
    </w:p>
    <w:p w14:paraId="4A0A26E2" w14:textId="77777777" w:rsidR="00572BA3" w:rsidRDefault="00572BA3">
      <w:pPr>
        <w:spacing w:line="308" w:lineRule="exact"/>
        <w:rPr>
          <w:rFonts w:eastAsia="Times New Roman"/>
        </w:rPr>
      </w:pPr>
    </w:p>
    <w:p w14:paraId="02828DAA" w14:textId="77777777" w:rsidR="00572BA3" w:rsidRDefault="00572BA3">
      <w:pPr>
        <w:tabs>
          <w:tab w:val="left" w:pos="1120"/>
        </w:tabs>
        <w:spacing w:line="0" w:lineRule="atLeast"/>
        <w:ind w:left="60"/>
        <w:rPr>
          <w:rFonts w:eastAsia="Times New Roman"/>
          <w:b/>
        </w:rPr>
      </w:pPr>
      <w:r>
        <w:rPr>
          <w:rFonts w:eastAsia="Times New Roman"/>
          <w:b/>
        </w:rPr>
        <w:t>IV.3.1.</w:t>
      </w:r>
      <w:r>
        <w:rPr>
          <w:rFonts w:eastAsia="Times New Roman"/>
        </w:rPr>
        <w:tab/>
      </w:r>
      <w:r>
        <w:rPr>
          <w:rFonts w:eastAsia="Times New Roman"/>
          <w:b/>
        </w:rPr>
        <w:t>Postanowienia ogólne</w:t>
      </w:r>
    </w:p>
    <w:p w14:paraId="658152E6" w14:textId="77777777" w:rsidR="00572BA3" w:rsidRDefault="00572BA3">
      <w:pPr>
        <w:spacing w:line="127" w:lineRule="exact"/>
        <w:rPr>
          <w:rFonts w:eastAsia="Times New Roman"/>
        </w:rPr>
      </w:pPr>
    </w:p>
    <w:p w14:paraId="20FF2D38" w14:textId="77777777" w:rsidR="00F23695" w:rsidRDefault="00572BA3" w:rsidP="00F23695">
      <w:pPr>
        <w:spacing w:before="127" w:line="249" w:lineRule="auto"/>
        <w:ind w:left="851" w:right="638" w:hanging="851"/>
        <w:jc w:val="both"/>
        <w:rPr>
          <w:rFonts w:cs="Times New Roman"/>
          <w:color w:val="000000"/>
          <w:szCs w:val="24"/>
        </w:rPr>
      </w:pPr>
      <w:r>
        <w:rPr>
          <w:rFonts w:eastAsia="Times New Roman"/>
          <w:sz w:val="23"/>
        </w:rPr>
        <w:t>IV.3.1.1.</w:t>
      </w:r>
      <w:r>
        <w:rPr>
          <w:rFonts w:eastAsia="Times New Roman"/>
          <w:sz w:val="23"/>
        </w:rPr>
        <w:tab/>
      </w:r>
      <w:r w:rsidR="00F23695">
        <w:rPr>
          <w:rFonts w:cs="Times New Roman"/>
          <w:color w:val="000000"/>
          <w:w w:val="105"/>
          <w:szCs w:val="24"/>
        </w:rPr>
        <w:t>Ograniczenia w dostarczaniu i poborze energii elektrycznej mogą być wprowadzone przez:</w:t>
      </w:r>
    </w:p>
    <w:p w14:paraId="78766E58" w14:textId="77777777" w:rsidR="00F23695" w:rsidRDefault="00F23695">
      <w:pPr>
        <w:pStyle w:val="Akapitzlist"/>
        <w:widowControl w:val="0"/>
        <w:numPr>
          <w:ilvl w:val="1"/>
          <w:numId w:val="289"/>
        </w:numPr>
        <w:autoSpaceDE w:val="0"/>
        <w:autoSpaceDN w:val="0"/>
        <w:spacing w:before="3" w:line="249" w:lineRule="auto"/>
        <w:ind w:left="1276" w:right="60" w:hanging="283"/>
        <w:jc w:val="both"/>
        <w:rPr>
          <w:rFonts w:cs="Times New Roman"/>
          <w:color w:val="000000"/>
          <w:szCs w:val="24"/>
        </w:rPr>
      </w:pPr>
      <w:r>
        <w:rPr>
          <w:rFonts w:cs="Times New Roman"/>
          <w:color w:val="000000"/>
          <w:w w:val="105"/>
          <w:szCs w:val="24"/>
        </w:rPr>
        <w:t>OSP, do czasu wejścia w życie przepisów, o których mowa w lit. b) jednak nie</w:t>
      </w:r>
      <w:r>
        <w:rPr>
          <w:rFonts w:cs="Times New Roman"/>
          <w:color w:val="000000"/>
          <w:spacing w:val="-42"/>
          <w:w w:val="105"/>
          <w:szCs w:val="24"/>
        </w:rPr>
        <w:t xml:space="preserve"> </w:t>
      </w:r>
      <w:r>
        <w:rPr>
          <w:rFonts w:cs="Times New Roman"/>
          <w:color w:val="000000"/>
          <w:w w:val="105"/>
          <w:szCs w:val="24"/>
        </w:rPr>
        <w:t>dłużej niż</w:t>
      </w:r>
      <w:r>
        <w:rPr>
          <w:rFonts w:cs="Times New Roman"/>
          <w:color w:val="000000"/>
          <w:spacing w:val="-9"/>
          <w:w w:val="105"/>
          <w:szCs w:val="24"/>
        </w:rPr>
        <w:t xml:space="preserve"> </w:t>
      </w:r>
      <w:r>
        <w:rPr>
          <w:rFonts w:cs="Times New Roman"/>
          <w:color w:val="000000"/>
          <w:w w:val="105"/>
          <w:szCs w:val="24"/>
        </w:rPr>
        <w:t>na</w:t>
      </w:r>
      <w:r>
        <w:rPr>
          <w:rFonts w:cs="Times New Roman"/>
          <w:color w:val="000000"/>
          <w:spacing w:val="-11"/>
          <w:w w:val="105"/>
          <w:szCs w:val="24"/>
        </w:rPr>
        <w:t xml:space="preserve"> </w:t>
      </w:r>
      <w:r>
        <w:rPr>
          <w:rFonts w:cs="Times New Roman"/>
          <w:color w:val="000000"/>
          <w:w w:val="105"/>
          <w:szCs w:val="24"/>
        </w:rPr>
        <w:t>okres</w:t>
      </w:r>
      <w:r>
        <w:rPr>
          <w:rFonts w:cs="Times New Roman"/>
          <w:color w:val="000000"/>
          <w:spacing w:val="-7"/>
          <w:w w:val="105"/>
          <w:szCs w:val="24"/>
        </w:rPr>
        <w:t xml:space="preserve"> </w:t>
      </w:r>
      <w:r>
        <w:rPr>
          <w:rFonts w:cs="Times New Roman"/>
          <w:color w:val="000000"/>
          <w:w w:val="105"/>
          <w:szCs w:val="24"/>
        </w:rPr>
        <w:t>72</w:t>
      </w:r>
      <w:r>
        <w:rPr>
          <w:rFonts w:cs="Times New Roman"/>
          <w:color w:val="000000"/>
          <w:spacing w:val="-9"/>
          <w:w w:val="105"/>
          <w:szCs w:val="24"/>
        </w:rPr>
        <w:t xml:space="preserve"> </w:t>
      </w:r>
      <w:r>
        <w:rPr>
          <w:rFonts w:cs="Times New Roman"/>
          <w:color w:val="000000"/>
          <w:w w:val="105"/>
          <w:szCs w:val="24"/>
        </w:rPr>
        <w:t>godzin</w:t>
      </w:r>
      <w:r>
        <w:rPr>
          <w:rFonts w:cs="Times New Roman"/>
          <w:color w:val="000000"/>
          <w:spacing w:val="-6"/>
          <w:w w:val="105"/>
          <w:szCs w:val="24"/>
        </w:rPr>
        <w:t xml:space="preserve"> </w:t>
      </w:r>
      <w:r>
        <w:rPr>
          <w:rFonts w:cs="Times New Roman"/>
          <w:color w:val="000000"/>
          <w:w w:val="105"/>
          <w:szCs w:val="24"/>
        </w:rPr>
        <w:t>-</w:t>
      </w:r>
      <w:r>
        <w:rPr>
          <w:rFonts w:cs="Times New Roman"/>
          <w:color w:val="000000"/>
          <w:spacing w:val="-10"/>
          <w:w w:val="105"/>
          <w:szCs w:val="24"/>
        </w:rPr>
        <w:t xml:space="preserve"> </w:t>
      </w:r>
      <w:r>
        <w:rPr>
          <w:rFonts w:cs="Times New Roman"/>
          <w:color w:val="000000"/>
          <w:w w:val="105"/>
          <w:szCs w:val="24"/>
        </w:rPr>
        <w:t>w</w:t>
      </w:r>
      <w:r>
        <w:rPr>
          <w:rFonts w:cs="Times New Roman"/>
          <w:color w:val="000000"/>
          <w:spacing w:val="-5"/>
          <w:w w:val="105"/>
          <w:szCs w:val="24"/>
        </w:rPr>
        <w:t xml:space="preserve"> </w:t>
      </w:r>
      <w:r>
        <w:rPr>
          <w:rFonts w:cs="Times New Roman"/>
          <w:color w:val="000000"/>
          <w:w w:val="105"/>
          <w:szCs w:val="24"/>
        </w:rPr>
        <w:t>przypadku</w:t>
      </w:r>
      <w:r>
        <w:rPr>
          <w:rFonts w:cs="Times New Roman"/>
          <w:color w:val="000000"/>
          <w:spacing w:val="7"/>
          <w:w w:val="105"/>
          <w:szCs w:val="24"/>
        </w:rPr>
        <w:t xml:space="preserve"> </w:t>
      </w:r>
      <w:r>
        <w:rPr>
          <w:rFonts w:cs="Times New Roman"/>
          <w:color w:val="000000"/>
          <w:w w:val="105"/>
          <w:szCs w:val="24"/>
        </w:rPr>
        <w:t>wystąpienia</w:t>
      </w:r>
      <w:r>
        <w:rPr>
          <w:rFonts w:cs="Times New Roman"/>
          <w:color w:val="000000"/>
          <w:spacing w:val="6"/>
          <w:w w:val="105"/>
          <w:szCs w:val="24"/>
        </w:rPr>
        <w:t xml:space="preserve"> </w:t>
      </w:r>
      <w:r>
        <w:rPr>
          <w:rFonts w:cs="Times New Roman"/>
          <w:color w:val="000000"/>
          <w:w w:val="105"/>
          <w:szCs w:val="24"/>
        </w:rPr>
        <w:t>zagrożenia</w:t>
      </w:r>
      <w:r>
        <w:rPr>
          <w:rFonts w:cs="Times New Roman"/>
          <w:color w:val="000000"/>
          <w:spacing w:val="10"/>
          <w:w w:val="105"/>
          <w:szCs w:val="24"/>
        </w:rPr>
        <w:t xml:space="preserve"> </w:t>
      </w:r>
      <w:r>
        <w:rPr>
          <w:rFonts w:cs="Times New Roman"/>
          <w:color w:val="000000"/>
          <w:w w:val="105"/>
          <w:szCs w:val="24"/>
        </w:rPr>
        <w:t>bezpieczeństwa</w:t>
      </w:r>
      <w:r>
        <w:rPr>
          <w:rFonts w:cs="Times New Roman"/>
          <w:color w:val="000000"/>
          <w:spacing w:val="-15"/>
          <w:w w:val="105"/>
          <w:szCs w:val="24"/>
        </w:rPr>
        <w:t xml:space="preserve"> </w:t>
      </w:r>
      <w:r>
        <w:rPr>
          <w:rFonts w:cs="Times New Roman"/>
          <w:color w:val="000000"/>
          <w:w w:val="105"/>
          <w:szCs w:val="24"/>
        </w:rPr>
        <w:t>dostaw energii</w:t>
      </w:r>
      <w:r>
        <w:rPr>
          <w:rFonts w:cs="Times New Roman"/>
          <w:color w:val="000000"/>
          <w:spacing w:val="11"/>
          <w:w w:val="105"/>
          <w:szCs w:val="24"/>
        </w:rPr>
        <w:t xml:space="preserve"> </w:t>
      </w:r>
      <w:r>
        <w:rPr>
          <w:rFonts w:cs="Times New Roman"/>
          <w:color w:val="000000"/>
          <w:w w:val="105"/>
          <w:szCs w:val="24"/>
        </w:rPr>
        <w:t>elektrycznej,</w:t>
      </w:r>
    </w:p>
    <w:p w14:paraId="72741E3A" w14:textId="5F2494A0" w:rsidR="00F23695" w:rsidRDefault="00F23695">
      <w:pPr>
        <w:pStyle w:val="Akapitzlist"/>
        <w:widowControl w:val="0"/>
        <w:numPr>
          <w:ilvl w:val="1"/>
          <w:numId w:val="289"/>
        </w:numPr>
        <w:autoSpaceDE w:val="0"/>
        <w:autoSpaceDN w:val="0"/>
        <w:spacing w:before="3" w:line="249" w:lineRule="auto"/>
        <w:ind w:left="1276" w:right="60" w:hanging="283"/>
        <w:jc w:val="both"/>
        <w:rPr>
          <w:rFonts w:cs="Times New Roman"/>
          <w:color w:val="000000"/>
          <w:szCs w:val="24"/>
        </w:rPr>
      </w:pPr>
      <w:r>
        <w:rPr>
          <w:rFonts w:cs="Times New Roman"/>
          <w:color w:val="000000"/>
          <w:w w:val="105"/>
          <w:szCs w:val="24"/>
        </w:rPr>
        <w:t xml:space="preserve">Radę Ministrów w drodze rozporządzenia, na podstawie </w:t>
      </w:r>
      <w:r>
        <w:rPr>
          <w:rFonts w:cs="Times New Roman"/>
          <w:color w:val="000000"/>
          <w:spacing w:val="3"/>
          <w:w w:val="105"/>
          <w:szCs w:val="24"/>
        </w:rPr>
        <w:t xml:space="preserve">art. </w:t>
      </w:r>
      <w:r>
        <w:rPr>
          <w:rFonts w:cs="Times New Roman"/>
          <w:color w:val="000000"/>
          <w:w w:val="105"/>
          <w:szCs w:val="24"/>
        </w:rPr>
        <w:t>11 ust.  7 Ustawy - w przypadkach, o których mowa w pkt</w:t>
      </w:r>
      <w:r>
        <w:rPr>
          <w:rFonts w:cs="Times New Roman"/>
          <w:color w:val="000000"/>
          <w:spacing w:val="10"/>
          <w:w w:val="105"/>
          <w:szCs w:val="24"/>
        </w:rPr>
        <w:t xml:space="preserve"> </w:t>
      </w:r>
      <w:r>
        <w:rPr>
          <w:rFonts w:cs="Times New Roman"/>
          <w:color w:val="000000"/>
          <w:w w:val="105"/>
          <w:szCs w:val="24"/>
        </w:rPr>
        <w:t>IV.3.2.1.</w:t>
      </w:r>
    </w:p>
    <w:p w14:paraId="2D563ED7" w14:textId="6BB88570" w:rsidR="00572BA3" w:rsidRDefault="00572BA3">
      <w:pPr>
        <w:tabs>
          <w:tab w:val="left" w:pos="1120"/>
        </w:tabs>
        <w:spacing w:line="250" w:lineRule="auto"/>
        <w:ind w:left="1140" w:hanging="1079"/>
        <w:jc w:val="both"/>
        <w:rPr>
          <w:rFonts w:eastAsia="Times New Roman"/>
          <w:sz w:val="23"/>
        </w:rPr>
      </w:pPr>
    </w:p>
    <w:p w14:paraId="60B57D32" w14:textId="21334F4F" w:rsidR="00572BA3" w:rsidRDefault="00572BA3">
      <w:pPr>
        <w:tabs>
          <w:tab w:val="left" w:pos="1120"/>
        </w:tabs>
        <w:spacing w:line="237" w:lineRule="auto"/>
        <w:ind w:left="1140" w:hanging="1079"/>
        <w:jc w:val="both"/>
        <w:rPr>
          <w:rFonts w:eastAsia="Times New Roman"/>
        </w:rPr>
      </w:pPr>
      <w:r>
        <w:rPr>
          <w:rFonts w:eastAsia="Times New Roman"/>
        </w:rPr>
        <w:t>IV.3.1.2.</w:t>
      </w:r>
      <w:r>
        <w:rPr>
          <w:rFonts w:eastAsia="Times New Roman"/>
        </w:rPr>
        <w:tab/>
        <w:t xml:space="preserve">W przypadku wystąpienia zagrożenia bezpieczeństwa dostaw energii elektrycznej, </w:t>
      </w:r>
      <w:r w:rsidR="004019E2">
        <w:rPr>
          <w:rFonts w:eastAsia="Times New Roman"/>
        </w:rPr>
        <w:br/>
      </w:r>
      <w:r>
        <w:rPr>
          <w:rFonts w:eastAsia="Times New Roman"/>
        </w:rPr>
        <w:t xml:space="preserve">w tym w przypadku wystąpienia awarii sieciowej lub awarii w systemie, OSP </w:t>
      </w:r>
      <w:r w:rsidR="00CD45EC">
        <w:rPr>
          <w:rFonts w:eastAsia="Times New Roman"/>
        </w:rPr>
        <w:br/>
      </w:r>
      <w:r>
        <w:rPr>
          <w:rFonts w:eastAsia="Times New Roman"/>
        </w:rPr>
        <w:t xml:space="preserve">i </w:t>
      </w:r>
      <w:r w:rsidR="00CD45EC">
        <w:rPr>
          <w:rFonts w:eastAsia="Times New Roman"/>
        </w:rPr>
        <w:t>OSDn za pośrednictwem OSDp</w:t>
      </w:r>
      <w:r>
        <w:rPr>
          <w:rFonts w:eastAsia="Times New Roman"/>
        </w:rPr>
        <w:t xml:space="preserve"> podejmuje we współpracy z użytkownikami systemu wszelkie możliwe działania przy wykorzystaniu dostępnych środków mających na celu usunięcie zagrożenia bezpieczeństwa dostaw energii elektrycznej</w:t>
      </w:r>
    </w:p>
    <w:p w14:paraId="2D90BEC2" w14:textId="77777777" w:rsidR="00572BA3" w:rsidRDefault="00572BA3">
      <w:pPr>
        <w:spacing w:line="6" w:lineRule="exact"/>
        <w:rPr>
          <w:rFonts w:eastAsia="Times New Roman"/>
        </w:rPr>
      </w:pPr>
    </w:p>
    <w:p w14:paraId="24F2D8EB" w14:textId="77777777" w:rsidR="00572BA3" w:rsidRDefault="00CD45EC" w:rsidP="00CD45EC">
      <w:pPr>
        <w:tabs>
          <w:tab w:val="left" w:pos="1260"/>
        </w:tabs>
        <w:spacing w:line="0" w:lineRule="atLeast"/>
        <w:ind w:left="1132"/>
        <w:rPr>
          <w:rFonts w:eastAsia="Times New Roman"/>
        </w:rPr>
      </w:pPr>
      <w:r>
        <w:rPr>
          <w:rFonts w:eastAsia="Times New Roman"/>
        </w:rPr>
        <w:t xml:space="preserve">i </w:t>
      </w:r>
      <w:r w:rsidR="00572BA3">
        <w:rPr>
          <w:rFonts w:eastAsia="Times New Roman"/>
        </w:rPr>
        <w:t>zapobieżenia jego negatywnym skutkom.</w:t>
      </w:r>
    </w:p>
    <w:p w14:paraId="13786AF1" w14:textId="77777777" w:rsidR="00572BA3" w:rsidRDefault="00572BA3">
      <w:pPr>
        <w:spacing w:line="132" w:lineRule="exact"/>
        <w:rPr>
          <w:rFonts w:eastAsia="Times New Roman"/>
        </w:rPr>
      </w:pPr>
    </w:p>
    <w:p w14:paraId="0DAB628A" w14:textId="77777777" w:rsidR="00572BA3" w:rsidRDefault="00CD45EC" w:rsidP="00100E30">
      <w:pPr>
        <w:spacing w:line="234" w:lineRule="auto"/>
        <w:ind w:left="1140"/>
        <w:jc w:val="both"/>
        <w:rPr>
          <w:rFonts w:eastAsia="Times New Roman"/>
        </w:rPr>
      </w:pPr>
      <w:r>
        <w:rPr>
          <w:rFonts w:eastAsia="Times New Roman"/>
        </w:rPr>
        <w:t xml:space="preserve">OSDn </w:t>
      </w:r>
      <w:r w:rsidR="00572BA3">
        <w:rPr>
          <w:rFonts w:eastAsia="Times New Roman"/>
        </w:rPr>
        <w:t>na polecenie OSP podejmuje w szczególności następujące działania:</w:t>
      </w:r>
    </w:p>
    <w:p w14:paraId="02F00A73" w14:textId="77777777" w:rsidR="00572BA3" w:rsidRDefault="00572BA3">
      <w:pPr>
        <w:spacing w:line="134" w:lineRule="exact"/>
        <w:rPr>
          <w:rFonts w:eastAsia="Times New Roman"/>
        </w:rPr>
      </w:pPr>
    </w:p>
    <w:p w14:paraId="4DCD87BD" w14:textId="77777777" w:rsidR="00572BA3" w:rsidRDefault="00572BA3">
      <w:pPr>
        <w:spacing w:line="133" w:lineRule="exact"/>
        <w:rPr>
          <w:rFonts w:eastAsia="Times New Roman"/>
        </w:rPr>
      </w:pPr>
    </w:p>
    <w:p w14:paraId="60DD2CB6" w14:textId="77777777" w:rsidR="00572BA3" w:rsidRDefault="00572BA3">
      <w:pPr>
        <w:numPr>
          <w:ilvl w:val="0"/>
          <w:numId w:val="91"/>
        </w:numPr>
        <w:tabs>
          <w:tab w:val="clear" w:pos="1626"/>
        </w:tabs>
        <w:spacing w:line="237" w:lineRule="auto"/>
        <w:ind w:left="1418" w:hanging="284"/>
        <w:jc w:val="both"/>
        <w:rPr>
          <w:rFonts w:eastAsia="Times New Roman"/>
        </w:rPr>
      </w:pPr>
      <w:r>
        <w:rPr>
          <w:rFonts w:eastAsia="Times New Roman"/>
        </w:rPr>
        <w:t xml:space="preserve">wydaje polecenia zmniejszenia ilości pobieranej energii elektrycznej przez odbiorców końcowych przyłączonych do sieci dystrybucyjnej na obszarze działania </w:t>
      </w:r>
      <w:r w:rsidR="0036776E">
        <w:rPr>
          <w:rFonts w:eastAsia="Times New Roman"/>
        </w:rPr>
        <w:t xml:space="preserve">OSDn </w:t>
      </w:r>
      <w:r>
        <w:rPr>
          <w:rFonts w:eastAsia="Times New Roman"/>
        </w:rPr>
        <w:t>lub przerywa zasilanie niezbędnej liczby odbiorców końcowych przyłączonych do sieci dystrybucyjnej na tym obszarze.</w:t>
      </w:r>
    </w:p>
    <w:p w14:paraId="200924CD" w14:textId="77777777" w:rsidR="00572BA3" w:rsidRDefault="00572BA3" w:rsidP="0036776E">
      <w:pPr>
        <w:tabs>
          <w:tab w:val="left" w:pos="1120"/>
        </w:tabs>
        <w:spacing w:line="233" w:lineRule="auto"/>
        <w:ind w:left="1140" w:hanging="1079"/>
        <w:jc w:val="both"/>
        <w:rPr>
          <w:rFonts w:eastAsia="Times New Roman"/>
        </w:rPr>
      </w:pPr>
      <w:r>
        <w:rPr>
          <w:rFonts w:eastAsia="Times New Roman"/>
        </w:rPr>
        <w:t>IV.3.1.3.</w:t>
      </w:r>
      <w:r>
        <w:rPr>
          <w:rFonts w:eastAsia="Times New Roman"/>
        </w:rPr>
        <w:tab/>
        <w:t xml:space="preserve">Ograniczenia w dostarczaniu i poborze energii elektrycznej wprowadza się </w:t>
      </w:r>
      <w:r w:rsidR="0036776E">
        <w:rPr>
          <w:rFonts w:eastAsia="Times New Roman"/>
        </w:rPr>
        <w:br/>
      </w:r>
      <w:r>
        <w:rPr>
          <w:rFonts w:eastAsia="Times New Roman"/>
        </w:rPr>
        <w:t>wg następujących trybów:</w:t>
      </w:r>
    </w:p>
    <w:p w14:paraId="19D5886B" w14:textId="77777777" w:rsidR="00572BA3" w:rsidRPr="005D430B" w:rsidRDefault="00572BA3">
      <w:pPr>
        <w:numPr>
          <w:ilvl w:val="0"/>
          <w:numId w:val="92"/>
        </w:numPr>
        <w:tabs>
          <w:tab w:val="left" w:pos="1500"/>
        </w:tabs>
        <w:spacing w:line="0" w:lineRule="atLeast"/>
        <w:ind w:left="1418" w:hanging="284"/>
        <w:jc w:val="both"/>
        <w:rPr>
          <w:rFonts w:eastAsia="Times New Roman"/>
        </w:rPr>
      </w:pPr>
      <w:r w:rsidRPr="005D430B">
        <w:rPr>
          <w:rFonts w:eastAsia="Times New Roman"/>
        </w:rPr>
        <w:t>tryb normalny, określony w pkt IV.3.2,</w:t>
      </w:r>
    </w:p>
    <w:p w14:paraId="2FDF3056" w14:textId="77777777" w:rsidR="00572BA3" w:rsidRPr="005D430B" w:rsidRDefault="00572BA3">
      <w:pPr>
        <w:numPr>
          <w:ilvl w:val="0"/>
          <w:numId w:val="92"/>
        </w:numPr>
        <w:tabs>
          <w:tab w:val="left" w:pos="1500"/>
        </w:tabs>
        <w:spacing w:line="0" w:lineRule="atLeast"/>
        <w:ind w:left="1418" w:hanging="284"/>
        <w:jc w:val="both"/>
        <w:rPr>
          <w:rFonts w:eastAsia="Times New Roman"/>
        </w:rPr>
      </w:pPr>
      <w:r w:rsidRPr="005D430B">
        <w:rPr>
          <w:rFonts w:eastAsia="Times New Roman"/>
        </w:rPr>
        <w:t>tryb normalny na polecenie OSP, określony w pkt IV.3.3,</w:t>
      </w:r>
    </w:p>
    <w:p w14:paraId="204E2750" w14:textId="77777777" w:rsidR="00572BA3" w:rsidRDefault="00572BA3">
      <w:pPr>
        <w:numPr>
          <w:ilvl w:val="0"/>
          <w:numId w:val="92"/>
        </w:numPr>
        <w:tabs>
          <w:tab w:val="left" w:pos="1500"/>
        </w:tabs>
        <w:spacing w:line="0" w:lineRule="atLeast"/>
        <w:ind w:left="1418" w:hanging="284"/>
        <w:jc w:val="both"/>
        <w:rPr>
          <w:rFonts w:eastAsia="Times New Roman"/>
        </w:rPr>
      </w:pPr>
      <w:r>
        <w:rPr>
          <w:rFonts w:eastAsia="Times New Roman"/>
        </w:rPr>
        <w:t>tryb awaryjny, określony w pkt IV.3.4,</w:t>
      </w:r>
    </w:p>
    <w:p w14:paraId="7146FA42" w14:textId="77777777" w:rsidR="00572BA3" w:rsidRDefault="00572BA3">
      <w:pPr>
        <w:numPr>
          <w:ilvl w:val="0"/>
          <w:numId w:val="92"/>
        </w:numPr>
        <w:tabs>
          <w:tab w:val="left" w:pos="1500"/>
        </w:tabs>
        <w:spacing w:line="0" w:lineRule="atLeast"/>
        <w:ind w:left="1418" w:hanging="284"/>
        <w:jc w:val="both"/>
        <w:rPr>
          <w:rFonts w:eastAsia="Times New Roman"/>
        </w:rPr>
      </w:pPr>
      <w:r>
        <w:rPr>
          <w:rFonts w:eastAsia="Times New Roman"/>
        </w:rPr>
        <w:t>tryb automatyczny, określony w pkt IV.3.5,</w:t>
      </w:r>
    </w:p>
    <w:p w14:paraId="4AFB99C8" w14:textId="77777777" w:rsidR="00572BA3" w:rsidRDefault="00572BA3">
      <w:pPr>
        <w:numPr>
          <w:ilvl w:val="0"/>
          <w:numId w:val="92"/>
        </w:numPr>
        <w:tabs>
          <w:tab w:val="left" w:pos="1500"/>
        </w:tabs>
        <w:spacing w:line="0" w:lineRule="atLeast"/>
        <w:ind w:left="1418" w:hanging="284"/>
        <w:jc w:val="both"/>
        <w:rPr>
          <w:rFonts w:eastAsia="Times New Roman"/>
        </w:rPr>
      </w:pPr>
      <w:r>
        <w:rPr>
          <w:rFonts w:eastAsia="Times New Roman"/>
        </w:rPr>
        <w:t>tryb ograniczenia poziomu napięć, określony w pkt IV.3.6.</w:t>
      </w:r>
    </w:p>
    <w:p w14:paraId="31476566" w14:textId="77777777" w:rsidR="00572BA3" w:rsidRDefault="00572BA3">
      <w:pPr>
        <w:spacing w:line="330" w:lineRule="exact"/>
        <w:rPr>
          <w:rFonts w:eastAsia="Times New Roman"/>
        </w:rPr>
      </w:pPr>
    </w:p>
    <w:p w14:paraId="7AC1B366" w14:textId="1C61391E" w:rsidR="00572BA3" w:rsidRDefault="00572BA3">
      <w:pPr>
        <w:tabs>
          <w:tab w:val="left" w:pos="1120"/>
        </w:tabs>
        <w:spacing w:line="0" w:lineRule="atLeast"/>
        <w:ind w:left="60"/>
        <w:rPr>
          <w:rFonts w:eastAsia="Times New Roman"/>
          <w:b/>
        </w:rPr>
      </w:pPr>
      <w:r>
        <w:rPr>
          <w:rFonts w:eastAsia="Times New Roman"/>
          <w:b/>
        </w:rPr>
        <w:t>IV.3.2.</w:t>
      </w:r>
      <w:r>
        <w:rPr>
          <w:rFonts w:eastAsia="Times New Roman"/>
        </w:rPr>
        <w:tab/>
      </w:r>
      <w:r>
        <w:rPr>
          <w:rFonts w:eastAsia="Times New Roman"/>
          <w:b/>
        </w:rPr>
        <w:t>Tryb normalny.</w:t>
      </w:r>
    </w:p>
    <w:p w14:paraId="58D8EFEA" w14:textId="1578D0CE" w:rsidR="007B5823" w:rsidRDefault="007B5823">
      <w:pPr>
        <w:tabs>
          <w:tab w:val="left" w:pos="1120"/>
        </w:tabs>
        <w:spacing w:line="0" w:lineRule="atLeast"/>
        <w:ind w:left="60"/>
        <w:rPr>
          <w:rFonts w:eastAsia="Times New Roman"/>
          <w:b/>
        </w:rPr>
      </w:pPr>
    </w:p>
    <w:p w14:paraId="6F75AD5F" w14:textId="77777777" w:rsidR="007B5823" w:rsidRPr="007B5823" w:rsidRDefault="007B5823" w:rsidP="007B5823">
      <w:pPr>
        <w:pStyle w:val="Akapitzlist"/>
        <w:widowControl w:val="0"/>
        <w:autoSpaceDE w:val="0"/>
        <w:autoSpaceDN w:val="0"/>
        <w:spacing w:before="185"/>
        <w:ind w:left="993" w:right="60" w:hanging="993"/>
        <w:jc w:val="both"/>
        <w:rPr>
          <w:rFonts w:cs="Times New Roman"/>
          <w:color w:val="000000"/>
          <w:szCs w:val="24"/>
        </w:rPr>
      </w:pPr>
      <w:r w:rsidRPr="007B5823">
        <w:rPr>
          <w:rFonts w:cs="Times New Roman"/>
          <w:color w:val="000000"/>
          <w:szCs w:val="24"/>
        </w:rPr>
        <w:t>IV.3.2.1. Ograniczenia w trybie normalnym wprowadza Rada Ministrów, w drodze rozporządzenia, wydanego na podstawie Ustawy, na wniosek ministra właściwego do spraw energii. Ograniczenia w dostarczaniu i poborze energii elektrycznej wprowadzane są na czas oznaczony na terytorium Rzeczypospolitej Polskiej lub jego części, w przypadku wystąpienia</w:t>
      </w:r>
      <w:r w:rsidRPr="007B5823">
        <w:rPr>
          <w:rFonts w:cs="Times New Roman"/>
          <w:color w:val="000000"/>
          <w:spacing w:val="-20"/>
          <w:szCs w:val="24"/>
        </w:rPr>
        <w:t xml:space="preserve"> </w:t>
      </w:r>
      <w:r w:rsidRPr="007B5823">
        <w:rPr>
          <w:rFonts w:cs="Times New Roman"/>
          <w:color w:val="000000"/>
          <w:szCs w:val="24"/>
        </w:rPr>
        <w:t>zagrożenia:</w:t>
      </w:r>
    </w:p>
    <w:p w14:paraId="1088FD71" w14:textId="570B1B68" w:rsidR="007B5823" w:rsidRPr="007B5823" w:rsidRDefault="007B5823">
      <w:pPr>
        <w:pStyle w:val="Akapitzlist"/>
        <w:widowControl w:val="0"/>
        <w:numPr>
          <w:ilvl w:val="0"/>
          <w:numId w:val="290"/>
        </w:numPr>
        <w:autoSpaceDE w:val="0"/>
        <w:autoSpaceDN w:val="0"/>
        <w:spacing w:before="153"/>
        <w:ind w:left="1276" w:right="60" w:hanging="283"/>
        <w:jc w:val="both"/>
        <w:rPr>
          <w:rFonts w:cs="Times New Roman"/>
          <w:color w:val="000000"/>
          <w:szCs w:val="24"/>
        </w:rPr>
      </w:pPr>
      <w:r w:rsidRPr="007B5823">
        <w:rPr>
          <w:rFonts w:cs="Times New Roman"/>
          <w:color w:val="000000"/>
          <w:szCs w:val="24"/>
        </w:rPr>
        <w:t>bezpieczeństwa</w:t>
      </w:r>
      <w:r w:rsidRPr="007B5823">
        <w:rPr>
          <w:rFonts w:cs="Times New Roman"/>
          <w:color w:val="000000"/>
          <w:szCs w:val="24"/>
        </w:rPr>
        <w:tab/>
        <w:t>energetycznego</w:t>
      </w:r>
      <w:r w:rsidR="007A42DD">
        <w:rPr>
          <w:rFonts w:cs="Times New Roman"/>
          <w:color w:val="000000"/>
          <w:szCs w:val="24"/>
        </w:rPr>
        <w:t xml:space="preserve"> </w:t>
      </w:r>
      <w:r w:rsidRPr="007B5823">
        <w:rPr>
          <w:rFonts w:cs="Times New Roman"/>
          <w:color w:val="000000"/>
          <w:szCs w:val="24"/>
        </w:rPr>
        <w:t>Rzeczypospolitej</w:t>
      </w:r>
      <w:r w:rsidR="007A42DD">
        <w:rPr>
          <w:rFonts w:cs="Times New Roman"/>
          <w:color w:val="000000"/>
          <w:szCs w:val="24"/>
        </w:rPr>
        <w:t xml:space="preserve"> </w:t>
      </w:r>
      <w:r w:rsidRPr="007B5823">
        <w:rPr>
          <w:rFonts w:cs="Times New Roman"/>
          <w:color w:val="000000"/>
          <w:szCs w:val="24"/>
        </w:rPr>
        <w:t>Polskiej</w:t>
      </w:r>
      <w:r w:rsidR="007A42DD">
        <w:rPr>
          <w:rFonts w:cs="Times New Roman"/>
          <w:color w:val="000000"/>
          <w:szCs w:val="24"/>
        </w:rPr>
        <w:t xml:space="preserve"> </w:t>
      </w:r>
      <w:r w:rsidRPr="007B5823">
        <w:rPr>
          <w:rFonts w:cs="Times New Roman"/>
          <w:color w:val="000000"/>
          <w:szCs w:val="24"/>
        </w:rPr>
        <w:t>polegającego</w:t>
      </w:r>
      <w:r w:rsidR="007A42DD">
        <w:rPr>
          <w:rFonts w:cs="Times New Roman"/>
          <w:color w:val="000000"/>
          <w:szCs w:val="24"/>
        </w:rPr>
        <w:t xml:space="preserve"> </w:t>
      </w:r>
      <w:r w:rsidRPr="007B5823">
        <w:rPr>
          <w:rFonts w:cs="Times New Roman"/>
          <w:color w:val="000000"/>
          <w:spacing w:val="-9"/>
          <w:szCs w:val="24"/>
        </w:rPr>
        <w:t xml:space="preserve">na </w:t>
      </w:r>
      <w:r w:rsidRPr="007B5823">
        <w:rPr>
          <w:rFonts w:cs="Times New Roman"/>
          <w:color w:val="000000"/>
          <w:szCs w:val="24"/>
        </w:rPr>
        <w:t>długookresowym braku równowagi na rynku paliwowo -</w:t>
      </w:r>
      <w:r w:rsidRPr="007B5823">
        <w:rPr>
          <w:rFonts w:cs="Times New Roman"/>
          <w:color w:val="000000"/>
          <w:spacing w:val="29"/>
          <w:szCs w:val="24"/>
        </w:rPr>
        <w:t xml:space="preserve"> </w:t>
      </w:r>
      <w:r w:rsidRPr="007B5823">
        <w:rPr>
          <w:rFonts w:cs="Times New Roman"/>
          <w:color w:val="000000"/>
          <w:szCs w:val="24"/>
        </w:rPr>
        <w:t>energetycznym,</w:t>
      </w:r>
    </w:p>
    <w:p w14:paraId="726F8920" w14:textId="77777777" w:rsidR="007B5823" w:rsidRPr="007B5823" w:rsidRDefault="007B5823">
      <w:pPr>
        <w:pStyle w:val="Akapitzlist"/>
        <w:widowControl w:val="0"/>
        <w:numPr>
          <w:ilvl w:val="0"/>
          <w:numId w:val="290"/>
        </w:numPr>
        <w:tabs>
          <w:tab w:val="left" w:pos="1276"/>
        </w:tabs>
        <w:autoSpaceDE w:val="0"/>
        <w:autoSpaceDN w:val="0"/>
        <w:spacing w:before="115"/>
        <w:ind w:left="1276" w:right="60" w:hanging="283"/>
        <w:jc w:val="both"/>
        <w:rPr>
          <w:rFonts w:cs="Times New Roman"/>
          <w:color w:val="000000"/>
          <w:szCs w:val="24"/>
        </w:rPr>
      </w:pPr>
      <w:r w:rsidRPr="007B5823">
        <w:rPr>
          <w:rFonts w:cs="Times New Roman"/>
          <w:color w:val="000000"/>
          <w:szCs w:val="24"/>
        </w:rPr>
        <w:t>bezpieczeństwa dostaw energii</w:t>
      </w:r>
      <w:r w:rsidRPr="007B5823">
        <w:rPr>
          <w:rFonts w:cs="Times New Roman"/>
          <w:color w:val="000000"/>
          <w:spacing w:val="20"/>
          <w:szCs w:val="24"/>
        </w:rPr>
        <w:t xml:space="preserve"> </w:t>
      </w:r>
      <w:r w:rsidRPr="007B5823">
        <w:rPr>
          <w:rFonts w:cs="Times New Roman"/>
          <w:color w:val="000000"/>
          <w:szCs w:val="24"/>
        </w:rPr>
        <w:t>elektrycznej,</w:t>
      </w:r>
    </w:p>
    <w:p w14:paraId="3BEC8FDB" w14:textId="77777777" w:rsidR="007B5823" w:rsidRPr="007B5823" w:rsidRDefault="007B5823">
      <w:pPr>
        <w:pStyle w:val="Akapitzlist"/>
        <w:widowControl w:val="0"/>
        <w:numPr>
          <w:ilvl w:val="0"/>
          <w:numId w:val="290"/>
        </w:numPr>
        <w:tabs>
          <w:tab w:val="left" w:pos="1276"/>
        </w:tabs>
        <w:autoSpaceDE w:val="0"/>
        <w:autoSpaceDN w:val="0"/>
        <w:spacing w:before="115"/>
        <w:ind w:left="1276" w:right="60" w:hanging="283"/>
        <w:jc w:val="both"/>
        <w:rPr>
          <w:rFonts w:cs="Times New Roman"/>
          <w:color w:val="000000"/>
          <w:szCs w:val="24"/>
        </w:rPr>
      </w:pPr>
      <w:r w:rsidRPr="007B5823">
        <w:rPr>
          <w:rFonts w:cs="Times New Roman"/>
          <w:color w:val="000000"/>
          <w:szCs w:val="24"/>
        </w:rPr>
        <w:t>bezpieczeństwa</w:t>
      </w:r>
      <w:r w:rsidRPr="007B5823">
        <w:rPr>
          <w:rFonts w:cs="Times New Roman"/>
          <w:color w:val="000000"/>
          <w:spacing w:val="-7"/>
          <w:szCs w:val="24"/>
        </w:rPr>
        <w:t xml:space="preserve"> </w:t>
      </w:r>
      <w:r w:rsidRPr="007B5823">
        <w:rPr>
          <w:rFonts w:cs="Times New Roman"/>
          <w:color w:val="000000"/>
          <w:szCs w:val="24"/>
        </w:rPr>
        <w:t>osób,</w:t>
      </w:r>
    </w:p>
    <w:p w14:paraId="7D578884" w14:textId="77777777" w:rsidR="007B5823" w:rsidRPr="007B5823" w:rsidRDefault="007B5823">
      <w:pPr>
        <w:pStyle w:val="Akapitzlist"/>
        <w:widowControl w:val="0"/>
        <w:numPr>
          <w:ilvl w:val="0"/>
          <w:numId w:val="290"/>
        </w:numPr>
        <w:tabs>
          <w:tab w:val="left" w:pos="1276"/>
        </w:tabs>
        <w:autoSpaceDE w:val="0"/>
        <w:autoSpaceDN w:val="0"/>
        <w:spacing w:before="115"/>
        <w:ind w:left="1276" w:right="60" w:hanging="283"/>
        <w:jc w:val="both"/>
        <w:rPr>
          <w:rFonts w:cs="Times New Roman"/>
          <w:color w:val="000000"/>
          <w:szCs w:val="24"/>
        </w:rPr>
      </w:pPr>
      <w:r w:rsidRPr="007B5823">
        <w:rPr>
          <w:rFonts w:cs="Times New Roman"/>
          <w:color w:val="000000"/>
          <w:szCs w:val="24"/>
        </w:rPr>
        <w:t>wystąpienia znacznych strat</w:t>
      </w:r>
      <w:r w:rsidRPr="007B5823">
        <w:rPr>
          <w:rFonts w:cs="Times New Roman"/>
          <w:color w:val="000000"/>
          <w:spacing w:val="-7"/>
          <w:szCs w:val="24"/>
        </w:rPr>
        <w:t xml:space="preserve"> </w:t>
      </w:r>
      <w:r w:rsidRPr="007B5823">
        <w:rPr>
          <w:rFonts w:cs="Times New Roman"/>
          <w:color w:val="000000"/>
          <w:szCs w:val="24"/>
        </w:rPr>
        <w:t>materialnych.</w:t>
      </w:r>
    </w:p>
    <w:p w14:paraId="221D267E" w14:textId="77777777" w:rsidR="007B5823" w:rsidRPr="007B5823" w:rsidRDefault="007B5823" w:rsidP="0074109F">
      <w:pPr>
        <w:pStyle w:val="Tekstpodstawowy"/>
        <w:spacing w:before="0" w:line="240" w:lineRule="auto"/>
        <w:ind w:left="992" w:right="62" w:hanging="2"/>
        <w:rPr>
          <w:szCs w:val="24"/>
        </w:rPr>
      </w:pPr>
      <w:r w:rsidRPr="007B5823">
        <w:rPr>
          <w:szCs w:val="24"/>
        </w:rPr>
        <w:lastRenderedPageBreak/>
        <w:t>Ograniczenia w dostarczaniu i poborze energii elektrycznej mogą być wprowadzane po wyczerpaniu, przez OSP i OSD we współpracy z zainteresowanymi podmiotami, wszelkich dostępnych środków, o których mowa w IRiESP, służących do zapewnienia prawidłowego funkcjonowania systemu elektroenergetycznego, przy dochowaniu należytej staranności.</w:t>
      </w:r>
    </w:p>
    <w:p w14:paraId="4FAF4820" w14:textId="77777777" w:rsidR="007B5823" w:rsidRPr="007B5823" w:rsidRDefault="007B5823" w:rsidP="0074109F">
      <w:pPr>
        <w:pStyle w:val="Akapitzlist"/>
        <w:widowControl w:val="0"/>
        <w:autoSpaceDE w:val="0"/>
        <w:autoSpaceDN w:val="0"/>
        <w:ind w:left="992" w:right="62" w:hanging="993"/>
        <w:jc w:val="both"/>
        <w:rPr>
          <w:rFonts w:cs="Times New Roman"/>
          <w:color w:val="000000"/>
          <w:szCs w:val="24"/>
        </w:rPr>
      </w:pPr>
      <w:r w:rsidRPr="007B5823">
        <w:rPr>
          <w:rFonts w:cs="Times New Roman"/>
          <w:color w:val="000000"/>
          <w:szCs w:val="24"/>
        </w:rPr>
        <w:t>IV.3.2.2. Wniosek,</w:t>
      </w:r>
      <w:r w:rsidRPr="007B5823">
        <w:rPr>
          <w:rFonts w:cs="Times New Roman"/>
          <w:color w:val="000000"/>
          <w:spacing w:val="-18"/>
          <w:szCs w:val="24"/>
        </w:rPr>
        <w:t xml:space="preserve"> </w:t>
      </w:r>
      <w:r w:rsidRPr="007B5823">
        <w:rPr>
          <w:rFonts w:cs="Times New Roman"/>
          <w:color w:val="000000"/>
          <w:szCs w:val="24"/>
        </w:rPr>
        <w:t>o</w:t>
      </w:r>
      <w:r w:rsidRPr="007B5823">
        <w:rPr>
          <w:rFonts w:cs="Times New Roman"/>
          <w:color w:val="000000"/>
          <w:spacing w:val="-15"/>
          <w:szCs w:val="24"/>
        </w:rPr>
        <w:t xml:space="preserve"> </w:t>
      </w:r>
      <w:r w:rsidRPr="007B5823">
        <w:rPr>
          <w:rFonts w:cs="Times New Roman"/>
          <w:color w:val="000000"/>
          <w:szCs w:val="24"/>
        </w:rPr>
        <w:t>którym</w:t>
      </w:r>
      <w:r w:rsidRPr="007B5823">
        <w:rPr>
          <w:rFonts w:cs="Times New Roman"/>
          <w:color w:val="000000"/>
          <w:spacing w:val="-8"/>
          <w:szCs w:val="24"/>
        </w:rPr>
        <w:t xml:space="preserve"> </w:t>
      </w:r>
      <w:r w:rsidRPr="007B5823">
        <w:rPr>
          <w:rFonts w:cs="Times New Roman"/>
          <w:color w:val="000000"/>
          <w:szCs w:val="24"/>
        </w:rPr>
        <w:t>mowa</w:t>
      </w:r>
      <w:r w:rsidRPr="007B5823">
        <w:rPr>
          <w:rFonts w:cs="Times New Roman"/>
          <w:color w:val="000000"/>
          <w:spacing w:val="-14"/>
          <w:szCs w:val="24"/>
        </w:rPr>
        <w:t xml:space="preserve"> </w:t>
      </w:r>
      <w:r w:rsidRPr="007B5823">
        <w:rPr>
          <w:rFonts w:cs="Times New Roman"/>
          <w:color w:val="000000"/>
          <w:szCs w:val="24"/>
        </w:rPr>
        <w:t>w</w:t>
      </w:r>
      <w:r w:rsidRPr="007B5823">
        <w:rPr>
          <w:rFonts w:cs="Times New Roman"/>
          <w:color w:val="000000"/>
          <w:spacing w:val="-19"/>
          <w:szCs w:val="24"/>
        </w:rPr>
        <w:t xml:space="preserve"> </w:t>
      </w:r>
      <w:r w:rsidRPr="007B5823">
        <w:rPr>
          <w:rFonts w:cs="Times New Roman"/>
          <w:color w:val="000000"/>
          <w:szCs w:val="24"/>
        </w:rPr>
        <w:t>pkt</w:t>
      </w:r>
      <w:r w:rsidRPr="007B5823">
        <w:rPr>
          <w:rFonts w:cs="Times New Roman"/>
          <w:color w:val="000000"/>
          <w:spacing w:val="-16"/>
          <w:szCs w:val="24"/>
        </w:rPr>
        <w:t xml:space="preserve"> </w:t>
      </w:r>
      <w:r w:rsidRPr="007B5823">
        <w:rPr>
          <w:rFonts w:cs="Times New Roman"/>
          <w:color w:val="000000"/>
          <w:szCs w:val="24"/>
        </w:rPr>
        <w:t>IV.3.2.1.,</w:t>
      </w:r>
      <w:r w:rsidRPr="007B5823">
        <w:rPr>
          <w:rFonts w:cs="Times New Roman"/>
          <w:color w:val="000000"/>
          <w:spacing w:val="-20"/>
          <w:szCs w:val="24"/>
        </w:rPr>
        <w:t xml:space="preserve"> </w:t>
      </w:r>
      <w:r w:rsidRPr="007B5823">
        <w:rPr>
          <w:rFonts w:cs="Times New Roman"/>
          <w:color w:val="000000"/>
          <w:szCs w:val="24"/>
        </w:rPr>
        <w:t>sporządza</w:t>
      </w:r>
      <w:r w:rsidRPr="007B5823">
        <w:rPr>
          <w:rFonts w:cs="Times New Roman"/>
          <w:color w:val="000000"/>
          <w:spacing w:val="-6"/>
          <w:szCs w:val="24"/>
        </w:rPr>
        <w:t xml:space="preserve"> </w:t>
      </w:r>
      <w:r w:rsidRPr="007B5823">
        <w:rPr>
          <w:rFonts w:cs="Times New Roman"/>
          <w:color w:val="000000"/>
          <w:szCs w:val="24"/>
        </w:rPr>
        <w:t>minister</w:t>
      </w:r>
      <w:r w:rsidRPr="007B5823">
        <w:rPr>
          <w:rFonts w:cs="Times New Roman"/>
          <w:color w:val="000000"/>
          <w:spacing w:val="-12"/>
          <w:szCs w:val="24"/>
        </w:rPr>
        <w:t xml:space="preserve"> </w:t>
      </w:r>
      <w:r w:rsidRPr="007B5823">
        <w:rPr>
          <w:rFonts w:cs="Times New Roman"/>
          <w:color w:val="000000"/>
          <w:szCs w:val="24"/>
        </w:rPr>
        <w:t>właściwy</w:t>
      </w:r>
      <w:r w:rsidRPr="007B5823">
        <w:rPr>
          <w:rFonts w:cs="Times New Roman"/>
          <w:color w:val="000000"/>
          <w:spacing w:val="-9"/>
          <w:szCs w:val="24"/>
        </w:rPr>
        <w:t xml:space="preserve"> </w:t>
      </w:r>
      <w:r w:rsidRPr="007B5823">
        <w:rPr>
          <w:rFonts w:cs="Times New Roman"/>
          <w:color w:val="000000"/>
          <w:szCs w:val="24"/>
        </w:rPr>
        <w:t>do</w:t>
      </w:r>
      <w:r w:rsidRPr="007B5823">
        <w:rPr>
          <w:rFonts w:cs="Times New Roman"/>
          <w:color w:val="000000"/>
          <w:spacing w:val="-14"/>
          <w:szCs w:val="24"/>
        </w:rPr>
        <w:t xml:space="preserve"> </w:t>
      </w:r>
      <w:r w:rsidRPr="007B5823">
        <w:rPr>
          <w:rFonts w:cs="Times New Roman"/>
          <w:color w:val="000000"/>
          <w:szCs w:val="24"/>
        </w:rPr>
        <w:t>spraw energii z własnej inicjatywy lub na podstawie zgłoszenia</w:t>
      </w:r>
      <w:r w:rsidRPr="007B5823">
        <w:rPr>
          <w:rFonts w:cs="Times New Roman"/>
          <w:color w:val="000000"/>
          <w:spacing w:val="18"/>
          <w:szCs w:val="24"/>
        </w:rPr>
        <w:t xml:space="preserve"> </w:t>
      </w:r>
      <w:r w:rsidRPr="007B5823">
        <w:rPr>
          <w:rFonts w:cs="Times New Roman"/>
          <w:color w:val="000000"/>
          <w:szCs w:val="24"/>
        </w:rPr>
        <w:t>OSP.</w:t>
      </w:r>
    </w:p>
    <w:p w14:paraId="126ED602" w14:textId="77777777" w:rsidR="007B5823" w:rsidRPr="007B5823" w:rsidRDefault="007B5823" w:rsidP="0074109F">
      <w:pPr>
        <w:pStyle w:val="Akapitzlist"/>
        <w:widowControl w:val="0"/>
        <w:tabs>
          <w:tab w:val="left" w:pos="1483"/>
        </w:tabs>
        <w:autoSpaceDE w:val="0"/>
        <w:autoSpaceDN w:val="0"/>
        <w:spacing w:line="259" w:lineRule="auto"/>
        <w:ind w:left="992" w:right="62" w:hanging="993"/>
        <w:jc w:val="both"/>
        <w:rPr>
          <w:rFonts w:cs="Times New Roman"/>
          <w:color w:val="000000"/>
          <w:szCs w:val="24"/>
        </w:rPr>
      </w:pPr>
      <w:r w:rsidRPr="007B5823">
        <w:rPr>
          <w:rFonts w:cs="Times New Roman"/>
          <w:color w:val="000000"/>
          <w:szCs w:val="24"/>
        </w:rPr>
        <w:t xml:space="preserve">IV.3.2.3. OSP we współpracy z OSDn opracowuje plany wprowadzania ograniczeń </w:t>
      </w:r>
      <w:r w:rsidRPr="007B5823">
        <w:rPr>
          <w:rFonts w:cs="Times New Roman"/>
          <w:color w:val="000000"/>
          <w:szCs w:val="24"/>
        </w:rPr>
        <w:br/>
        <w:t>w dostarczaniu i poborze energii elektrycznej na wypadek wystąpienia okoliczności powołanych w pkt IV.3.2.1. Ograniczenia w dostarczaniu i poborze energii elektrycznej nie mogą</w:t>
      </w:r>
      <w:r w:rsidRPr="007B5823">
        <w:rPr>
          <w:rFonts w:cs="Times New Roman"/>
          <w:color w:val="000000"/>
          <w:spacing w:val="-13"/>
          <w:szCs w:val="24"/>
        </w:rPr>
        <w:t xml:space="preserve"> </w:t>
      </w:r>
      <w:r w:rsidRPr="007B5823">
        <w:rPr>
          <w:rFonts w:cs="Times New Roman"/>
          <w:color w:val="000000"/>
          <w:szCs w:val="24"/>
        </w:rPr>
        <w:t>powodować:</w:t>
      </w:r>
    </w:p>
    <w:p w14:paraId="2444F0AE" w14:textId="77777777" w:rsidR="007B5823" w:rsidRPr="007B5823" w:rsidRDefault="007B5823">
      <w:pPr>
        <w:pStyle w:val="Akapitzlist"/>
        <w:widowControl w:val="0"/>
        <w:numPr>
          <w:ilvl w:val="0"/>
          <w:numId w:val="291"/>
        </w:numPr>
        <w:tabs>
          <w:tab w:val="left" w:pos="1276"/>
        </w:tabs>
        <w:autoSpaceDE w:val="0"/>
        <w:autoSpaceDN w:val="0"/>
        <w:spacing w:before="1"/>
        <w:ind w:left="1276" w:right="60" w:hanging="283"/>
        <w:jc w:val="both"/>
        <w:rPr>
          <w:rFonts w:cs="Times New Roman"/>
          <w:color w:val="000000"/>
          <w:szCs w:val="24"/>
        </w:rPr>
      </w:pPr>
      <w:r w:rsidRPr="007B5823">
        <w:rPr>
          <w:rFonts w:cs="Times New Roman"/>
          <w:color w:val="000000"/>
          <w:szCs w:val="24"/>
        </w:rPr>
        <w:t>bezpośredniego zagrożenia życia lub zdrowia</w:t>
      </w:r>
      <w:r w:rsidRPr="007B5823">
        <w:rPr>
          <w:rFonts w:cs="Times New Roman"/>
          <w:color w:val="000000"/>
          <w:spacing w:val="33"/>
          <w:szCs w:val="24"/>
        </w:rPr>
        <w:t xml:space="preserve"> </w:t>
      </w:r>
      <w:r w:rsidRPr="007B5823">
        <w:rPr>
          <w:rFonts w:cs="Times New Roman"/>
          <w:color w:val="000000"/>
          <w:spacing w:val="-6"/>
          <w:szCs w:val="24"/>
        </w:rPr>
        <w:t>osób,</w:t>
      </w:r>
    </w:p>
    <w:p w14:paraId="03D2018E" w14:textId="77777777" w:rsidR="007B5823" w:rsidRPr="007B5823" w:rsidRDefault="007B5823">
      <w:pPr>
        <w:pStyle w:val="Akapitzlist"/>
        <w:widowControl w:val="0"/>
        <w:numPr>
          <w:ilvl w:val="0"/>
          <w:numId w:val="291"/>
        </w:numPr>
        <w:tabs>
          <w:tab w:val="left" w:pos="1276"/>
        </w:tabs>
        <w:autoSpaceDE w:val="0"/>
        <w:autoSpaceDN w:val="0"/>
        <w:ind w:left="1276" w:right="60" w:hanging="283"/>
        <w:jc w:val="both"/>
        <w:rPr>
          <w:rFonts w:cs="Times New Roman"/>
          <w:color w:val="000000"/>
          <w:szCs w:val="24"/>
        </w:rPr>
      </w:pPr>
      <w:r w:rsidRPr="007B5823">
        <w:rPr>
          <w:rFonts w:cs="Times New Roman"/>
          <w:color w:val="000000"/>
          <w:szCs w:val="24"/>
        </w:rPr>
        <w:t>uszkodzenia lub zniszczenia urządzeń lub ich zespołów wykorzystywanych bezpośrednio w procesach</w:t>
      </w:r>
      <w:r w:rsidRPr="007B5823">
        <w:rPr>
          <w:rFonts w:cs="Times New Roman"/>
          <w:color w:val="000000"/>
          <w:spacing w:val="-9"/>
          <w:szCs w:val="24"/>
        </w:rPr>
        <w:t xml:space="preserve"> </w:t>
      </w:r>
      <w:r w:rsidRPr="007B5823">
        <w:rPr>
          <w:rFonts w:cs="Times New Roman"/>
          <w:color w:val="000000"/>
          <w:szCs w:val="24"/>
        </w:rPr>
        <w:t>technologicznych,</w:t>
      </w:r>
    </w:p>
    <w:p w14:paraId="2A925CDC" w14:textId="77777777" w:rsidR="007B5823" w:rsidRPr="007B5823" w:rsidRDefault="007B5823">
      <w:pPr>
        <w:pStyle w:val="Akapitzlist"/>
        <w:widowControl w:val="0"/>
        <w:numPr>
          <w:ilvl w:val="0"/>
          <w:numId w:val="291"/>
        </w:numPr>
        <w:tabs>
          <w:tab w:val="left" w:pos="1276"/>
        </w:tabs>
        <w:autoSpaceDE w:val="0"/>
        <w:autoSpaceDN w:val="0"/>
        <w:spacing w:line="242" w:lineRule="auto"/>
        <w:ind w:left="1276" w:right="62" w:hanging="283"/>
        <w:jc w:val="both"/>
        <w:rPr>
          <w:rFonts w:cs="Times New Roman"/>
          <w:color w:val="000000"/>
          <w:szCs w:val="24"/>
        </w:rPr>
      </w:pPr>
      <w:r w:rsidRPr="007B5823">
        <w:rPr>
          <w:rFonts w:cs="Times New Roman"/>
          <w:color w:val="000000"/>
          <w:szCs w:val="24"/>
        </w:rPr>
        <w:t>zakłóceń w funkcjonowaniu urządzeń lub ich zespołów - przeznaczonych bezpośrednio do wytwarzania, przesyłania lub dystrybucji energii elektrycznej lub ciepła lub do wydobycia, przesyłania lub dystrybucji paliw</w:t>
      </w:r>
      <w:r w:rsidRPr="007B5823">
        <w:rPr>
          <w:rFonts w:cs="Times New Roman"/>
          <w:color w:val="000000"/>
          <w:spacing w:val="1"/>
          <w:szCs w:val="24"/>
        </w:rPr>
        <w:t xml:space="preserve"> </w:t>
      </w:r>
      <w:r w:rsidRPr="007B5823">
        <w:rPr>
          <w:rFonts w:cs="Times New Roman"/>
          <w:color w:val="000000"/>
          <w:szCs w:val="24"/>
        </w:rPr>
        <w:t>gazowych.</w:t>
      </w:r>
    </w:p>
    <w:p w14:paraId="6349FA70" w14:textId="77777777" w:rsidR="007B5823" w:rsidRPr="007B5823" w:rsidRDefault="007B5823" w:rsidP="00FC4536">
      <w:pPr>
        <w:pStyle w:val="Tekstpodstawowy"/>
        <w:spacing w:before="0" w:line="242" w:lineRule="auto"/>
        <w:ind w:left="993" w:right="62" w:hanging="993"/>
        <w:rPr>
          <w:szCs w:val="24"/>
        </w:rPr>
      </w:pPr>
      <w:r w:rsidRPr="007B5823">
        <w:rPr>
          <w:szCs w:val="24"/>
        </w:rPr>
        <w:t xml:space="preserve">IV.3.2.4. Ograniczenia w dostarczaniu i poborze energii elektrycznej wprowadzane </w:t>
      </w:r>
      <w:r w:rsidRPr="007B5823">
        <w:rPr>
          <w:szCs w:val="24"/>
        </w:rPr>
        <w:br/>
        <w:t>w trybie normalnym dotyczą odbiorców w zakresie posiadanego przez nich obiektu, dla którego określona w umowach dystrybucyjnych i kompleksowych łączna wielkość mocy umownej wynosi co najmniej 300 kW.</w:t>
      </w:r>
    </w:p>
    <w:p w14:paraId="281980E4" w14:textId="77777777" w:rsidR="007B5823" w:rsidRPr="007B5823" w:rsidRDefault="007B5823" w:rsidP="007B5823">
      <w:pPr>
        <w:pStyle w:val="Tekstpodstawowy"/>
        <w:spacing w:before="5"/>
        <w:ind w:right="60"/>
        <w:rPr>
          <w:szCs w:val="24"/>
        </w:rPr>
      </w:pPr>
    </w:p>
    <w:p w14:paraId="75727B60" w14:textId="77777777" w:rsidR="007B5823" w:rsidRPr="007B5823" w:rsidRDefault="007B5823" w:rsidP="00EE5289">
      <w:pPr>
        <w:pStyle w:val="Tekstpodstawowy"/>
        <w:spacing w:before="0" w:line="240" w:lineRule="auto"/>
        <w:ind w:left="993" w:right="62" w:hanging="993"/>
        <w:rPr>
          <w:szCs w:val="24"/>
        </w:rPr>
      </w:pPr>
      <w:r w:rsidRPr="007B5823">
        <w:rPr>
          <w:szCs w:val="24"/>
        </w:rPr>
        <w:t xml:space="preserve">IV.3.2.5. W przypadku, gdy odbiorca posiada więcej niż jeden obiekt, ograniczenia </w:t>
      </w:r>
      <w:r w:rsidRPr="007B5823">
        <w:rPr>
          <w:szCs w:val="24"/>
        </w:rPr>
        <w:br/>
        <w:t>w dostarczaniu i poborze energii elektrycznej dotyczą każdego z obiektów, dla którego określona</w:t>
      </w:r>
      <w:r w:rsidRPr="007B5823">
        <w:rPr>
          <w:spacing w:val="-16"/>
          <w:szCs w:val="24"/>
        </w:rPr>
        <w:t xml:space="preserve"> </w:t>
      </w:r>
      <w:r w:rsidRPr="007B5823">
        <w:rPr>
          <w:szCs w:val="24"/>
        </w:rPr>
        <w:t>w</w:t>
      </w:r>
      <w:r w:rsidRPr="007B5823">
        <w:rPr>
          <w:spacing w:val="-26"/>
          <w:szCs w:val="24"/>
        </w:rPr>
        <w:t xml:space="preserve"> </w:t>
      </w:r>
      <w:r w:rsidRPr="007B5823">
        <w:rPr>
          <w:szCs w:val="24"/>
        </w:rPr>
        <w:t>umowach</w:t>
      </w:r>
      <w:r w:rsidRPr="007B5823">
        <w:rPr>
          <w:spacing w:val="-21"/>
          <w:szCs w:val="24"/>
        </w:rPr>
        <w:t xml:space="preserve"> </w:t>
      </w:r>
      <w:r w:rsidRPr="007B5823">
        <w:rPr>
          <w:szCs w:val="24"/>
        </w:rPr>
        <w:t>dystrybucyjnych</w:t>
      </w:r>
      <w:r w:rsidRPr="007B5823">
        <w:rPr>
          <w:spacing w:val="-21"/>
          <w:szCs w:val="24"/>
        </w:rPr>
        <w:t xml:space="preserve"> </w:t>
      </w:r>
      <w:r w:rsidRPr="007B5823">
        <w:rPr>
          <w:szCs w:val="24"/>
        </w:rPr>
        <w:t>i</w:t>
      </w:r>
      <w:r w:rsidRPr="007B5823">
        <w:rPr>
          <w:spacing w:val="-27"/>
          <w:szCs w:val="24"/>
        </w:rPr>
        <w:t xml:space="preserve"> </w:t>
      </w:r>
      <w:r w:rsidRPr="007B5823">
        <w:rPr>
          <w:szCs w:val="24"/>
        </w:rPr>
        <w:t>kompleksowych,</w:t>
      </w:r>
      <w:r w:rsidRPr="007B5823">
        <w:rPr>
          <w:spacing w:val="-30"/>
          <w:szCs w:val="24"/>
        </w:rPr>
        <w:t xml:space="preserve"> </w:t>
      </w:r>
      <w:r w:rsidRPr="007B5823">
        <w:rPr>
          <w:szCs w:val="24"/>
        </w:rPr>
        <w:t>łączna</w:t>
      </w:r>
      <w:r w:rsidRPr="007B5823">
        <w:rPr>
          <w:spacing w:val="-19"/>
          <w:szCs w:val="24"/>
        </w:rPr>
        <w:t xml:space="preserve"> </w:t>
      </w:r>
      <w:r w:rsidRPr="007B5823">
        <w:rPr>
          <w:szCs w:val="24"/>
        </w:rPr>
        <w:t>wielkość</w:t>
      </w:r>
      <w:r w:rsidRPr="007B5823">
        <w:rPr>
          <w:spacing w:val="-12"/>
          <w:szCs w:val="24"/>
        </w:rPr>
        <w:t xml:space="preserve"> </w:t>
      </w:r>
      <w:r w:rsidRPr="007B5823">
        <w:rPr>
          <w:szCs w:val="24"/>
        </w:rPr>
        <w:t>mocy</w:t>
      </w:r>
      <w:r w:rsidRPr="007B5823">
        <w:rPr>
          <w:spacing w:val="-20"/>
          <w:szCs w:val="24"/>
        </w:rPr>
        <w:t xml:space="preserve"> </w:t>
      </w:r>
      <w:r w:rsidRPr="007B5823">
        <w:rPr>
          <w:szCs w:val="24"/>
        </w:rPr>
        <w:t>umownej została ustalona w wysokości, o której mowa w pkt</w:t>
      </w:r>
      <w:r w:rsidRPr="007B5823">
        <w:rPr>
          <w:spacing w:val="-8"/>
          <w:szCs w:val="24"/>
        </w:rPr>
        <w:t xml:space="preserve"> </w:t>
      </w:r>
      <w:r w:rsidRPr="007B5823">
        <w:rPr>
          <w:szCs w:val="24"/>
        </w:rPr>
        <w:t>IV.3.2.4.</w:t>
      </w:r>
    </w:p>
    <w:p w14:paraId="012AABD9" w14:textId="3CDC800B" w:rsidR="007B5823" w:rsidRPr="007B5823" w:rsidRDefault="007B5823" w:rsidP="00EE5289">
      <w:pPr>
        <w:pStyle w:val="Tekstpodstawowy"/>
        <w:spacing w:before="0" w:line="240" w:lineRule="auto"/>
        <w:ind w:left="993" w:right="62" w:hanging="993"/>
        <w:rPr>
          <w:szCs w:val="24"/>
        </w:rPr>
      </w:pPr>
      <w:r w:rsidRPr="007B5823">
        <w:rPr>
          <w:szCs w:val="24"/>
        </w:rPr>
        <w:t xml:space="preserve">IV. 3.2.6. W przypadku, gdy obiekt jest przyłączony do sieci więcej niż jednego OSD, zasadę, </w:t>
      </w:r>
      <w:r w:rsidR="00EE5289">
        <w:rPr>
          <w:szCs w:val="24"/>
        </w:rPr>
        <w:br/>
      </w:r>
      <w:r w:rsidRPr="007B5823">
        <w:rPr>
          <w:szCs w:val="24"/>
        </w:rPr>
        <w:t xml:space="preserve">o której mowa w pkt IV.3.2.4. stosuje się odrębnie dla każdego OSD, dla sumy mocy umownych określonych w umowach dystrybucyjnych i kompleksowych zawartych </w:t>
      </w:r>
      <w:r w:rsidR="00EE5289">
        <w:rPr>
          <w:szCs w:val="24"/>
        </w:rPr>
        <w:br/>
      </w:r>
      <w:r w:rsidRPr="007B5823">
        <w:rPr>
          <w:szCs w:val="24"/>
        </w:rPr>
        <w:t xml:space="preserve">z tym OSD. Mocy umownych dla danego obiektu, które są określone </w:t>
      </w:r>
      <w:r w:rsidRPr="007B5823">
        <w:rPr>
          <w:szCs w:val="24"/>
        </w:rPr>
        <w:br/>
        <w:t>w umowach dystrybucyjnych i kompleksowych zawartych z różnymi OSD, nie sumuje się.</w:t>
      </w:r>
    </w:p>
    <w:p w14:paraId="5D0F5189" w14:textId="2EBCBEE3" w:rsidR="007B5823" w:rsidRPr="007B5823" w:rsidRDefault="007B5823" w:rsidP="00ED0CC8">
      <w:pPr>
        <w:ind w:left="993" w:right="62" w:hanging="993"/>
        <w:jc w:val="both"/>
        <w:rPr>
          <w:rFonts w:cs="Times New Roman"/>
          <w:color w:val="000000"/>
          <w:szCs w:val="24"/>
        </w:rPr>
      </w:pPr>
      <w:r w:rsidRPr="007B5823">
        <w:rPr>
          <w:rFonts w:cs="Times New Roman"/>
          <w:color w:val="000000"/>
          <w:w w:val="105"/>
          <w:szCs w:val="24"/>
        </w:rPr>
        <w:t xml:space="preserve">IV.3.2.7. W </w:t>
      </w:r>
      <w:r w:rsidRPr="007B5823">
        <w:rPr>
          <w:rFonts w:cs="Times New Roman"/>
          <w:color w:val="000000"/>
          <w:spacing w:val="-3"/>
          <w:w w:val="105"/>
          <w:szCs w:val="24"/>
        </w:rPr>
        <w:t xml:space="preserve">przypadku, </w:t>
      </w:r>
      <w:r w:rsidRPr="007B5823">
        <w:rPr>
          <w:rFonts w:cs="Times New Roman"/>
          <w:color w:val="000000"/>
          <w:w w:val="105"/>
          <w:szCs w:val="24"/>
        </w:rPr>
        <w:t>gdy odbiorca posiada obie</w:t>
      </w:r>
      <w:r w:rsidRPr="007B5823">
        <w:rPr>
          <w:rFonts w:cs="Times New Roman"/>
          <w:color w:val="000000"/>
          <w:spacing w:val="3"/>
          <w:w w:val="105"/>
          <w:szCs w:val="24"/>
        </w:rPr>
        <w:t xml:space="preserve">kt, </w:t>
      </w:r>
      <w:r w:rsidRPr="007B5823">
        <w:rPr>
          <w:rFonts w:cs="Times New Roman"/>
          <w:color w:val="000000"/>
          <w:w w:val="105"/>
          <w:szCs w:val="24"/>
        </w:rPr>
        <w:t xml:space="preserve">dla którego określona </w:t>
      </w:r>
      <w:r w:rsidRPr="007B5823">
        <w:rPr>
          <w:rFonts w:cs="Times New Roman"/>
          <w:color w:val="000000"/>
          <w:w w:val="105"/>
          <w:szCs w:val="24"/>
        </w:rPr>
        <w:br/>
        <w:t xml:space="preserve">w umowach dystrybucyjnych i kompleksowych łączna wielkość mocy umownej może być różna w poszczególnych miesiącach, w zakresie tego obiektu odbiorca ten podlega ochronie przed ograniczeniami w tych miesiącach, dla których łączna wielkość mocy umownej ustalona została poniżej wysokości, o której mowa </w:t>
      </w:r>
      <w:r w:rsidR="00ED0CC8">
        <w:rPr>
          <w:rFonts w:cs="Times New Roman"/>
          <w:color w:val="000000"/>
          <w:w w:val="105"/>
          <w:szCs w:val="24"/>
        </w:rPr>
        <w:br/>
      </w:r>
      <w:r w:rsidRPr="007B5823">
        <w:rPr>
          <w:rFonts w:cs="Times New Roman"/>
          <w:color w:val="000000"/>
          <w:w w:val="105"/>
          <w:szCs w:val="24"/>
        </w:rPr>
        <w:t>w pkt</w:t>
      </w:r>
      <w:r w:rsidRPr="007B5823">
        <w:rPr>
          <w:rFonts w:cs="Times New Roman"/>
          <w:color w:val="000000"/>
          <w:spacing w:val="48"/>
          <w:w w:val="105"/>
          <w:szCs w:val="24"/>
        </w:rPr>
        <w:t xml:space="preserve"> </w:t>
      </w:r>
      <w:r w:rsidRPr="007B5823">
        <w:rPr>
          <w:rFonts w:cs="Times New Roman"/>
          <w:color w:val="000000"/>
          <w:w w:val="105"/>
          <w:szCs w:val="24"/>
        </w:rPr>
        <w:t>IV.3.2.4.</w:t>
      </w:r>
    </w:p>
    <w:p w14:paraId="3E189EC9" w14:textId="32CD631E" w:rsidR="007B5823" w:rsidRPr="007B5823" w:rsidRDefault="007B5823" w:rsidP="006B26E0">
      <w:pPr>
        <w:pStyle w:val="Akapitzlist"/>
        <w:widowControl w:val="0"/>
        <w:tabs>
          <w:tab w:val="left" w:pos="1661"/>
        </w:tabs>
        <w:autoSpaceDE w:val="0"/>
        <w:autoSpaceDN w:val="0"/>
        <w:ind w:left="993" w:right="62" w:hanging="993"/>
        <w:jc w:val="both"/>
        <w:rPr>
          <w:rFonts w:cs="Times New Roman"/>
          <w:color w:val="000000"/>
          <w:szCs w:val="24"/>
        </w:rPr>
      </w:pPr>
      <w:r w:rsidRPr="007B5823">
        <w:rPr>
          <w:rFonts w:cs="Times New Roman"/>
          <w:color w:val="000000"/>
          <w:w w:val="105"/>
          <w:szCs w:val="24"/>
        </w:rPr>
        <w:t xml:space="preserve">IV.3.2.8. OSD, w zakresie posiadanego obiektu przyłączonego do jego własnej sieci </w:t>
      </w:r>
      <w:r w:rsidR="006B26E0">
        <w:rPr>
          <w:rFonts w:cs="Times New Roman"/>
          <w:color w:val="000000"/>
          <w:w w:val="105"/>
          <w:szCs w:val="24"/>
        </w:rPr>
        <w:br/>
      </w:r>
      <w:r w:rsidRPr="007B5823">
        <w:rPr>
          <w:rFonts w:cs="Times New Roman"/>
          <w:color w:val="000000"/>
          <w:w w:val="105"/>
          <w:szCs w:val="24"/>
        </w:rPr>
        <w:t xml:space="preserve">i podlegającego ograniczeniom, opracowuje taki sam plan ograniczeń jak </w:t>
      </w:r>
      <w:r w:rsidRPr="007B5823">
        <w:rPr>
          <w:rFonts w:cs="Times New Roman"/>
          <w:color w:val="000000"/>
          <w:w w:val="105"/>
          <w:szCs w:val="24"/>
        </w:rPr>
        <w:br/>
        <w:t xml:space="preserve">w przypadku obiektu odbiorcy przyłączonego do tej sieci i uwzględnia go w planie wprowadzania ograniczeń przekazywanym do OSDn, w terminie określonym </w:t>
      </w:r>
      <w:r w:rsidR="006B26E0">
        <w:rPr>
          <w:rFonts w:cs="Times New Roman"/>
          <w:color w:val="000000"/>
          <w:w w:val="105"/>
          <w:szCs w:val="24"/>
        </w:rPr>
        <w:br/>
      </w:r>
      <w:r w:rsidRPr="007B5823">
        <w:rPr>
          <w:rFonts w:cs="Times New Roman"/>
          <w:color w:val="000000"/>
          <w:w w:val="105"/>
          <w:szCs w:val="24"/>
        </w:rPr>
        <w:t>w pkt IV.3.2.18.</w:t>
      </w:r>
    </w:p>
    <w:p w14:paraId="290FE10E" w14:textId="77777777" w:rsidR="007B5823" w:rsidRPr="007B5823" w:rsidRDefault="007B5823" w:rsidP="00A5646E">
      <w:pPr>
        <w:pStyle w:val="Akapitzlist"/>
        <w:widowControl w:val="0"/>
        <w:autoSpaceDE w:val="0"/>
        <w:autoSpaceDN w:val="0"/>
        <w:ind w:left="993" w:right="62" w:hanging="993"/>
        <w:jc w:val="both"/>
        <w:rPr>
          <w:rFonts w:cs="Times New Roman"/>
          <w:color w:val="000000"/>
          <w:szCs w:val="24"/>
        </w:rPr>
      </w:pPr>
      <w:r w:rsidRPr="007B5823">
        <w:rPr>
          <w:rFonts w:cs="Times New Roman"/>
          <w:color w:val="000000"/>
          <w:szCs w:val="24"/>
        </w:rPr>
        <w:t xml:space="preserve">IV.3.2.9. Opracowany przez OSDn plan wprowadzania ograniczeń dla odbiorcy </w:t>
      </w:r>
      <w:r w:rsidRPr="007B5823">
        <w:rPr>
          <w:rFonts w:cs="Times New Roman"/>
          <w:color w:val="000000"/>
          <w:szCs w:val="24"/>
        </w:rPr>
        <w:br/>
        <w:t xml:space="preserve">w zakresie posiadanego przez niego obiektu może być korygowany w przypadku, </w:t>
      </w:r>
      <w:r w:rsidRPr="007B5823">
        <w:rPr>
          <w:rFonts w:cs="Times New Roman"/>
          <w:color w:val="000000"/>
          <w:szCs w:val="24"/>
        </w:rPr>
        <w:br/>
        <w:t xml:space="preserve">o którym mowa w pkt IV.3.2.13., lub aktualizowany w okresie, na jaki został opracowany. Zdania pierwszego nie stosuje się w okresie obowiązywania ograniczeń </w:t>
      </w:r>
      <w:r w:rsidRPr="007B5823">
        <w:rPr>
          <w:rFonts w:cs="Times New Roman"/>
          <w:color w:val="000000"/>
          <w:szCs w:val="24"/>
        </w:rPr>
        <w:br/>
        <w:t>w dostarczaniu i poborze energii elektrycznej wprowadzanych na podstawie pkt</w:t>
      </w:r>
      <w:r w:rsidRPr="007B5823">
        <w:rPr>
          <w:rFonts w:cs="Times New Roman"/>
          <w:color w:val="000000"/>
          <w:spacing w:val="24"/>
          <w:szCs w:val="24"/>
        </w:rPr>
        <w:t xml:space="preserve"> </w:t>
      </w:r>
      <w:r w:rsidRPr="007B5823">
        <w:rPr>
          <w:rFonts w:cs="Times New Roman"/>
          <w:color w:val="000000"/>
          <w:szCs w:val="24"/>
        </w:rPr>
        <w:t>IV.3.2.1.</w:t>
      </w:r>
    </w:p>
    <w:p w14:paraId="61399C5E" w14:textId="77777777" w:rsidR="007B5823" w:rsidRPr="007B5823" w:rsidRDefault="007B5823" w:rsidP="00A5646E">
      <w:pPr>
        <w:ind w:left="993" w:right="62" w:hanging="3"/>
        <w:jc w:val="both"/>
        <w:rPr>
          <w:rFonts w:cs="Times New Roman"/>
          <w:color w:val="000000"/>
          <w:szCs w:val="24"/>
        </w:rPr>
      </w:pPr>
      <w:r w:rsidRPr="007B5823">
        <w:rPr>
          <w:rFonts w:cs="Times New Roman"/>
          <w:color w:val="000000"/>
          <w:w w:val="105"/>
          <w:szCs w:val="24"/>
        </w:rPr>
        <w:lastRenderedPageBreak/>
        <w:t>Dla istniejącego obiektu, zmiana mocy umownej lub przyłączenie nowego przyłącza, nie wymaga aktualizacji planu wprowadzania ograniczeń dla odbiorcy.</w:t>
      </w:r>
    </w:p>
    <w:p w14:paraId="380AB17E" w14:textId="520511C9" w:rsidR="007B5823" w:rsidRPr="007B5823" w:rsidRDefault="007B5823" w:rsidP="005A2E05">
      <w:pPr>
        <w:pStyle w:val="Akapitzlist"/>
        <w:widowControl w:val="0"/>
        <w:autoSpaceDE w:val="0"/>
        <w:autoSpaceDN w:val="0"/>
        <w:ind w:left="993" w:right="62" w:hanging="993"/>
        <w:jc w:val="both"/>
        <w:rPr>
          <w:rFonts w:cs="Times New Roman"/>
          <w:color w:val="000000"/>
          <w:szCs w:val="24"/>
        </w:rPr>
      </w:pPr>
      <w:r w:rsidRPr="007B5823">
        <w:rPr>
          <w:rFonts w:cs="Times New Roman"/>
          <w:color w:val="000000"/>
          <w:szCs w:val="24"/>
        </w:rPr>
        <w:t>IV.3.2.10. Ochronie przed wprowadzanymi ograniczeniami w dostarczaniu i poborze energii elektrycznej podlega odbiorca w zakresie posiadanego przez siebie obiektu przez cały okres, dla którego określona w umowach dystrybucyjnych lub kompleksowych łączna wielkość mocy umownej wynosi poniżej 300 kW, oraz w zakresie</w:t>
      </w:r>
      <w:r w:rsidRPr="007B5823">
        <w:rPr>
          <w:rFonts w:cs="Times New Roman"/>
          <w:color w:val="000000"/>
          <w:spacing w:val="10"/>
          <w:szCs w:val="24"/>
        </w:rPr>
        <w:t xml:space="preserve"> </w:t>
      </w:r>
      <w:r w:rsidRPr="007B5823">
        <w:rPr>
          <w:rFonts w:cs="Times New Roman"/>
          <w:color w:val="000000"/>
          <w:szCs w:val="24"/>
        </w:rPr>
        <w:t>obiektu:</w:t>
      </w:r>
    </w:p>
    <w:p w14:paraId="0F7DC2FB" w14:textId="77777777" w:rsidR="007B5823" w:rsidRPr="007B5823" w:rsidRDefault="007B5823">
      <w:pPr>
        <w:pStyle w:val="Akapitzlist"/>
        <w:widowControl w:val="0"/>
        <w:numPr>
          <w:ilvl w:val="0"/>
          <w:numId w:val="293"/>
        </w:numPr>
        <w:autoSpaceDE w:val="0"/>
        <w:autoSpaceDN w:val="0"/>
        <w:ind w:left="1276" w:right="62" w:hanging="283"/>
        <w:jc w:val="both"/>
        <w:rPr>
          <w:rFonts w:cs="Times New Roman"/>
          <w:color w:val="000000"/>
          <w:szCs w:val="24"/>
        </w:rPr>
      </w:pPr>
      <w:r w:rsidRPr="007B5823">
        <w:rPr>
          <w:rFonts w:cs="Times New Roman"/>
          <w:color w:val="000000"/>
          <w:w w:val="105"/>
          <w:szCs w:val="24"/>
        </w:rPr>
        <w:t>będącego szpitalem i innym obiektem ratownictwa</w:t>
      </w:r>
      <w:r w:rsidRPr="007B5823">
        <w:rPr>
          <w:rFonts w:cs="Times New Roman"/>
          <w:color w:val="000000"/>
          <w:spacing w:val="1"/>
          <w:w w:val="105"/>
          <w:szCs w:val="24"/>
        </w:rPr>
        <w:t xml:space="preserve"> </w:t>
      </w:r>
      <w:r w:rsidRPr="007B5823">
        <w:rPr>
          <w:rFonts w:cs="Times New Roman"/>
          <w:color w:val="000000"/>
          <w:w w:val="105"/>
          <w:szCs w:val="24"/>
        </w:rPr>
        <w:t>medycznego;</w:t>
      </w:r>
    </w:p>
    <w:p w14:paraId="66ADE0FC" w14:textId="77777777" w:rsidR="007B5823" w:rsidRPr="007B5823" w:rsidRDefault="007B5823">
      <w:pPr>
        <w:pStyle w:val="Akapitzlist"/>
        <w:widowControl w:val="0"/>
        <w:numPr>
          <w:ilvl w:val="0"/>
          <w:numId w:val="293"/>
        </w:numPr>
        <w:autoSpaceDE w:val="0"/>
        <w:autoSpaceDN w:val="0"/>
        <w:ind w:left="1276" w:right="62" w:hanging="283"/>
        <w:jc w:val="both"/>
        <w:rPr>
          <w:rFonts w:cs="Times New Roman"/>
          <w:color w:val="000000"/>
          <w:szCs w:val="24"/>
        </w:rPr>
      </w:pPr>
      <w:r w:rsidRPr="007B5823">
        <w:rPr>
          <w:rFonts w:cs="Times New Roman"/>
          <w:color w:val="000000"/>
          <w:w w:val="105"/>
          <w:szCs w:val="24"/>
        </w:rPr>
        <w:t>wymienionego w przepisach wydanych na podstawie art. 6 ust. 2 pkt 4 ustawy z dnia 21 listopada 1967 r. o powszechnym obowiązku obrony Rzeczypospolitej Polskiej (Dz. U. z 2021 r. poz. 372 z późn.</w:t>
      </w:r>
      <w:r w:rsidRPr="007B5823">
        <w:rPr>
          <w:rFonts w:cs="Times New Roman"/>
          <w:color w:val="000000"/>
          <w:spacing w:val="26"/>
          <w:w w:val="105"/>
          <w:szCs w:val="24"/>
        </w:rPr>
        <w:t xml:space="preserve"> </w:t>
      </w:r>
      <w:r w:rsidRPr="007B5823">
        <w:rPr>
          <w:rFonts w:cs="Times New Roman"/>
          <w:color w:val="000000"/>
          <w:w w:val="105"/>
          <w:szCs w:val="24"/>
        </w:rPr>
        <w:t>zm.);</w:t>
      </w:r>
    </w:p>
    <w:p w14:paraId="379D2087" w14:textId="77777777" w:rsidR="007B5823" w:rsidRPr="007B5823" w:rsidRDefault="007B5823">
      <w:pPr>
        <w:pStyle w:val="Akapitzlist"/>
        <w:widowControl w:val="0"/>
        <w:numPr>
          <w:ilvl w:val="0"/>
          <w:numId w:val="293"/>
        </w:numPr>
        <w:autoSpaceDE w:val="0"/>
        <w:autoSpaceDN w:val="0"/>
        <w:ind w:left="1276" w:right="62" w:hanging="283"/>
        <w:jc w:val="both"/>
        <w:rPr>
          <w:rFonts w:cs="Times New Roman"/>
          <w:color w:val="000000"/>
          <w:szCs w:val="24"/>
        </w:rPr>
      </w:pPr>
      <w:r w:rsidRPr="007B5823">
        <w:rPr>
          <w:rFonts w:cs="Times New Roman"/>
          <w:color w:val="000000"/>
          <w:w w:val="105"/>
          <w:szCs w:val="24"/>
        </w:rPr>
        <w:t>wykorzystywanego bezpośrednio</w:t>
      </w:r>
      <w:r w:rsidRPr="007B5823">
        <w:rPr>
          <w:rFonts w:cs="Times New Roman"/>
          <w:color w:val="000000"/>
          <w:spacing w:val="24"/>
          <w:w w:val="105"/>
          <w:szCs w:val="24"/>
        </w:rPr>
        <w:t xml:space="preserve"> </w:t>
      </w:r>
      <w:r w:rsidRPr="007B5823">
        <w:rPr>
          <w:rFonts w:cs="Times New Roman"/>
          <w:color w:val="000000"/>
          <w:w w:val="105"/>
          <w:szCs w:val="24"/>
        </w:rPr>
        <w:t>do:</w:t>
      </w:r>
    </w:p>
    <w:p w14:paraId="21F5B3FC" w14:textId="77777777" w:rsidR="007B5823" w:rsidRPr="007B5823" w:rsidRDefault="007B5823">
      <w:pPr>
        <w:pStyle w:val="Akapitzlist"/>
        <w:widowControl w:val="0"/>
        <w:numPr>
          <w:ilvl w:val="1"/>
          <w:numId w:val="293"/>
        </w:numPr>
        <w:autoSpaceDE w:val="0"/>
        <w:autoSpaceDN w:val="0"/>
        <w:spacing w:before="16"/>
        <w:ind w:right="60" w:hanging="292"/>
        <w:jc w:val="both"/>
        <w:rPr>
          <w:rFonts w:cs="Times New Roman"/>
          <w:color w:val="000000"/>
          <w:szCs w:val="24"/>
        </w:rPr>
      </w:pPr>
      <w:r w:rsidRPr="007B5823">
        <w:rPr>
          <w:rFonts w:cs="Times New Roman"/>
          <w:color w:val="000000"/>
          <w:w w:val="105"/>
          <w:szCs w:val="24"/>
        </w:rPr>
        <w:t>nadawania programów radiowych i telewizyjnych o zasięgu</w:t>
      </w:r>
      <w:r w:rsidRPr="007B5823">
        <w:rPr>
          <w:rFonts w:cs="Times New Roman"/>
          <w:color w:val="000000"/>
          <w:spacing w:val="-7"/>
          <w:w w:val="105"/>
          <w:szCs w:val="24"/>
        </w:rPr>
        <w:t xml:space="preserve"> </w:t>
      </w:r>
      <w:r w:rsidRPr="007B5823">
        <w:rPr>
          <w:rFonts w:cs="Times New Roman"/>
          <w:color w:val="000000"/>
          <w:w w:val="105"/>
          <w:szCs w:val="24"/>
        </w:rPr>
        <w:t>ogólnokrajowym,</w:t>
      </w:r>
    </w:p>
    <w:p w14:paraId="6A069553" w14:textId="77777777" w:rsidR="007B5823" w:rsidRPr="007B5823" w:rsidRDefault="007B5823" w:rsidP="007B5823">
      <w:pPr>
        <w:spacing w:before="11" w:line="249" w:lineRule="auto"/>
        <w:ind w:left="1701" w:right="60" w:hanging="319"/>
        <w:jc w:val="both"/>
        <w:rPr>
          <w:rFonts w:cs="Times New Roman"/>
          <w:color w:val="000000"/>
          <w:szCs w:val="24"/>
        </w:rPr>
      </w:pPr>
      <w:r w:rsidRPr="007B5823">
        <w:rPr>
          <w:rFonts w:cs="Times New Roman"/>
          <w:color w:val="000000"/>
          <w:spacing w:val="-1"/>
          <w:w w:val="103"/>
          <w:szCs w:val="24"/>
        </w:rPr>
        <w:t>ii. zapewnieni</w:t>
      </w:r>
      <w:r w:rsidRPr="007B5823">
        <w:rPr>
          <w:rFonts w:cs="Times New Roman"/>
          <w:color w:val="000000"/>
          <w:w w:val="103"/>
          <w:szCs w:val="24"/>
        </w:rPr>
        <w:t>a</w:t>
      </w:r>
      <w:r w:rsidRPr="007B5823">
        <w:rPr>
          <w:rFonts w:cs="Times New Roman"/>
          <w:color w:val="000000"/>
          <w:szCs w:val="24"/>
        </w:rPr>
        <w:t xml:space="preserve"> </w:t>
      </w:r>
      <w:r w:rsidRPr="007B5823">
        <w:rPr>
          <w:rFonts w:cs="Times New Roman"/>
          <w:color w:val="000000"/>
          <w:w w:val="102"/>
          <w:szCs w:val="24"/>
        </w:rPr>
        <w:t xml:space="preserve">przewozu </w:t>
      </w:r>
      <w:r w:rsidRPr="007B5823">
        <w:rPr>
          <w:rFonts w:cs="Times New Roman"/>
          <w:color w:val="000000"/>
          <w:spacing w:val="-1"/>
          <w:w w:val="102"/>
          <w:szCs w:val="24"/>
        </w:rPr>
        <w:t>lotniczego</w:t>
      </w:r>
      <w:r w:rsidRPr="007B5823">
        <w:rPr>
          <w:rFonts w:cs="Times New Roman"/>
          <w:color w:val="000000"/>
          <w:w w:val="102"/>
          <w:szCs w:val="24"/>
        </w:rPr>
        <w:t xml:space="preserve">, </w:t>
      </w:r>
      <w:r w:rsidRPr="007B5823">
        <w:rPr>
          <w:rFonts w:cs="Times New Roman"/>
          <w:color w:val="000000"/>
          <w:spacing w:val="-1"/>
          <w:w w:val="102"/>
          <w:szCs w:val="24"/>
        </w:rPr>
        <w:t>transport</w:t>
      </w:r>
      <w:r w:rsidRPr="007B5823">
        <w:rPr>
          <w:rFonts w:cs="Times New Roman"/>
          <w:color w:val="000000"/>
          <w:w w:val="102"/>
          <w:szCs w:val="24"/>
        </w:rPr>
        <w:t>u</w:t>
      </w:r>
      <w:r w:rsidRPr="007B5823">
        <w:rPr>
          <w:rFonts w:cs="Times New Roman"/>
          <w:color w:val="000000"/>
          <w:szCs w:val="24"/>
        </w:rPr>
        <w:t xml:space="preserve"> </w:t>
      </w:r>
      <w:r w:rsidRPr="007B5823">
        <w:rPr>
          <w:rFonts w:cs="Times New Roman"/>
          <w:color w:val="000000"/>
          <w:w w:val="101"/>
          <w:szCs w:val="24"/>
        </w:rPr>
        <w:t>k</w:t>
      </w:r>
      <w:r w:rsidRPr="007B5823">
        <w:rPr>
          <w:rFonts w:cs="Times New Roman"/>
          <w:color w:val="000000"/>
          <w:spacing w:val="12"/>
          <w:w w:val="101"/>
          <w:szCs w:val="24"/>
        </w:rPr>
        <w:t>o</w:t>
      </w:r>
      <w:r w:rsidRPr="007B5823">
        <w:rPr>
          <w:rFonts w:cs="Times New Roman"/>
          <w:color w:val="000000"/>
          <w:spacing w:val="7"/>
          <w:w w:val="80"/>
          <w:szCs w:val="24"/>
        </w:rPr>
        <w:t>l</w:t>
      </w:r>
      <w:r w:rsidRPr="007B5823">
        <w:rPr>
          <w:rFonts w:cs="Times New Roman"/>
          <w:color w:val="000000"/>
          <w:spacing w:val="-1"/>
          <w:w w:val="105"/>
          <w:szCs w:val="24"/>
        </w:rPr>
        <w:t>ejoweg</w:t>
      </w:r>
      <w:r w:rsidRPr="007B5823">
        <w:rPr>
          <w:rFonts w:cs="Times New Roman"/>
          <w:color w:val="000000"/>
          <w:spacing w:val="12"/>
          <w:w w:val="105"/>
          <w:szCs w:val="24"/>
        </w:rPr>
        <w:t>o</w:t>
      </w:r>
      <w:r w:rsidRPr="007B5823">
        <w:rPr>
          <w:rFonts w:cs="Times New Roman"/>
          <w:color w:val="000000"/>
          <w:w w:val="30"/>
          <w:szCs w:val="24"/>
        </w:rPr>
        <w:t>.</w:t>
      </w:r>
      <w:r w:rsidRPr="007B5823">
        <w:rPr>
          <w:rFonts w:cs="Times New Roman"/>
          <w:color w:val="000000"/>
          <w:szCs w:val="24"/>
        </w:rPr>
        <w:t xml:space="preserve"> </w:t>
      </w:r>
      <w:r w:rsidRPr="007B5823">
        <w:rPr>
          <w:rFonts w:cs="Times New Roman"/>
          <w:color w:val="000000"/>
          <w:w w:val="81"/>
          <w:szCs w:val="24"/>
        </w:rPr>
        <w:t>i</w:t>
      </w:r>
      <w:r w:rsidRPr="007B5823">
        <w:rPr>
          <w:rFonts w:cs="Times New Roman"/>
          <w:color w:val="000000"/>
          <w:szCs w:val="24"/>
        </w:rPr>
        <w:t xml:space="preserve"> </w:t>
      </w:r>
      <w:r w:rsidRPr="007B5823">
        <w:rPr>
          <w:rFonts w:cs="Times New Roman"/>
          <w:color w:val="000000"/>
          <w:w w:val="103"/>
          <w:szCs w:val="24"/>
        </w:rPr>
        <w:t xml:space="preserve">publicznego </w:t>
      </w:r>
      <w:r w:rsidRPr="007B5823">
        <w:rPr>
          <w:rFonts w:cs="Times New Roman"/>
          <w:color w:val="000000"/>
          <w:szCs w:val="24"/>
        </w:rPr>
        <w:t>transportu</w:t>
      </w:r>
      <w:r w:rsidRPr="007B5823">
        <w:rPr>
          <w:rFonts w:cs="Times New Roman"/>
          <w:color w:val="000000"/>
          <w:spacing w:val="32"/>
          <w:szCs w:val="24"/>
        </w:rPr>
        <w:t xml:space="preserve"> </w:t>
      </w:r>
      <w:r w:rsidRPr="007B5823">
        <w:rPr>
          <w:rFonts w:cs="Times New Roman"/>
          <w:color w:val="000000"/>
          <w:szCs w:val="24"/>
        </w:rPr>
        <w:t>zbiorowego,</w:t>
      </w:r>
    </w:p>
    <w:p w14:paraId="199B75A2" w14:textId="77777777" w:rsidR="007B5823" w:rsidRPr="007B5823" w:rsidRDefault="007B5823" w:rsidP="007B5823">
      <w:pPr>
        <w:spacing w:before="3" w:line="249" w:lineRule="auto"/>
        <w:ind w:left="1701" w:right="60" w:hanging="377"/>
        <w:jc w:val="both"/>
        <w:rPr>
          <w:rFonts w:cs="Times New Roman"/>
          <w:color w:val="000000"/>
          <w:szCs w:val="24"/>
        </w:rPr>
      </w:pPr>
      <w:r w:rsidRPr="007B5823">
        <w:rPr>
          <w:rFonts w:cs="Times New Roman"/>
          <w:color w:val="000000"/>
          <w:w w:val="105"/>
          <w:szCs w:val="24"/>
        </w:rPr>
        <w:t>iii. wydobywania paliw kopalnych ze złóż, ich przeróbki oraz dostarczania do odbiorców,</w:t>
      </w:r>
      <w:r w:rsidRPr="007B5823">
        <w:rPr>
          <w:rFonts w:cs="Times New Roman"/>
          <w:color w:val="000000"/>
          <w:spacing w:val="-8"/>
          <w:w w:val="105"/>
          <w:szCs w:val="24"/>
        </w:rPr>
        <w:t xml:space="preserve"> </w:t>
      </w:r>
      <w:r w:rsidRPr="007B5823">
        <w:rPr>
          <w:rFonts w:cs="Times New Roman"/>
          <w:color w:val="000000"/>
          <w:w w:val="105"/>
          <w:szCs w:val="24"/>
        </w:rPr>
        <w:t>w</w:t>
      </w:r>
      <w:r w:rsidRPr="007B5823">
        <w:rPr>
          <w:rFonts w:cs="Times New Roman"/>
          <w:color w:val="000000"/>
          <w:spacing w:val="-21"/>
          <w:w w:val="105"/>
          <w:szCs w:val="24"/>
        </w:rPr>
        <w:t xml:space="preserve"> </w:t>
      </w:r>
      <w:r w:rsidRPr="007B5823">
        <w:rPr>
          <w:rFonts w:cs="Times New Roman"/>
          <w:color w:val="000000"/>
          <w:w w:val="105"/>
          <w:szCs w:val="24"/>
        </w:rPr>
        <w:t>tym</w:t>
      </w:r>
      <w:r w:rsidRPr="007B5823">
        <w:rPr>
          <w:rFonts w:cs="Times New Roman"/>
          <w:color w:val="000000"/>
          <w:spacing w:val="-8"/>
          <w:w w:val="105"/>
          <w:szCs w:val="24"/>
        </w:rPr>
        <w:t xml:space="preserve"> </w:t>
      </w:r>
      <w:r w:rsidRPr="007B5823">
        <w:rPr>
          <w:rFonts w:cs="Times New Roman"/>
          <w:color w:val="000000"/>
          <w:w w:val="105"/>
          <w:szCs w:val="24"/>
        </w:rPr>
        <w:t>wydobywania,</w:t>
      </w:r>
      <w:r w:rsidRPr="007B5823">
        <w:rPr>
          <w:rFonts w:cs="Times New Roman"/>
          <w:color w:val="000000"/>
          <w:spacing w:val="-3"/>
          <w:w w:val="105"/>
          <w:szCs w:val="24"/>
        </w:rPr>
        <w:t xml:space="preserve"> </w:t>
      </w:r>
      <w:r w:rsidRPr="007B5823">
        <w:rPr>
          <w:rFonts w:cs="Times New Roman"/>
          <w:color w:val="000000"/>
          <w:w w:val="105"/>
          <w:szCs w:val="24"/>
        </w:rPr>
        <w:t>przesyłania lub</w:t>
      </w:r>
      <w:r w:rsidRPr="007B5823">
        <w:rPr>
          <w:rFonts w:cs="Times New Roman"/>
          <w:color w:val="000000"/>
          <w:spacing w:val="-23"/>
          <w:w w:val="105"/>
          <w:szCs w:val="24"/>
        </w:rPr>
        <w:t xml:space="preserve"> </w:t>
      </w:r>
      <w:r w:rsidRPr="007B5823">
        <w:rPr>
          <w:rFonts w:cs="Times New Roman"/>
          <w:color w:val="000000"/>
          <w:w w:val="105"/>
          <w:szCs w:val="24"/>
        </w:rPr>
        <w:t>dystrybucji</w:t>
      </w:r>
      <w:r w:rsidRPr="007B5823">
        <w:rPr>
          <w:rFonts w:cs="Times New Roman"/>
          <w:color w:val="000000"/>
          <w:spacing w:val="-5"/>
          <w:w w:val="105"/>
          <w:szCs w:val="24"/>
        </w:rPr>
        <w:t xml:space="preserve"> </w:t>
      </w:r>
      <w:r w:rsidRPr="007B5823">
        <w:rPr>
          <w:rFonts w:cs="Times New Roman"/>
          <w:color w:val="000000"/>
          <w:w w:val="105"/>
          <w:szCs w:val="24"/>
        </w:rPr>
        <w:t>paliw</w:t>
      </w:r>
      <w:r w:rsidRPr="007B5823">
        <w:rPr>
          <w:rFonts w:cs="Times New Roman"/>
          <w:color w:val="000000"/>
          <w:spacing w:val="-15"/>
          <w:w w:val="105"/>
          <w:szCs w:val="24"/>
        </w:rPr>
        <w:t xml:space="preserve"> </w:t>
      </w:r>
      <w:r w:rsidRPr="007B5823">
        <w:rPr>
          <w:rFonts w:cs="Times New Roman"/>
          <w:color w:val="000000"/>
          <w:w w:val="105"/>
          <w:szCs w:val="24"/>
        </w:rPr>
        <w:t>gazowych,</w:t>
      </w:r>
    </w:p>
    <w:p w14:paraId="7BFC9194" w14:textId="4B1905AC" w:rsidR="007B5823" w:rsidRPr="007B5823" w:rsidRDefault="007B5823">
      <w:pPr>
        <w:pStyle w:val="Akapitzlist"/>
        <w:widowControl w:val="0"/>
        <w:numPr>
          <w:ilvl w:val="0"/>
          <w:numId w:val="292"/>
        </w:numPr>
        <w:autoSpaceDE w:val="0"/>
        <w:autoSpaceDN w:val="0"/>
        <w:spacing w:before="2" w:line="249" w:lineRule="auto"/>
        <w:ind w:left="1701" w:right="60" w:hanging="425"/>
        <w:jc w:val="both"/>
        <w:rPr>
          <w:rFonts w:cs="Times New Roman"/>
          <w:color w:val="000000"/>
          <w:szCs w:val="24"/>
        </w:rPr>
      </w:pPr>
      <w:r w:rsidRPr="007B5823">
        <w:rPr>
          <w:rFonts w:cs="Times New Roman"/>
          <w:color w:val="000000"/>
          <w:w w:val="105"/>
          <w:szCs w:val="24"/>
        </w:rPr>
        <w:t xml:space="preserve">realizacji zadań wpływających w sposób istotny na spełnianie wymagań </w:t>
      </w:r>
      <w:r w:rsidR="00570670">
        <w:rPr>
          <w:rFonts w:cs="Times New Roman"/>
          <w:color w:val="000000"/>
          <w:w w:val="105"/>
          <w:szCs w:val="24"/>
        </w:rPr>
        <w:br/>
      </w:r>
      <w:r w:rsidRPr="007B5823">
        <w:rPr>
          <w:rFonts w:cs="Times New Roman"/>
          <w:color w:val="000000"/>
          <w:w w:val="105"/>
          <w:szCs w:val="24"/>
        </w:rPr>
        <w:t>w</w:t>
      </w:r>
      <w:r w:rsidRPr="007B5823">
        <w:rPr>
          <w:rFonts w:cs="Times New Roman"/>
          <w:color w:val="000000"/>
          <w:spacing w:val="-22"/>
          <w:w w:val="105"/>
          <w:szCs w:val="24"/>
        </w:rPr>
        <w:t xml:space="preserve"> </w:t>
      </w:r>
      <w:r w:rsidRPr="007B5823">
        <w:rPr>
          <w:rFonts w:cs="Times New Roman"/>
          <w:color w:val="000000"/>
          <w:w w:val="105"/>
          <w:szCs w:val="24"/>
        </w:rPr>
        <w:t>zakresie</w:t>
      </w:r>
      <w:r w:rsidRPr="007B5823">
        <w:rPr>
          <w:rFonts w:cs="Times New Roman"/>
          <w:color w:val="000000"/>
          <w:spacing w:val="-5"/>
          <w:w w:val="105"/>
          <w:szCs w:val="24"/>
        </w:rPr>
        <w:t xml:space="preserve"> </w:t>
      </w:r>
      <w:r w:rsidRPr="007B5823">
        <w:rPr>
          <w:rFonts w:cs="Times New Roman"/>
          <w:color w:val="000000"/>
          <w:w w:val="105"/>
          <w:szCs w:val="24"/>
        </w:rPr>
        <w:t>ochrony</w:t>
      </w:r>
      <w:r w:rsidRPr="007B5823">
        <w:rPr>
          <w:rFonts w:cs="Times New Roman"/>
          <w:color w:val="000000"/>
          <w:spacing w:val="-13"/>
          <w:w w:val="105"/>
          <w:szCs w:val="24"/>
        </w:rPr>
        <w:t xml:space="preserve"> </w:t>
      </w:r>
      <w:r w:rsidRPr="007B5823">
        <w:rPr>
          <w:rFonts w:cs="Times New Roman"/>
          <w:color w:val="000000"/>
          <w:w w:val="105"/>
          <w:szCs w:val="24"/>
        </w:rPr>
        <w:t>środowiska,</w:t>
      </w:r>
      <w:r w:rsidRPr="007B5823">
        <w:rPr>
          <w:rFonts w:cs="Times New Roman"/>
          <w:color w:val="000000"/>
          <w:spacing w:val="-2"/>
          <w:w w:val="105"/>
          <w:szCs w:val="24"/>
        </w:rPr>
        <w:t xml:space="preserve"> </w:t>
      </w:r>
      <w:r w:rsidRPr="007B5823">
        <w:rPr>
          <w:rFonts w:cs="Times New Roman"/>
          <w:color w:val="000000"/>
          <w:w w:val="105"/>
          <w:szCs w:val="24"/>
        </w:rPr>
        <w:t>w</w:t>
      </w:r>
      <w:r w:rsidRPr="007B5823">
        <w:rPr>
          <w:rFonts w:cs="Times New Roman"/>
          <w:color w:val="000000"/>
          <w:spacing w:val="-23"/>
          <w:w w:val="105"/>
          <w:szCs w:val="24"/>
        </w:rPr>
        <w:t xml:space="preserve"> </w:t>
      </w:r>
      <w:r w:rsidRPr="007B5823">
        <w:rPr>
          <w:rFonts w:cs="Times New Roman"/>
          <w:color w:val="000000"/>
          <w:w w:val="105"/>
          <w:szCs w:val="24"/>
        </w:rPr>
        <w:t>tym</w:t>
      </w:r>
      <w:r w:rsidRPr="007B5823">
        <w:rPr>
          <w:rFonts w:cs="Times New Roman"/>
          <w:color w:val="000000"/>
          <w:spacing w:val="-14"/>
          <w:w w:val="105"/>
          <w:szCs w:val="24"/>
        </w:rPr>
        <w:t xml:space="preserve"> </w:t>
      </w:r>
      <w:r w:rsidRPr="007B5823">
        <w:rPr>
          <w:rFonts w:cs="Times New Roman"/>
          <w:color w:val="000000"/>
          <w:w w:val="105"/>
          <w:szCs w:val="24"/>
        </w:rPr>
        <w:t>odprowadzania</w:t>
      </w:r>
      <w:r w:rsidRPr="007B5823">
        <w:rPr>
          <w:rFonts w:cs="Times New Roman"/>
          <w:color w:val="000000"/>
          <w:spacing w:val="5"/>
          <w:w w:val="105"/>
          <w:szCs w:val="24"/>
        </w:rPr>
        <w:t xml:space="preserve"> </w:t>
      </w:r>
      <w:r w:rsidRPr="007B5823">
        <w:rPr>
          <w:rFonts w:cs="Times New Roman"/>
          <w:color w:val="000000"/>
          <w:w w:val="105"/>
          <w:szCs w:val="24"/>
        </w:rPr>
        <w:t>i</w:t>
      </w:r>
      <w:r w:rsidRPr="007B5823">
        <w:rPr>
          <w:rFonts w:cs="Times New Roman"/>
          <w:color w:val="000000"/>
          <w:spacing w:val="-21"/>
          <w:w w:val="105"/>
          <w:szCs w:val="24"/>
        </w:rPr>
        <w:t xml:space="preserve"> </w:t>
      </w:r>
      <w:r w:rsidRPr="007B5823">
        <w:rPr>
          <w:rFonts w:cs="Times New Roman"/>
          <w:color w:val="000000"/>
          <w:w w:val="105"/>
          <w:szCs w:val="24"/>
        </w:rPr>
        <w:t>oczyszczania</w:t>
      </w:r>
      <w:r w:rsidRPr="007B5823">
        <w:rPr>
          <w:rFonts w:cs="Times New Roman"/>
          <w:color w:val="000000"/>
          <w:spacing w:val="-2"/>
          <w:w w:val="105"/>
          <w:szCs w:val="24"/>
        </w:rPr>
        <w:t xml:space="preserve"> </w:t>
      </w:r>
      <w:r w:rsidRPr="007B5823">
        <w:rPr>
          <w:rFonts w:cs="Times New Roman"/>
          <w:color w:val="000000"/>
          <w:w w:val="105"/>
          <w:szCs w:val="24"/>
        </w:rPr>
        <w:t>ścieków w zakresie zbiorowego odprowadzania</w:t>
      </w:r>
      <w:r w:rsidRPr="007B5823">
        <w:rPr>
          <w:rFonts w:cs="Times New Roman"/>
          <w:color w:val="000000"/>
          <w:spacing w:val="34"/>
          <w:w w:val="105"/>
          <w:szCs w:val="24"/>
        </w:rPr>
        <w:t xml:space="preserve"> </w:t>
      </w:r>
      <w:r w:rsidRPr="007B5823">
        <w:rPr>
          <w:rFonts w:cs="Times New Roman"/>
          <w:color w:val="000000"/>
          <w:w w:val="105"/>
          <w:szCs w:val="24"/>
        </w:rPr>
        <w:t>ścieków,</w:t>
      </w:r>
    </w:p>
    <w:p w14:paraId="2369D0C8" w14:textId="77777777" w:rsidR="007B5823" w:rsidRPr="007B5823" w:rsidRDefault="007B5823">
      <w:pPr>
        <w:pStyle w:val="Akapitzlist"/>
        <w:widowControl w:val="0"/>
        <w:numPr>
          <w:ilvl w:val="0"/>
          <w:numId w:val="292"/>
        </w:numPr>
        <w:autoSpaceDE w:val="0"/>
        <w:autoSpaceDN w:val="0"/>
        <w:spacing w:before="4"/>
        <w:ind w:left="1701" w:right="60" w:hanging="425"/>
        <w:jc w:val="both"/>
        <w:rPr>
          <w:rFonts w:cs="Times New Roman"/>
          <w:color w:val="000000"/>
          <w:szCs w:val="24"/>
        </w:rPr>
      </w:pPr>
      <w:r w:rsidRPr="007B5823">
        <w:rPr>
          <w:rFonts w:cs="Times New Roman"/>
          <w:color w:val="000000"/>
          <w:w w:val="105"/>
          <w:szCs w:val="24"/>
        </w:rPr>
        <w:t>wytwarzania, przesyłania lub dystrybucji energii elektrycznej lub</w:t>
      </w:r>
      <w:r w:rsidRPr="007B5823">
        <w:rPr>
          <w:rFonts w:cs="Times New Roman"/>
          <w:color w:val="000000"/>
          <w:spacing w:val="39"/>
          <w:w w:val="105"/>
          <w:szCs w:val="24"/>
        </w:rPr>
        <w:t xml:space="preserve"> </w:t>
      </w:r>
      <w:r w:rsidRPr="007B5823">
        <w:rPr>
          <w:rFonts w:cs="Times New Roman"/>
          <w:color w:val="000000"/>
          <w:w w:val="105"/>
          <w:szCs w:val="24"/>
        </w:rPr>
        <w:t>ciepła,</w:t>
      </w:r>
    </w:p>
    <w:p w14:paraId="2D7B3F6E" w14:textId="77777777" w:rsidR="007B5823" w:rsidRPr="007B5823" w:rsidRDefault="007B5823">
      <w:pPr>
        <w:numPr>
          <w:ilvl w:val="0"/>
          <w:numId w:val="292"/>
        </w:numPr>
        <w:spacing w:before="2" w:line="252" w:lineRule="auto"/>
        <w:ind w:left="1719" w:right="60" w:hanging="4"/>
        <w:jc w:val="both"/>
        <w:rPr>
          <w:rFonts w:cs="Times New Roman"/>
          <w:color w:val="000000"/>
          <w:szCs w:val="24"/>
        </w:rPr>
      </w:pPr>
      <w:r w:rsidRPr="007B5823">
        <w:rPr>
          <w:rFonts w:cs="Times New Roman"/>
          <w:color w:val="000000"/>
          <w:w w:val="105"/>
          <w:szCs w:val="24"/>
        </w:rPr>
        <w:t>wykonywania przez przedsiębiorców zadań na rzecz obronności państwa w</w:t>
      </w:r>
      <w:r w:rsidRPr="007B5823">
        <w:rPr>
          <w:rFonts w:cs="Times New Roman"/>
          <w:color w:val="000000"/>
          <w:spacing w:val="-9"/>
          <w:w w:val="105"/>
          <w:szCs w:val="24"/>
        </w:rPr>
        <w:t xml:space="preserve"> </w:t>
      </w:r>
      <w:r w:rsidRPr="007B5823">
        <w:rPr>
          <w:rFonts w:cs="Times New Roman"/>
          <w:color w:val="000000"/>
          <w:w w:val="105"/>
          <w:szCs w:val="24"/>
        </w:rPr>
        <w:t>zakresie</w:t>
      </w:r>
      <w:r w:rsidRPr="007B5823">
        <w:rPr>
          <w:rFonts w:cs="Times New Roman"/>
          <w:color w:val="000000"/>
          <w:spacing w:val="2"/>
          <w:w w:val="105"/>
          <w:szCs w:val="24"/>
        </w:rPr>
        <w:t xml:space="preserve"> </w:t>
      </w:r>
      <w:r w:rsidRPr="007B5823">
        <w:rPr>
          <w:rFonts w:cs="Times New Roman"/>
          <w:color w:val="000000"/>
          <w:w w:val="105"/>
          <w:szCs w:val="24"/>
        </w:rPr>
        <w:t>mobilizacji</w:t>
      </w:r>
      <w:r w:rsidRPr="007B5823">
        <w:rPr>
          <w:rFonts w:cs="Times New Roman"/>
          <w:color w:val="000000"/>
          <w:spacing w:val="4"/>
          <w:w w:val="105"/>
          <w:szCs w:val="24"/>
        </w:rPr>
        <w:t xml:space="preserve"> </w:t>
      </w:r>
      <w:r w:rsidRPr="007B5823">
        <w:rPr>
          <w:rFonts w:cs="Times New Roman"/>
          <w:color w:val="000000"/>
          <w:w w:val="105"/>
          <w:szCs w:val="24"/>
        </w:rPr>
        <w:t>gospodarki,</w:t>
      </w:r>
      <w:r w:rsidRPr="007B5823">
        <w:rPr>
          <w:rFonts w:cs="Times New Roman"/>
          <w:color w:val="000000"/>
          <w:spacing w:val="2"/>
          <w:w w:val="105"/>
          <w:szCs w:val="24"/>
        </w:rPr>
        <w:t xml:space="preserve"> </w:t>
      </w:r>
      <w:r w:rsidRPr="007B5823">
        <w:rPr>
          <w:rFonts w:cs="Times New Roman"/>
          <w:color w:val="000000"/>
          <w:w w:val="105"/>
          <w:szCs w:val="24"/>
        </w:rPr>
        <w:t>o</w:t>
      </w:r>
      <w:r w:rsidRPr="007B5823">
        <w:rPr>
          <w:rFonts w:cs="Times New Roman"/>
          <w:color w:val="000000"/>
          <w:spacing w:val="-9"/>
          <w:w w:val="105"/>
          <w:szCs w:val="24"/>
        </w:rPr>
        <w:t xml:space="preserve"> </w:t>
      </w:r>
      <w:r w:rsidRPr="007B5823">
        <w:rPr>
          <w:rFonts w:cs="Times New Roman"/>
          <w:color w:val="000000"/>
          <w:w w:val="105"/>
          <w:szCs w:val="24"/>
        </w:rPr>
        <w:t>których</w:t>
      </w:r>
      <w:r w:rsidRPr="007B5823">
        <w:rPr>
          <w:rFonts w:cs="Times New Roman"/>
          <w:color w:val="000000"/>
          <w:spacing w:val="1"/>
          <w:w w:val="105"/>
          <w:szCs w:val="24"/>
        </w:rPr>
        <w:t xml:space="preserve"> </w:t>
      </w:r>
      <w:r w:rsidRPr="007B5823">
        <w:rPr>
          <w:rFonts w:cs="Times New Roman"/>
          <w:color w:val="000000"/>
          <w:w w:val="105"/>
          <w:szCs w:val="24"/>
        </w:rPr>
        <w:t>mowa</w:t>
      </w:r>
      <w:r w:rsidRPr="007B5823">
        <w:rPr>
          <w:rFonts w:cs="Times New Roman"/>
          <w:color w:val="000000"/>
          <w:spacing w:val="4"/>
          <w:w w:val="105"/>
          <w:szCs w:val="24"/>
        </w:rPr>
        <w:t xml:space="preserve"> </w:t>
      </w:r>
      <w:r w:rsidRPr="007B5823">
        <w:rPr>
          <w:rFonts w:cs="Times New Roman"/>
          <w:color w:val="000000"/>
          <w:w w:val="105"/>
          <w:szCs w:val="24"/>
        </w:rPr>
        <w:t>w</w:t>
      </w:r>
      <w:r w:rsidRPr="007B5823">
        <w:rPr>
          <w:rFonts w:cs="Times New Roman"/>
          <w:color w:val="000000"/>
          <w:spacing w:val="-11"/>
          <w:w w:val="105"/>
          <w:szCs w:val="24"/>
        </w:rPr>
        <w:t xml:space="preserve"> </w:t>
      </w:r>
      <w:r w:rsidRPr="007B5823">
        <w:rPr>
          <w:rFonts w:cs="Times New Roman"/>
          <w:color w:val="000000"/>
          <w:w w:val="105"/>
          <w:szCs w:val="24"/>
        </w:rPr>
        <w:t>art.</w:t>
      </w:r>
      <w:r w:rsidRPr="007B5823">
        <w:rPr>
          <w:rFonts w:cs="Times New Roman"/>
          <w:color w:val="000000"/>
          <w:spacing w:val="-7"/>
          <w:w w:val="105"/>
          <w:szCs w:val="24"/>
        </w:rPr>
        <w:t xml:space="preserve"> </w:t>
      </w:r>
      <w:r w:rsidRPr="007B5823">
        <w:rPr>
          <w:rFonts w:cs="Times New Roman"/>
          <w:color w:val="000000"/>
          <w:w w:val="105"/>
          <w:szCs w:val="24"/>
        </w:rPr>
        <w:t>2</w:t>
      </w:r>
      <w:r w:rsidRPr="007B5823">
        <w:rPr>
          <w:rFonts w:cs="Times New Roman"/>
          <w:color w:val="000000"/>
          <w:spacing w:val="-11"/>
          <w:w w:val="105"/>
          <w:szCs w:val="24"/>
        </w:rPr>
        <w:t xml:space="preserve"> </w:t>
      </w:r>
      <w:r w:rsidRPr="007B5823">
        <w:rPr>
          <w:rFonts w:cs="Times New Roman"/>
          <w:color w:val="000000"/>
          <w:w w:val="105"/>
          <w:szCs w:val="24"/>
        </w:rPr>
        <w:t>pkt</w:t>
      </w:r>
      <w:r w:rsidRPr="007B5823">
        <w:rPr>
          <w:rFonts w:cs="Times New Roman"/>
          <w:color w:val="000000"/>
          <w:spacing w:val="-5"/>
          <w:w w:val="105"/>
          <w:szCs w:val="24"/>
        </w:rPr>
        <w:t xml:space="preserve"> </w:t>
      </w:r>
      <w:r w:rsidRPr="007B5823">
        <w:rPr>
          <w:rFonts w:cs="Times New Roman"/>
          <w:color w:val="000000"/>
          <w:w w:val="105"/>
          <w:szCs w:val="24"/>
        </w:rPr>
        <w:t>1</w:t>
      </w:r>
      <w:r w:rsidRPr="007B5823">
        <w:rPr>
          <w:rFonts w:cs="Times New Roman"/>
          <w:color w:val="000000"/>
          <w:spacing w:val="-3"/>
          <w:w w:val="105"/>
          <w:szCs w:val="24"/>
        </w:rPr>
        <w:t xml:space="preserve"> </w:t>
      </w:r>
      <w:r w:rsidRPr="007B5823">
        <w:rPr>
          <w:rFonts w:cs="Times New Roman"/>
          <w:color w:val="000000"/>
          <w:w w:val="105"/>
          <w:szCs w:val="24"/>
        </w:rPr>
        <w:t>ustawy</w:t>
      </w:r>
      <w:r w:rsidRPr="007B5823">
        <w:rPr>
          <w:rFonts w:cs="Times New Roman"/>
          <w:color w:val="000000"/>
          <w:spacing w:val="-2"/>
          <w:w w:val="105"/>
          <w:szCs w:val="24"/>
        </w:rPr>
        <w:t xml:space="preserve"> </w:t>
      </w:r>
      <w:r w:rsidRPr="007B5823">
        <w:rPr>
          <w:rFonts w:cs="Times New Roman"/>
          <w:color w:val="000000"/>
          <w:w w:val="105"/>
          <w:szCs w:val="24"/>
        </w:rPr>
        <w:t>z</w:t>
      </w:r>
      <w:r w:rsidRPr="007B5823">
        <w:rPr>
          <w:rFonts w:cs="Times New Roman"/>
          <w:color w:val="000000"/>
          <w:spacing w:val="-10"/>
          <w:w w:val="105"/>
          <w:szCs w:val="24"/>
        </w:rPr>
        <w:t xml:space="preserve"> </w:t>
      </w:r>
      <w:r w:rsidRPr="007B5823">
        <w:rPr>
          <w:rFonts w:cs="Times New Roman"/>
          <w:color w:val="000000"/>
          <w:w w:val="105"/>
          <w:szCs w:val="24"/>
        </w:rPr>
        <w:t xml:space="preserve">dnia 23 sierpnia 2001 r. o organizowaniu zadań na rzecz obronności państwa realizowanych przez przedsiębiorców (Dz. U. </w:t>
      </w:r>
      <w:r w:rsidRPr="007B5823">
        <w:rPr>
          <w:rFonts w:cs="Times New Roman"/>
          <w:color w:val="000000"/>
          <w:w w:val="105"/>
          <w:szCs w:val="24"/>
        </w:rPr>
        <w:br/>
        <w:t>z 2020 r. poz. 1669), w okresie uruchomienia</w:t>
      </w:r>
      <w:r w:rsidRPr="007B5823">
        <w:rPr>
          <w:rFonts w:cs="Times New Roman"/>
          <w:color w:val="000000"/>
          <w:spacing w:val="-9"/>
          <w:w w:val="105"/>
          <w:szCs w:val="24"/>
        </w:rPr>
        <w:t xml:space="preserve"> </w:t>
      </w:r>
      <w:r w:rsidRPr="007B5823">
        <w:rPr>
          <w:rFonts w:cs="Times New Roman"/>
          <w:color w:val="000000"/>
          <w:w w:val="105"/>
          <w:szCs w:val="24"/>
        </w:rPr>
        <w:t>programu</w:t>
      </w:r>
      <w:r w:rsidRPr="007B5823">
        <w:rPr>
          <w:rFonts w:cs="Times New Roman"/>
          <w:color w:val="000000"/>
          <w:spacing w:val="-10"/>
          <w:w w:val="105"/>
          <w:szCs w:val="24"/>
        </w:rPr>
        <w:t xml:space="preserve"> </w:t>
      </w:r>
      <w:r w:rsidRPr="007B5823">
        <w:rPr>
          <w:rFonts w:cs="Times New Roman"/>
          <w:color w:val="000000"/>
          <w:w w:val="105"/>
          <w:szCs w:val="24"/>
        </w:rPr>
        <w:t>mobilizacji</w:t>
      </w:r>
      <w:r w:rsidRPr="007B5823">
        <w:rPr>
          <w:rFonts w:cs="Times New Roman"/>
          <w:color w:val="000000"/>
          <w:spacing w:val="-3"/>
          <w:w w:val="105"/>
          <w:szCs w:val="24"/>
        </w:rPr>
        <w:t xml:space="preserve"> </w:t>
      </w:r>
      <w:r w:rsidRPr="007B5823">
        <w:rPr>
          <w:rFonts w:cs="Times New Roman"/>
          <w:color w:val="000000"/>
          <w:w w:val="105"/>
          <w:szCs w:val="24"/>
        </w:rPr>
        <w:t>gospodarki</w:t>
      </w:r>
      <w:r w:rsidRPr="007B5823">
        <w:rPr>
          <w:rFonts w:cs="Times New Roman"/>
          <w:color w:val="000000"/>
          <w:spacing w:val="-3"/>
          <w:w w:val="105"/>
          <w:szCs w:val="24"/>
        </w:rPr>
        <w:t xml:space="preserve"> </w:t>
      </w:r>
      <w:r w:rsidRPr="007B5823">
        <w:rPr>
          <w:rFonts w:cs="Times New Roman"/>
          <w:color w:val="000000"/>
          <w:w w:val="105"/>
          <w:szCs w:val="24"/>
        </w:rPr>
        <w:t>w</w:t>
      </w:r>
      <w:r w:rsidRPr="007B5823">
        <w:rPr>
          <w:rFonts w:cs="Times New Roman"/>
          <w:color w:val="000000"/>
          <w:spacing w:val="-20"/>
          <w:w w:val="105"/>
          <w:szCs w:val="24"/>
        </w:rPr>
        <w:t xml:space="preserve"> </w:t>
      </w:r>
      <w:r w:rsidRPr="007B5823">
        <w:rPr>
          <w:rFonts w:cs="Times New Roman"/>
          <w:color w:val="000000"/>
          <w:w w:val="105"/>
          <w:szCs w:val="24"/>
        </w:rPr>
        <w:t>zakresie</w:t>
      </w:r>
      <w:r w:rsidRPr="007B5823">
        <w:rPr>
          <w:rFonts w:cs="Times New Roman"/>
          <w:color w:val="000000"/>
          <w:spacing w:val="-11"/>
          <w:w w:val="105"/>
          <w:szCs w:val="24"/>
        </w:rPr>
        <w:t xml:space="preserve"> </w:t>
      </w:r>
      <w:r w:rsidRPr="007B5823">
        <w:rPr>
          <w:rFonts w:cs="Times New Roman"/>
          <w:color w:val="000000"/>
          <w:w w:val="105"/>
          <w:szCs w:val="24"/>
        </w:rPr>
        <w:t>realizacji</w:t>
      </w:r>
      <w:r w:rsidRPr="007B5823">
        <w:rPr>
          <w:rFonts w:cs="Times New Roman"/>
          <w:color w:val="000000"/>
          <w:spacing w:val="-10"/>
          <w:w w:val="105"/>
          <w:szCs w:val="24"/>
        </w:rPr>
        <w:t xml:space="preserve"> </w:t>
      </w:r>
      <w:r w:rsidRPr="007B5823">
        <w:rPr>
          <w:rFonts w:cs="Times New Roman"/>
          <w:color w:val="000000"/>
          <w:w w:val="105"/>
          <w:szCs w:val="24"/>
        </w:rPr>
        <w:t>tych</w:t>
      </w:r>
      <w:r w:rsidRPr="007B5823">
        <w:rPr>
          <w:rFonts w:cs="Times New Roman"/>
          <w:color w:val="000000"/>
          <w:spacing w:val="-17"/>
          <w:w w:val="105"/>
          <w:szCs w:val="24"/>
        </w:rPr>
        <w:t xml:space="preserve"> </w:t>
      </w:r>
      <w:r w:rsidRPr="007B5823">
        <w:rPr>
          <w:rFonts w:cs="Times New Roman"/>
          <w:color w:val="000000"/>
          <w:w w:val="105"/>
          <w:szCs w:val="24"/>
        </w:rPr>
        <w:t>zadań</w:t>
      </w:r>
    </w:p>
    <w:p w14:paraId="6C3D3055" w14:textId="77777777" w:rsidR="007B5823" w:rsidRPr="007B5823" w:rsidRDefault="007B5823" w:rsidP="007B5823">
      <w:pPr>
        <w:spacing w:line="249" w:lineRule="exact"/>
        <w:ind w:left="1433" w:right="60"/>
        <w:jc w:val="both"/>
        <w:rPr>
          <w:rFonts w:cs="Times New Roman"/>
          <w:color w:val="000000"/>
          <w:szCs w:val="24"/>
        </w:rPr>
      </w:pPr>
      <w:r w:rsidRPr="007B5823">
        <w:rPr>
          <w:rFonts w:cs="Times New Roman"/>
          <w:color w:val="000000"/>
          <w:w w:val="105"/>
          <w:szCs w:val="24"/>
        </w:rPr>
        <w:t>- albo wyodrębnionej części obiektu wykorzystywanego do tych celów;</w:t>
      </w:r>
    </w:p>
    <w:p w14:paraId="027410C3" w14:textId="77777777" w:rsidR="007B5823" w:rsidRPr="007B5823" w:rsidRDefault="007B5823">
      <w:pPr>
        <w:pStyle w:val="Akapitzlist"/>
        <w:widowControl w:val="0"/>
        <w:numPr>
          <w:ilvl w:val="0"/>
          <w:numId w:val="293"/>
        </w:numPr>
        <w:autoSpaceDE w:val="0"/>
        <w:autoSpaceDN w:val="0"/>
        <w:spacing w:before="23" w:line="261" w:lineRule="auto"/>
        <w:ind w:left="1418" w:right="60" w:hanging="425"/>
        <w:jc w:val="both"/>
        <w:rPr>
          <w:rFonts w:cs="Times New Roman"/>
          <w:color w:val="000000"/>
          <w:szCs w:val="24"/>
        </w:rPr>
      </w:pPr>
      <w:r w:rsidRPr="007B5823">
        <w:rPr>
          <w:rFonts w:cs="Times New Roman"/>
          <w:color w:val="000000"/>
          <w:w w:val="105"/>
          <w:szCs w:val="24"/>
        </w:rPr>
        <w:t>stanowiącego</w:t>
      </w:r>
      <w:r w:rsidRPr="007B5823">
        <w:rPr>
          <w:rFonts w:cs="Times New Roman"/>
          <w:color w:val="000000"/>
          <w:spacing w:val="2"/>
          <w:w w:val="105"/>
          <w:szCs w:val="24"/>
        </w:rPr>
        <w:t xml:space="preserve"> </w:t>
      </w:r>
      <w:r w:rsidRPr="007B5823">
        <w:rPr>
          <w:rFonts w:cs="Times New Roman"/>
          <w:color w:val="000000"/>
          <w:w w:val="105"/>
          <w:szCs w:val="24"/>
        </w:rPr>
        <w:t>infrastrukturę</w:t>
      </w:r>
      <w:r w:rsidRPr="007B5823">
        <w:rPr>
          <w:rFonts w:cs="Times New Roman"/>
          <w:color w:val="000000"/>
          <w:spacing w:val="-13"/>
          <w:w w:val="105"/>
          <w:szCs w:val="24"/>
        </w:rPr>
        <w:t xml:space="preserve"> </w:t>
      </w:r>
      <w:r w:rsidRPr="007B5823">
        <w:rPr>
          <w:rFonts w:cs="Times New Roman"/>
          <w:color w:val="000000"/>
          <w:w w:val="105"/>
          <w:szCs w:val="24"/>
        </w:rPr>
        <w:t>krytyczną</w:t>
      </w:r>
      <w:r w:rsidRPr="007B5823">
        <w:rPr>
          <w:rFonts w:cs="Times New Roman"/>
          <w:color w:val="000000"/>
          <w:spacing w:val="-1"/>
          <w:w w:val="105"/>
          <w:szCs w:val="24"/>
        </w:rPr>
        <w:t xml:space="preserve"> </w:t>
      </w:r>
      <w:r w:rsidRPr="007B5823">
        <w:rPr>
          <w:rFonts w:cs="Times New Roman"/>
          <w:color w:val="000000"/>
          <w:w w:val="105"/>
          <w:szCs w:val="24"/>
        </w:rPr>
        <w:t>ujętą</w:t>
      </w:r>
      <w:r w:rsidRPr="007B5823">
        <w:rPr>
          <w:rFonts w:cs="Times New Roman"/>
          <w:color w:val="000000"/>
          <w:spacing w:val="-6"/>
          <w:w w:val="105"/>
          <w:szCs w:val="24"/>
        </w:rPr>
        <w:t xml:space="preserve"> </w:t>
      </w:r>
      <w:r w:rsidRPr="007B5823">
        <w:rPr>
          <w:rFonts w:cs="Times New Roman"/>
          <w:color w:val="000000"/>
          <w:w w:val="105"/>
          <w:szCs w:val="24"/>
        </w:rPr>
        <w:t>w</w:t>
      </w:r>
      <w:r w:rsidRPr="007B5823">
        <w:rPr>
          <w:rFonts w:cs="Times New Roman"/>
          <w:color w:val="000000"/>
          <w:spacing w:val="-11"/>
          <w:w w:val="105"/>
          <w:szCs w:val="24"/>
        </w:rPr>
        <w:t xml:space="preserve"> </w:t>
      </w:r>
      <w:r w:rsidRPr="007B5823">
        <w:rPr>
          <w:rFonts w:cs="Times New Roman"/>
          <w:color w:val="000000"/>
          <w:w w:val="105"/>
          <w:szCs w:val="24"/>
        </w:rPr>
        <w:t>wykazie,</w:t>
      </w:r>
      <w:r w:rsidRPr="007B5823">
        <w:rPr>
          <w:rFonts w:cs="Times New Roman"/>
          <w:color w:val="000000"/>
          <w:spacing w:val="-3"/>
          <w:w w:val="105"/>
          <w:szCs w:val="24"/>
        </w:rPr>
        <w:t xml:space="preserve"> </w:t>
      </w:r>
      <w:r w:rsidRPr="007B5823">
        <w:rPr>
          <w:rFonts w:cs="Times New Roman"/>
          <w:color w:val="000000"/>
          <w:w w:val="105"/>
          <w:szCs w:val="24"/>
        </w:rPr>
        <w:t>o</w:t>
      </w:r>
      <w:r w:rsidRPr="007B5823">
        <w:rPr>
          <w:rFonts w:cs="Times New Roman"/>
          <w:color w:val="000000"/>
          <w:spacing w:val="-8"/>
          <w:w w:val="105"/>
          <w:szCs w:val="24"/>
        </w:rPr>
        <w:t xml:space="preserve"> </w:t>
      </w:r>
      <w:r w:rsidRPr="007B5823">
        <w:rPr>
          <w:rFonts w:cs="Times New Roman"/>
          <w:color w:val="000000"/>
          <w:w w:val="105"/>
          <w:szCs w:val="24"/>
        </w:rPr>
        <w:t>którym</w:t>
      </w:r>
      <w:r w:rsidRPr="007B5823">
        <w:rPr>
          <w:rFonts w:cs="Times New Roman"/>
          <w:color w:val="000000"/>
          <w:spacing w:val="6"/>
          <w:w w:val="105"/>
          <w:szCs w:val="24"/>
        </w:rPr>
        <w:t xml:space="preserve"> </w:t>
      </w:r>
      <w:r w:rsidRPr="007B5823">
        <w:rPr>
          <w:rFonts w:cs="Times New Roman"/>
          <w:color w:val="000000"/>
          <w:w w:val="105"/>
          <w:szCs w:val="24"/>
        </w:rPr>
        <w:t>mowa</w:t>
      </w:r>
      <w:r w:rsidRPr="007B5823">
        <w:rPr>
          <w:rFonts w:cs="Times New Roman"/>
          <w:color w:val="000000"/>
          <w:spacing w:val="1"/>
          <w:w w:val="105"/>
          <w:szCs w:val="24"/>
        </w:rPr>
        <w:t xml:space="preserve"> </w:t>
      </w:r>
      <w:r w:rsidRPr="007B5823">
        <w:rPr>
          <w:rFonts w:cs="Times New Roman"/>
          <w:color w:val="000000"/>
          <w:w w:val="105"/>
          <w:szCs w:val="24"/>
        </w:rPr>
        <w:t>w</w:t>
      </w:r>
      <w:r w:rsidRPr="007B5823">
        <w:rPr>
          <w:rFonts w:cs="Times New Roman"/>
          <w:color w:val="000000"/>
          <w:spacing w:val="-9"/>
          <w:w w:val="105"/>
          <w:szCs w:val="24"/>
        </w:rPr>
        <w:t xml:space="preserve"> </w:t>
      </w:r>
      <w:r w:rsidRPr="007B5823">
        <w:rPr>
          <w:rFonts w:cs="Times New Roman"/>
          <w:color w:val="000000"/>
          <w:w w:val="105"/>
          <w:szCs w:val="24"/>
        </w:rPr>
        <w:t>art.</w:t>
      </w:r>
      <w:r w:rsidRPr="007B5823">
        <w:rPr>
          <w:rFonts w:cs="Times New Roman"/>
          <w:color w:val="000000"/>
          <w:spacing w:val="-15"/>
          <w:w w:val="105"/>
          <w:szCs w:val="24"/>
        </w:rPr>
        <w:t xml:space="preserve"> </w:t>
      </w:r>
      <w:r w:rsidRPr="007B5823">
        <w:rPr>
          <w:rFonts w:cs="Times New Roman"/>
          <w:color w:val="000000"/>
          <w:w w:val="105"/>
          <w:szCs w:val="24"/>
        </w:rPr>
        <w:t>5b</w:t>
      </w:r>
      <w:r w:rsidRPr="007B5823">
        <w:rPr>
          <w:rFonts w:cs="Times New Roman"/>
          <w:color w:val="000000"/>
          <w:spacing w:val="-12"/>
          <w:w w:val="105"/>
          <w:szCs w:val="24"/>
        </w:rPr>
        <w:t xml:space="preserve"> </w:t>
      </w:r>
      <w:r w:rsidRPr="007B5823">
        <w:rPr>
          <w:rFonts w:cs="Times New Roman"/>
          <w:color w:val="000000"/>
          <w:w w:val="105"/>
          <w:szCs w:val="24"/>
        </w:rPr>
        <w:t xml:space="preserve">ust. 7 pkt 1 ustawy z dnia 26 kwietnia 2007 r. o zarządzaniu kryzysowym (Dz. </w:t>
      </w:r>
      <w:r w:rsidRPr="007B5823">
        <w:rPr>
          <w:rFonts w:cs="Times New Roman"/>
          <w:color w:val="000000"/>
          <w:spacing w:val="6"/>
          <w:w w:val="105"/>
          <w:szCs w:val="24"/>
        </w:rPr>
        <w:t xml:space="preserve">U. </w:t>
      </w:r>
      <w:r w:rsidRPr="007B5823">
        <w:rPr>
          <w:rFonts w:cs="Times New Roman"/>
          <w:color w:val="000000"/>
          <w:w w:val="105"/>
          <w:szCs w:val="24"/>
        </w:rPr>
        <w:t>z</w:t>
      </w:r>
      <w:r w:rsidRPr="007B5823">
        <w:rPr>
          <w:rFonts w:cs="Times New Roman"/>
          <w:color w:val="000000"/>
          <w:spacing w:val="20"/>
          <w:w w:val="105"/>
          <w:szCs w:val="24"/>
        </w:rPr>
        <w:t xml:space="preserve"> </w:t>
      </w:r>
      <w:r w:rsidRPr="007B5823">
        <w:rPr>
          <w:rFonts w:cs="Times New Roman"/>
          <w:color w:val="000000"/>
          <w:w w:val="105"/>
          <w:szCs w:val="24"/>
        </w:rPr>
        <w:t>2022 r. poz. 261) zlokalizowaną na terenie Rzeczypospolitej Polskiej</w:t>
      </w:r>
    </w:p>
    <w:p w14:paraId="39B3C143" w14:textId="77777777" w:rsidR="007B5823" w:rsidRPr="007B5823" w:rsidRDefault="007B5823" w:rsidP="00570670">
      <w:pPr>
        <w:pStyle w:val="Akapitzlist"/>
        <w:widowControl w:val="0"/>
        <w:autoSpaceDE w:val="0"/>
        <w:autoSpaceDN w:val="0"/>
        <w:spacing w:before="91" w:line="249" w:lineRule="auto"/>
        <w:ind w:left="1276" w:right="60" w:hanging="1276"/>
        <w:jc w:val="both"/>
        <w:rPr>
          <w:rFonts w:cs="Times New Roman"/>
          <w:color w:val="000000"/>
          <w:szCs w:val="24"/>
        </w:rPr>
      </w:pPr>
      <w:r w:rsidRPr="007B5823">
        <w:rPr>
          <w:rFonts w:cs="Times New Roman"/>
          <w:color w:val="000000"/>
          <w:szCs w:val="24"/>
        </w:rPr>
        <w:t xml:space="preserve">IV.3.2.11. Odbiorca będący jednocześnie OSDn, nie podlega ograniczeniom </w:t>
      </w:r>
      <w:r w:rsidRPr="007B5823">
        <w:rPr>
          <w:rFonts w:cs="Times New Roman"/>
          <w:color w:val="000000"/>
          <w:szCs w:val="24"/>
        </w:rPr>
        <w:br/>
        <w:t>w dostarczaniu i poborze energii elektrycznej w zakresie energii elektrycznej zużywanej na potrzeby wytwarzania, przesyłania lub dystrybucji energii</w:t>
      </w:r>
      <w:r w:rsidRPr="007B5823">
        <w:rPr>
          <w:rFonts w:cs="Times New Roman"/>
          <w:color w:val="000000"/>
          <w:spacing w:val="-21"/>
          <w:szCs w:val="24"/>
        </w:rPr>
        <w:t xml:space="preserve"> </w:t>
      </w:r>
      <w:r w:rsidRPr="007B5823">
        <w:rPr>
          <w:rFonts w:cs="Times New Roman"/>
          <w:color w:val="000000"/>
          <w:szCs w:val="24"/>
        </w:rPr>
        <w:t>elektrycznej.</w:t>
      </w:r>
    </w:p>
    <w:p w14:paraId="59919942" w14:textId="1213AEAF" w:rsidR="007B5823" w:rsidRPr="007B5823" w:rsidRDefault="007B5823" w:rsidP="00570670">
      <w:pPr>
        <w:pStyle w:val="Akapitzlist"/>
        <w:widowControl w:val="0"/>
        <w:autoSpaceDE w:val="0"/>
        <w:autoSpaceDN w:val="0"/>
        <w:spacing w:line="252" w:lineRule="auto"/>
        <w:ind w:left="1276" w:right="60" w:hanging="1276"/>
        <w:jc w:val="both"/>
        <w:rPr>
          <w:rFonts w:cs="Times New Roman"/>
          <w:color w:val="000000"/>
          <w:szCs w:val="24"/>
        </w:rPr>
      </w:pPr>
      <w:r w:rsidRPr="007B5823">
        <w:rPr>
          <w:rFonts w:cs="Times New Roman"/>
          <w:color w:val="000000"/>
          <w:w w:val="105"/>
          <w:szCs w:val="24"/>
        </w:rPr>
        <w:t xml:space="preserve">IV.3.2.12. Obiekty albo wyodrębnione części tych obiektów, o których mowa </w:t>
      </w:r>
      <w:r w:rsidRPr="007B5823">
        <w:rPr>
          <w:rFonts w:cs="Times New Roman"/>
          <w:color w:val="000000"/>
          <w:w w:val="105"/>
          <w:szCs w:val="24"/>
        </w:rPr>
        <w:br/>
        <w:t xml:space="preserve">w pkt IV.3.2.10., będące w posiadaniu odbiorcy podlegają ochronie, jeżeli zostały wyszczególnione, na wniosek i zgodnie z oświadczeniem tego odbiorcy, </w:t>
      </w:r>
      <w:r w:rsidRPr="007B5823">
        <w:rPr>
          <w:rFonts w:cs="Times New Roman"/>
          <w:color w:val="000000"/>
          <w:w w:val="105"/>
          <w:szCs w:val="24"/>
        </w:rPr>
        <w:br/>
        <w:t>w umowach dystrybucyjnych albo kompleksowych - wzór wniosku zawierającego oświadczenie opracowuje OSDn oraz umieszcza na swojej stronie internetowej. W</w:t>
      </w:r>
      <w:r w:rsidRPr="007B5823">
        <w:rPr>
          <w:rFonts w:cs="Times New Roman"/>
          <w:color w:val="000000"/>
          <w:spacing w:val="-19"/>
          <w:w w:val="105"/>
          <w:szCs w:val="24"/>
        </w:rPr>
        <w:t xml:space="preserve"> </w:t>
      </w:r>
      <w:r w:rsidRPr="007B5823">
        <w:rPr>
          <w:rFonts w:cs="Times New Roman"/>
          <w:color w:val="000000"/>
          <w:w w:val="105"/>
          <w:szCs w:val="24"/>
        </w:rPr>
        <w:t>przypadku</w:t>
      </w:r>
      <w:r w:rsidRPr="007B5823">
        <w:rPr>
          <w:rFonts w:cs="Times New Roman"/>
          <w:color w:val="000000"/>
          <w:spacing w:val="-6"/>
          <w:w w:val="105"/>
          <w:szCs w:val="24"/>
        </w:rPr>
        <w:t xml:space="preserve"> </w:t>
      </w:r>
      <w:r w:rsidRPr="007B5823">
        <w:rPr>
          <w:rFonts w:cs="Times New Roman"/>
          <w:color w:val="000000"/>
          <w:w w:val="105"/>
          <w:szCs w:val="24"/>
        </w:rPr>
        <w:t>umów</w:t>
      </w:r>
      <w:r w:rsidRPr="007B5823">
        <w:rPr>
          <w:rFonts w:cs="Times New Roman"/>
          <w:color w:val="000000"/>
          <w:spacing w:val="-14"/>
          <w:w w:val="105"/>
          <w:szCs w:val="24"/>
        </w:rPr>
        <w:t xml:space="preserve"> </w:t>
      </w:r>
      <w:r w:rsidRPr="007B5823">
        <w:rPr>
          <w:rFonts w:cs="Times New Roman"/>
          <w:color w:val="000000"/>
          <w:w w:val="105"/>
          <w:szCs w:val="24"/>
        </w:rPr>
        <w:t>kompleksowych,</w:t>
      </w:r>
      <w:r w:rsidRPr="007B5823">
        <w:rPr>
          <w:rFonts w:cs="Times New Roman"/>
          <w:color w:val="000000"/>
          <w:spacing w:val="-20"/>
          <w:w w:val="105"/>
          <w:szCs w:val="24"/>
        </w:rPr>
        <w:t xml:space="preserve"> </w:t>
      </w:r>
      <w:r w:rsidRPr="007B5823">
        <w:rPr>
          <w:rFonts w:cs="Times New Roman"/>
          <w:color w:val="000000"/>
          <w:w w:val="105"/>
          <w:szCs w:val="24"/>
        </w:rPr>
        <w:t>jeżeli</w:t>
      </w:r>
      <w:r w:rsidRPr="007B5823">
        <w:rPr>
          <w:rFonts w:cs="Times New Roman"/>
          <w:color w:val="000000"/>
          <w:spacing w:val="-11"/>
          <w:w w:val="105"/>
          <w:szCs w:val="24"/>
        </w:rPr>
        <w:t xml:space="preserve"> </w:t>
      </w:r>
      <w:r w:rsidRPr="007B5823">
        <w:rPr>
          <w:rFonts w:cs="Times New Roman"/>
          <w:color w:val="000000"/>
          <w:w w:val="105"/>
          <w:szCs w:val="24"/>
        </w:rPr>
        <w:t>wniosek,</w:t>
      </w:r>
      <w:r w:rsidRPr="007B5823">
        <w:rPr>
          <w:rFonts w:cs="Times New Roman"/>
          <w:color w:val="000000"/>
          <w:spacing w:val="-12"/>
          <w:w w:val="105"/>
          <w:szCs w:val="24"/>
        </w:rPr>
        <w:t xml:space="preserve"> </w:t>
      </w:r>
      <w:r w:rsidR="00570670">
        <w:rPr>
          <w:rFonts w:cs="Times New Roman"/>
          <w:color w:val="000000"/>
          <w:spacing w:val="-12"/>
          <w:w w:val="105"/>
          <w:szCs w:val="24"/>
        </w:rPr>
        <w:br/>
      </w:r>
      <w:r w:rsidRPr="007B5823">
        <w:rPr>
          <w:rFonts w:cs="Times New Roman"/>
          <w:color w:val="000000"/>
          <w:w w:val="105"/>
          <w:szCs w:val="24"/>
        </w:rPr>
        <w:t>o</w:t>
      </w:r>
      <w:r w:rsidRPr="007B5823">
        <w:rPr>
          <w:rFonts w:cs="Times New Roman"/>
          <w:color w:val="000000"/>
          <w:spacing w:val="-16"/>
          <w:w w:val="105"/>
          <w:szCs w:val="24"/>
        </w:rPr>
        <w:t xml:space="preserve"> </w:t>
      </w:r>
      <w:r w:rsidRPr="007B5823">
        <w:rPr>
          <w:rFonts w:cs="Times New Roman"/>
          <w:color w:val="000000"/>
          <w:w w:val="105"/>
          <w:szCs w:val="24"/>
        </w:rPr>
        <w:t>którym</w:t>
      </w:r>
      <w:r w:rsidRPr="007B5823">
        <w:rPr>
          <w:rFonts w:cs="Times New Roman"/>
          <w:color w:val="000000"/>
          <w:spacing w:val="-8"/>
          <w:w w:val="105"/>
          <w:szCs w:val="24"/>
        </w:rPr>
        <w:t xml:space="preserve"> </w:t>
      </w:r>
      <w:r w:rsidRPr="007B5823">
        <w:rPr>
          <w:rFonts w:cs="Times New Roman"/>
          <w:color w:val="000000"/>
          <w:w w:val="105"/>
          <w:szCs w:val="24"/>
        </w:rPr>
        <w:t>mowa</w:t>
      </w:r>
      <w:r w:rsidRPr="007B5823">
        <w:rPr>
          <w:rFonts w:cs="Times New Roman"/>
          <w:color w:val="000000"/>
          <w:spacing w:val="-9"/>
          <w:w w:val="105"/>
          <w:szCs w:val="24"/>
        </w:rPr>
        <w:t xml:space="preserve"> </w:t>
      </w:r>
      <w:r w:rsidRPr="007B5823">
        <w:rPr>
          <w:rFonts w:cs="Times New Roman"/>
          <w:color w:val="000000"/>
          <w:w w:val="105"/>
          <w:szCs w:val="24"/>
        </w:rPr>
        <w:t>w</w:t>
      </w:r>
      <w:r w:rsidRPr="007B5823">
        <w:rPr>
          <w:rFonts w:cs="Times New Roman"/>
          <w:color w:val="000000"/>
          <w:spacing w:val="-19"/>
          <w:w w:val="105"/>
          <w:szCs w:val="24"/>
        </w:rPr>
        <w:t xml:space="preserve"> </w:t>
      </w:r>
      <w:r w:rsidRPr="007B5823">
        <w:rPr>
          <w:rFonts w:cs="Times New Roman"/>
          <w:color w:val="000000"/>
          <w:w w:val="105"/>
          <w:szCs w:val="24"/>
        </w:rPr>
        <w:t>zdaniu</w:t>
      </w:r>
      <w:r w:rsidRPr="007B5823">
        <w:rPr>
          <w:rFonts w:cs="Times New Roman"/>
          <w:color w:val="000000"/>
          <w:spacing w:val="-7"/>
          <w:w w:val="105"/>
          <w:szCs w:val="24"/>
        </w:rPr>
        <w:t xml:space="preserve"> </w:t>
      </w:r>
      <w:r w:rsidRPr="007B5823">
        <w:rPr>
          <w:rFonts w:cs="Times New Roman"/>
          <w:color w:val="000000"/>
          <w:w w:val="105"/>
          <w:szCs w:val="24"/>
        </w:rPr>
        <w:t>pierwszym otrzymał sprzedawca, wówczas sprzedawca przekazuje go niezwłocznie do OSDn,</w:t>
      </w:r>
      <w:r w:rsidRPr="007B5823">
        <w:rPr>
          <w:rFonts w:cs="Times New Roman"/>
          <w:color w:val="000000"/>
          <w:spacing w:val="-2"/>
          <w:w w:val="105"/>
          <w:szCs w:val="24"/>
        </w:rPr>
        <w:t xml:space="preserve"> </w:t>
      </w:r>
      <w:r w:rsidRPr="007B5823">
        <w:rPr>
          <w:rFonts w:cs="Times New Roman"/>
          <w:color w:val="000000"/>
          <w:w w:val="105"/>
          <w:szCs w:val="24"/>
        </w:rPr>
        <w:t>w</w:t>
      </w:r>
      <w:r w:rsidRPr="007B5823">
        <w:rPr>
          <w:rFonts w:cs="Times New Roman"/>
          <w:color w:val="000000"/>
          <w:spacing w:val="-18"/>
          <w:w w:val="105"/>
          <w:szCs w:val="24"/>
        </w:rPr>
        <w:t xml:space="preserve"> </w:t>
      </w:r>
      <w:r w:rsidRPr="007B5823">
        <w:rPr>
          <w:rFonts w:cs="Times New Roman"/>
          <w:color w:val="000000"/>
          <w:w w:val="105"/>
          <w:szCs w:val="24"/>
        </w:rPr>
        <w:t>formie</w:t>
      </w:r>
      <w:r w:rsidRPr="007B5823">
        <w:rPr>
          <w:rFonts w:cs="Times New Roman"/>
          <w:color w:val="000000"/>
          <w:spacing w:val="-9"/>
          <w:w w:val="105"/>
          <w:szCs w:val="24"/>
        </w:rPr>
        <w:t xml:space="preserve"> </w:t>
      </w:r>
      <w:r w:rsidRPr="007B5823">
        <w:rPr>
          <w:rFonts w:cs="Times New Roman"/>
          <w:color w:val="000000"/>
          <w:w w:val="105"/>
          <w:szCs w:val="24"/>
        </w:rPr>
        <w:t>elektronicznej</w:t>
      </w:r>
      <w:r w:rsidRPr="007B5823">
        <w:rPr>
          <w:rFonts w:cs="Times New Roman"/>
          <w:color w:val="000000"/>
          <w:spacing w:val="-19"/>
          <w:w w:val="105"/>
          <w:szCs w:val="24"/>
        </w:rPr>
        <w:t xml:space="preserve"> </w:t>
      </w:r>
      <w:r w:rsidRPr="007B5823">
        <w:rPr>
          <w:rFonts w:cs="Times New Roman"/>
          <w:color w:val="000000"/>
          <w:w w:val="105"/>
          <w:szCs w:val="24"/>
        </w:rPr>
        <w:t>na</w:t>
      </w:r>
      <w:r w:rsidRPr="007B5823">
        <w:rPr>
          <w:rFonts w:cs="Times New Roman"/>
          <w:color w:val="000000"/>
          <w:spacing w:val="-19"/>
          <w:w w:val="105"/>
          <w:szCs w:val="24"/>
        </w:rPr>
        <w:t xml:space="preserve"> </w:t>
      </w:r>
      <w:r w:rsidRPr="007B5823">
        <w:rPr>
          <w:rFonts w:cs="Times New Roman"/>
          <w:color w:val="000000"/>
          <w:w w:val="105"/>
          <w:szCs w:val="24"/>
        </w:rPr>
        <w:t>adres</w:t>
      </w:r>
      <w:r w:rsidRPr="007B5823">
        <w:rPr>
          <w:rFonts w:cs="Times New Roman"/>
          <w:color w:val="000000"/>
          <w:spacing w:val="-13"/>
          <w:w w:val="105"/>
          <w:szCs w:val="24"/>
        </w:rPr>
        <w:t xml:space="preserve"> </w:t>
      </w:r>
      <w:r w:rsidRPr="007B5823">
        <w:rPr>
          <w:rFonts w:cs="Times New Roman"/>
          <w:color w:val="000000"/>
          <w:w w:val="105"/>
          <w:szCs w:val="24"/>
        </w:rPr>
        <w:t>poczty</w:t>
      </w:r>
      <w:r w:rsidRPr="007B5823">
        <w:rPr>
          <w:rFonts w:cs="Times New Roman"/>
          <w:color w:val="000000"/>
          <w:spacing w:val="-16"/>
          <w:w w:val="105"/>
          <w:szCs w:val="24"/>
        </w:rPr>
        <w:t xml:space="preserve"> </w:t>
      </w:r>
      <w:r w:rsidRPr="007B5823">
        <w:rPr>
          <w:rFonts w:cs="Times New Roman"/>
          <w:color w:val="000000"/>
          <w:w w:val="105"/>
          <w:szCs w:val="24"/>
        </w:rPr>
        <w:t>elektronicznej</w:t>
      </w:r>
      <w:r w:rsidRPr="007B5823">
        <w:rPr>
          <w:rFonts w:cs="Times New Roman"/>
          <w:color w:val="000000"/>
          <w:spacing w:val="-17"/>
          <w:w w:val="105"/>
          <w:szCs w:val="24"/>
        </w:rPr>
        <w:t xml:space="preserve"> </w:t>
      </w:r>
      <w:r w:rsidRPr="007B5823">
        <w:rPr>
          <w:rFonts w:cs="Times New Roman"/>
          <w:color w:val="000000"/>
          <w:w w:val="105"/>
          <w:szCs w:val="24"/>
        </w:rPr>
        <w:t>wskazany</w:t>
      </w:r>
      <w:r w:rsidRPr="007B5823">
        <w:rPr>
          <w:rFonts w:cs="Times New Roman"/>
          <w:color w:val="000000"/>
          <w:spacing w:val="5"/>
          <w:w w:val="105"/>
          <w:szCs w:val="24"/>
        </w:rPr>
        <w:t xml:space="preserve"> </w:t>
      </w:r>
      <w:r w:rsidRPr="007B5823">
        <w:rPr>
          <w:rFonts w:cs="Times New Roman"/>
          <w:color w:val="000000"/>
          <w:w w:val="105"/>
          <w:szCs w:val="24"/>
        </w:rPr>
        <w:t>w</w:t>
      </w:r>
      <w:r w:rsidRPr="007B5823">
        <w:rPr>
          <w:rFonts w:cs="Times New Roman"/>
          <w:color w:val="000000"/>
          <w:spacing w:val="-15"/>
          <w:w w:val="105"/>
          <w:szCs w:val="24"/>
        </w:rPr>
        <w:t xml:space="preserve"> </w:t>
      </w:r>
      <w:r w:rsidRPr="007B5823">
        <w:rPr>
          <w:rFonts w:cs="Times New Roman"/>
          <w:color w:val="000000"/>
          <w:w w:val="105"/>
          <w:szCs w:val="24"/>
        </w:rPr>
        <w:t>umowie, o której mowa w pkt A.4.3.7., w terminie nie dłuższym niż 3 dni robocze od otrzymania wniosku.</w:t>
      </w:r>
    </w:p>
    <w:p w14:paraId="4B5E269D" w14:textId="56B7BE8B" w:rsidR="007B5823" w:rsidRPr="007B5823" w:rsidRDefault="007B5823" w:rsidP="00DD1AEF">
      <w:pPr>
        <w:pStyle w:val="Akapitzlist"/>
        <w:widowControl w:val="0"/>
        <w:tabs>
          <w:tab w:val="left" w:pos="1772"/>
        </w:tabs>
        <w:autoSpaceDE w:val="0"/>
        <w:autoSpaceDN w:val="0"/>
        <w:spacing w:line="252" w:lineRule="auto"/>
        <w:ind w:left="1134" w:right="60" w:hanging="1134"/>
        <w:jc w:val="both"/>
        <w:rPr>
          <w:rFonts w:cs="Times New Roman"/>
          <w:color w:val="000000"/>
          <w:szCs w:val="24"/>
        </w:rPr>
      </w:pPr>
      <w:r w:rsidRPr="007B5823">
        <w:rPr>
          <w:rFonts w:cs="Times New Roman"/>
          <w:color w:val="000000"/>
          <w:w w:val="105"/>
          <w:szCs w:val="24"/>
        </w:rPr>
        <w:t>IV.3.2.13.Odbiorca</w:t>
      </w:r>
      <w:r w:rsidRPr="007B5823">
        <w:rPr>
          <w:rFonts w:cs="Times New Roman"/>
          <w:color w:val="000000"/>
          <w:spacing w:val="-19"/>
          <w:w w:val="105"/>
          <w:szCs w:val="24"/>
        </w:rPr>
        <w:t xml:space="preserve"> </w:t>
      </w:r>
      <w:r w:rsidRPr="007B5823">
        <w:rPr>
          <w:rFonts w:cs="Times New Roman"/>
          <w:color w:val="000000"/>
          <w:w w:val="105"/>
          <w:szCs w:val="24"/>
        </w:rPr>
        <w:t>niezwłocznie</w:t>
      </w:r>
      <w:r w:rsidRPr="007B5823">
        <w:rPr>
          <w:rFonts w:cs="Times New Roman"/>
          <w:color w:val="000000"/>
          <w:spacing w:val="-16"/>
          <w:w w:val="105"/>
          <w:szCs w:val="24"/>
        </w:rPr>
        <w:t xml:space="preserve"> </w:t>
      </w:r>
      <w:r w:rsidRPr="007B5823">
        <w:rPr>
          <w:rFonts w:cs="Times New Roman"/>
          <w:color w:val="000000"/>
          <w:w w:val="105"/>
          <w:szCs w:val="24"/>
        </w:rPr>
        <w:t>informuje</w:t>
      </w:r>
      <w:r w:rsidRPr="007B5823">
        <w:rPr>
          <w:rFonts w:cs="Times New Roman"/>
          <w:color w:val="000000"/>
          <w:spacing w:val="-15"/>
          <w:w w:val="105"/>
          <w:szCs w:val="24"/>
        </w:rPr>
        <w:t xml:space="preserve"> OSDn</w:t>
      </w:r>
      <w:r w:rsidRPr="007B5823">
        <w:rPr>
          <w:rFonts w:cs="Times New Roman"/>
          <w:color w:val="000000"/>
          <w:w w:val="105"/>
          <w:szCs w:val="24"/>
        </w:rPr>
        <w:t>,</w:t>
      </w:r>
      <w:r w:rsidRPr="007B5823">
        <w:rPr>
          <w:rFonts w:cs="Times New Roman"/>
          <w:color w:val="000000"/>
          <w:spacing w:val="-12"/>
          <w:w w:val="105"/>
          <w:szCs w:val="24"/>
        </w:rPr>
        <w:t xml:space="preserve"> </w:t>
      </w:r>
      <w:r w:rsidRPr="007B5823">
        <w:rPr>
          <w:rFonts w:cs="Times New Roman"/>
          <w:color w:val="000000"/>
          <w:w w:val="105"/>
          <w:szCs w:val="24"/>
        </w:rPr>
        <w:t>a</w:t>
      </w:r>
      <w:r w:rsidRPr="007B5823">
        <w:rPr>
          <w:rFonts w:cs="Times New Roman"/>
          <w:color w:val="000000"/>
          <w:spacing w:val="-26"/>
          <w:w w:val="105"/>
          <w:szCs w:val="24"/>
        </w:rPr>
        <w:t xml:space="preserve"> </w:t>
      </w:r>
      <w:r w:rsidRPr="007B5823">
        <w:rPr>
          <w:rFonts w:cs="Times New Roman"/>
          <w:color w:val="000000"/>
          <w:w w:val="105"/>
          <w:szCs w:val="24"/>
        </w:rPr>
        <w:t>w</w:t>
      </w:r>
      <w:r w:rsidRPr="007B5823">
        <w:rPr>
          <w:rFonts w:cs="Times New Roman"/>
          <w:color w:val="000000"/>
          <w:spacing w:val="-28"/>
          <w:w w:val="105"/>
          <w:szCs w:val="24"/>
        </w:rPr>
        <w:t xml:space="preserve"> </w:t>
      </w:r>
      <w:r w:rsidRPr="007B5823">
        <w:rPr>
          <w:rFonts w:cs="Times New Roman"/>
          <w:color w:val="000000"/>
          <w:w w:val="105"/>
          <w:szCs w:val="24"/>
        </w:rPr>
        <w:t>przypadku</w:t>
      </w:r>
      <w:r w:rsidRPr="007B5823">
        <w:rPr>
          <w:rFonts w:cs="Times New Roman"/>
          <w:color w:val="000000"/>
          <w:spacing w:val="-13"/>
          <w:w w:val="105"/>
          <w:szCs w:val="24"/>
        </w:rPr>
        <w:t xml:space="preserve"> </w:t>
      </w:r>
      <w:r w:rsidRPr="007B5823">
        <w:rPr>
          <w:rFonts w:cs="Times New Roman"/>
          <w:color w:val="000000"/>
          <w:w w:val="105"/>
          <w:szCs w:val="24"/>
        </w:rPr>
        <w:t>umów kompleksowych,</w:t>
      </w:r>
      <w:r w:rsidRPr="007B5823">
        <w:rPr>
          <w:rFonts w:cs="Times New Roman"/>
          <w:color w:val="000000"/>
          <w:spacing w:val="-21"/>
          <w:w w:val="105"/>
          <w:szCs w:val="24"/>
        </w:rPr>
        <w:t xml:space="preserve"> </w:t>
      </w:r>
      <w:r w:rsidRPr="007B5823">
        <w:rPr>
          <w:rFonts w:cs="Times New Roman"/>
          <w:color w:val="000000"/>
          <w:w w:val="105"/>
          <w:szCs w:val="24"/>
        </w:rPr>
        <w:lastRenderedPageBreak/>
        <w:t>również</w:t>
      </w:r>
      <w:r w:rsidRPr="007B5823">
        <w:rPr>
          <w:rFonts w:cs="Times New Roman"/>
          <w:color w:val="000000"/>
          <w:spacing w:val="-6"/>
          <w:w w:val="105"/>
          <w:szCs w:val="24"/>
        </w:rPr>
        <w:t xml:space="preserve"> </w:t>
      </w:r>
      <w:r w:rsidRPr="007B5823">
        <w:rPr>
          <w:rFonts w:cs="Times New Roman"/>
          <w:color w:val="000000"/>
          <w:w w:val="105"/>
          <w:szCs w:val="24"/>
        </w:rPr>
        <w:t>sprzedawcę,</w:t>
      </w:r>
      <w:r w:rsidRPr="007B5823">
        <w:rPr>
          <w:rFonts w:cs="Times New Roman"/>
          <w:color w:val="000000"/>
          <w:spacing w:val="-7"/>
          <w:w w:val="105"/>
          <w:szCs w:val="24"/>
        </w:rPr>
        <w:t xml:space="preserve"> </w:t>
      </w:r>
      <w:r w:rsidRPr="007B5823">
        <w:rPr>
          <w:rFonts w:cs="Times New Roman"/>
          <w:color w:val="000000"/>
          <w:w w:val="105"/>
          <w:szCs w:val="24"/>
        </w:rPr>
        <w:t>o</w:t>
      </w:r>
      <w:r w:rsidRPr="007B5823">
        <w:rPr>
          <w:rFonts w:cs="Times New Roman"/>
          <w:color w:val="000000"/>
          <w:spacing w:val="-16"/>
          <w:w w:val="105"/>
          <w:szCs w:val="24"/>
        </w:rPr>
        <w:t xml:space="preserve"> </w:t>
      </w:r>
      <w:r w:rsidRPr="007B5823">
        <w:rPr>
          <w:rFonts w:cs="Times New Roman"/>
          <w:color w:val="000000"/>
          <w:w w:val="105"/>
          <w:szCs w:val="24"/>
        </w:rPr>
        <w:t>ustaniu</w:t>
      </w:r>
      <w:r w:rsidRPr="007B5823">
        <w:rPr>
          <w:rFonts w:cs="Times New Roman"/>
          <w:color w:val="000000"/>
          <w:spacing w:val="-8"/>
          <w:w w:val="105"/>
          <w:szCs w:val="24"/>
        </w:rPr>
        <w:t xml:space="preserve"> </w:t>
      </w:r>
      <w:r w:rsidRPr="007B5823">
        <w:rPr>
          <w:rFonts w:cs="Times New Roman"/>
          <w:color w:val="000000"/>
          <w:w w:val="105"/>
          <w:szCs w:val="24"/>
        </w:rPr>
        <w:t>okoliczności</w:t>
      </w:r>
      <w:r w:rsidRPr="007B5823">
        <w:rPr>
          <w:rFonts w:cs="Times New Roman"/>
          <w:color w:val="000000"/>
          <w:spacing w:val="2"/>
          <w:w w:val="105"/>
          <w:szCs w:val="24"/>
        </w:rPr>
        <w:t xml:space="preserve"> </w:t>
      </w:r>
      <w:r w:rsidRPr="007B5823">
        <w:rPr>
          <w:rFonts w:cs="Times New Roman"/>
          <w:color w:val="000000"/>
          <w:w w:val="105"/>
          <w:szCs w:val="24"/>
        </w:rPr>
        <w:t>uzasadniających</w:t>
      </w:r>
      <w:r w:rsidRPr="007B5823">
        <w:rPr>
          <w:rFonts w:cs="Times New Roman"/>
          <w:color w:val="000000"/>
          <w:spacing w:val="-17"/>
          <w:w w:val="105"/>
          <w:szCs w:val="24"/>
        </w:rPr>
        <w:t xml:space="preserve"> </w:t>
      </w:r>
      <w:r w:rsidRPr="007B5823">
        <w:rPr>
          <w:rFonts w:cs="Times New Roman"/>
          <w:color w:val="000000"/>
          <w:w w:val="105"/>
          <w:szCs w:val="24"/>
        </w:rPr>
        <w:t>podleganie ochronie,</w:t>
      </w:r>
      <w:r w:rsidRPr="007B5823">
        <w:rPr>
          <w:rFonts w:cs="Times New Roman"/>
          <w:color w:val="000000"/>
          <w:spacing w:val="-8"/>
          <w:w w:val="105"/>
          <w:szCs w:val="24"/>
        </w:rPr>
        <w:t xml:space="preserve"> </w:t>
      </w:r>
      <w:r w:rsidRPr="007B5823">
        <w:rPr>
          <w:rFonts w:cs="Times New Roman"/>
          <w:color w:val="000000"/>
          <w:w w:val="105"/>
          <w:szCs w:val="24"/>
        </w:rPr>
        <w:t>o</w:t>
      </w:r>
      <w:r w:rsidRPr="007B5823">
        <w:rPr>
          <w:rFonts w:cs="Times New Roman"/>
          <w:color w:val="000000"/>
          <w:spacing w:val="-13"/>
          <w:w w:val="105"/>
          <w:szCs w:val="24"/>
        </w:rPr>
        <w:t xml:space="preserve"> </w:t>
      </w:r>
      <w:r w:rsidRPr="007B5823">
        <w:rPr>
          <w:rFonts w:cs="Times New Roman"/>
          <w:color w:val="000000"/>
          <w:w w:val="105"/>
          <w:szCs w:val="24"/>
        </w:rPr>
        <w:t>której</w:t>
      </w:r>
      <w:r w:rsidRPr="007B5823">
        <w:rPr>
          <w:rFonts w:cs="Times New Roman"/>
          <w:color w:val="000000"/>
          <w:spacing w:val="-8"/>
          <w:w w:val="105"/>
          <w:szCs w:val="24"/>
        </w:rPr>
        <w:t xml:space="preserve"> </w:t>
      </w:r>
      <w:r w:rsidRPr="007B5823">
        <w:rPr>
          <w:rFonts w:cs="Times New Roman"/>
          <w:color w:val="000000"/>
          <w:w w:val="105"/>
          <w:szCs w:val="24"/>
        </w:rPr>
        <w:t>mowa</w:t>
      </w:r>
      <w:r w:rsidRPr="007B5823">
        <w:rPr>
          <w:rFonts w:cs="Times New Roman"/>
          <w:color w:val="000000"/>
          <w:spacing w:val="-1"/>
          <w:w w:val="105"/>
          <w:szCs w:val="24"/>
        </w:rPr>
        <w:t xml:space="preserve"> </w:t>
      </w:r>
      <w:r w:rsidRPr="007B5823">
        <w:rPr>
          <w:rFonts w:cs="Times New Roman"/>
          <w:color w:val="000000"/>
          <w:w w:val="105"/>
          <w:szCs w:val="24"/>
        </w:rPr>
        <w:t>w</w:t>
      </w:r>
      <w:r w:rsidRPr="007B5823">
        <w:rPr>
          <w:rFonts w:cs="Times New Roman"/>
          <w:color w:val="000000"/>
          <w:spacing w:val="-7"/>
          <w:w w:val="105"/>
          <w:szCs w:val="24"/>
        </w:rPr>
        <w:t xml:space="preserve"> </w:t>
      </w:r>
      <w:r w:rsidRPr="007B5823">
        <w:rPr>
          <w:rFonts w:cs="Times New Roman"/>
          <w:color w:val="000000"/>
          <w:w w:val="105"/>
          <w:szCs w:val="24"/>
        </w:rPr>
        <w:t>pkt</w:t>
      </w:r>
      <w:r w:rsidRPr="007B5823">
        <w:rPr>
          <w:rFonts w:cs="Times New Roman"/>
          <w:color w:val="000000"/>
          <w:spacing w:val="-6"/>
          <w:w w:val="105"/>
          <w:szCs w:val="24"/>
        </w:rPr>
        <w:t xml:space="preserve"> </w:t>
      </w:r>
      <w:r w:rsidRPr="007B5823">
        <w:rPr>
          <w:rFonts w:cs="Times New Roman"/>
          <w:color w:val="000000"/>
          <w:w w:val="105"/>
          <w:szCs w:val="24"/>
        </w:rPr>
        <w:t>IV.3.2.10.,</w:t>
      </w:r>
      <w:r w:rsidRPr="007B5823">
        <w:rPr>
          <w:rFonts w:cs="Times New Roman"/>
          <w:color w:val="000000"/>
          <w:spacing w:val="-2"/>
          <w:w w:val="105"/>
          <w:szCs w:val="24"/>
        </w:rPr>
        <w:t xml:space="preserve"> </w:t>
      </w:r>
      <w:r w:rsidRPr="007B5823">
        <w:rPr>
          <w:rFonts w:cs="Times New Roman"/>
          <w:color w:val="000000"/>
          <w:w w:val="105"/>
          <w:szCs w:val="24"/>
        </w:rPr>
        <w:t>w</w:t>
      </w:r>
      <w:r w:rsidRPr="007B5823">
        <w:rPr>
          <w:rFonts w:cs="Times New Roman"/>
          <w:color w:val="000000"/>
          <w:spacing w:val="-7"/>
          <w:w w:val="105"/>
          <w:szCs w:val="24"/>
        </w:rPr>
        <w:t xml:space="preserve"> </w:t>
      </w:r>
      <w:r w:rsidRPr="007B5823">
        <w:rPr>
          <w:rFonts w:cs="Times New Roman"/>
          <w:color w:val="000000"/>
          <w:w w:val="105"/>
          <w:szCs w:val="24"/>
        </w:rPr>
        <w:t>zakresie</w:t>
      </w:r>
      <w:r w:rsidRPr="007B5823">
        <w:rPr>
          <w:rFonts w:cs="Times New Roman"/>
          <w:color w:val="000000"/>
          <w:spacing w:val="1"/>
          <w:w w:val="105"/>
          <w:szCs w:val="24"/>
        </w:rPr>
        <w:t xml:space="preserve"> </w:t>
      </w:r>
      <w:r w:rsidRPr="007B5823">
        <w:rPr>
          <w:rFonts w:cs="Times New Roman"/>
          <w:color w:val="000000"/>
          <w:w w:val="105"/>
          <w:szCs w:val="24"/>
        </w:rPr>
        <w:t>posiadanego</w:t>
      </w:r>
      <w:r w:rsidRPr="007B5823">
        <w:rPr>
          <w:rFonts w:cs="Times New Roman"/>
          <w:color w:val="000000"/>
          <w:spacing w:val="9"/>
          <w:w w:val="105"/>
          <w:szCs w:val="24"/>
        </w:rPr>
        <w:t xml:space="preserve"> </w:t>
      </w:r>
      <w:r w:rsidRPr="007B5823">
        <w:rPr>
          <w:rFonts w:cs="Times New Roman"/>
          <w:color w:val="000000"/>
          <w:w w:val="105"/>
          <w:szCs w:val="24"/>
        </w:rPr>
        <w:t>przez</w:t>
      </w:r>
      <w:r w:rsidRPr="007B5823">
        <w:rPr>
          <w:rFonts w:cs="Times New Roman"/>
          <w:color w:val="000000"/>
          <w:spacing w:val="-7"/>
          <w:w w:val="105"/>
          <w:szCs w:val="24"/>
        </w:rPr>
        <w:t xml:space="preserve"> </w:t>
      </w:r>
      <w:r w:rsidRPr="007B5823">
        <w:rPr>
          <w:rFonts w:cs="Times New Roman"/>
          <w:color w:val="000000"/>
          <w:w w:val="105"/>
          <w:szCs w:val="24"/>
        </w:rPr>
        <w:t>odbiorcę</w:t>
      </w:r>
      <w:r w:rsidRPr="007B5823">
        <w:rPr>
          <w:rFonts w:cs="Times New Roman"/>
          <w:color w:val="000000"/>
          <w:spacing w:val="-5"/>
          <w:w w:val="105"/>
          <w:szCs w:val="24"/>
        </w:rPr>
        <w:t xml:space="preserve"> </w:t>
      </w:r>
      <w:r w:rsidRPr="007B5823">
        <w:rPr>
          <w:rFonts w:cs="Times New Roman"/>
          <w:color w:val="000000"/>
          <w:w w:val="105"/>
          <w:szCs w:val="24"/>
        </w:rPr>
        <w:t>obiektu lub jego wyodrębnionej części. W przypadku umów kompleksowych, jeżeli informację, o której mowa w zdaniu pierwszym otrzymał sprzedawca, wówczas sprzedawca przekazuje ją niezwłocznie do OSDn, w formie elektronicznej na adres poczty elektronicznej wskazany w umowie, o której mowa w pkt A.4.3.7., w terminie nie dłuższym niż 3 dni robocze od otrzymania</w:t>
      </w:r>
      <w:r w:rsidRPr="007B5823">
        <w:rPr>
          <w:rFonts w:cs="Times New Roman"/>
          <w:color w:val="000000"/>
          <w:spacing w:val="-13"/>
          <w:w w:val="105"/>
          <w:szCs w:val="24"/>
        </w:rPr>
        <w:t xml:space="preserve"> </w:t>
      </w:r>
      <w:r w:rsidRPr="007B5823">
        <w:rPr>
          <w:rFonts w:cs="Times New Roman"/>
          <w:color w:val="000000"/>
          <w:w w:val="105"/>
          <w:szCs w:val="24"/>
        </w:rPr>
        <w:t>informacji.</w:t>
      </w:r>
    </w:p>
    <w:p w14:paraId="67B30CA1" w14:textId="0208705B" w:rsidR="007B5823" w:rsidRPr="007B5823" w:rsidRDefault="007B5823" w:rsidP="0017417D">
      <w:pPr>
        <w:pStyle w:val="Akapitzlist"/>
        <w:widowControl w:val="0"/>
        <w:tabs>
          <w:tab w:val="left" w:pos="1786"/>
        </w:tabs>
        <w:autoSpaceDE w:val="0"/>
        <w:autoSpaceDN w:val="0"/>
        <w:spacing w:line="249" w:lineRule="auto"/>
        <w:ind w:left="1134" w:right="60" w:hanging="1134"/>
        <w:jc w:val="both"/>
        <w:rPr>
          <w:rFonts w:cs="Times New Roman"/>
          <w:color w:val="000000"/>
          <w:szCs w:val="24"/>
        </w:rPr>
      </w:pPr>
      <w:r w:rsidRPr="007B5823">
        <w:rPr>
          <w:rFonts w:cs="Times New Roman"/>
          <w:color w:val="000000"/>
          <w:w w:val="105"/>
          <w:szCs w:val="24"/>
        </w:rPr>
        <w:t>IV.3.2.14. W przypadku gdy wielkość mocy, która zapewnia prawidłowe</w:t>
      </w:r>
      <w:r w:rsidRPr="007B5823">
        <w:rPr>
          <w:rFonts w:cs="Times New Roman"/>
          <w:color w:val="000000"/>
          <w:spacing w:val="-36"/>
          <w:w w:val="105"/>
          <w:szCs w:val="24"/>
        </w:rPr>
        <w:t xml:space="preserve"> </w:t>
      </w:r>
      <w:r w:rsidRPr="007B5823">
        <w:rPr>
          <w:rFonts w:cs="Times New Roman"/>
          <w:color w:val="000000"/>
          <w:w w:val="105"/>
          <w:szCs w:val="24"/>
        </w:rPr>
        <w:t>funkcjonowanie wyodrębnionej części obiektu podlegającej ochronie, nie została uwzględniona w wielkościach mocy minimalnej poboru i mocy maksymalnej poboru określonych dla tego obiektu i wyznaczonych w sposób określony w pkt IV.3.2.25., odbiorca może wystąpić</w:t>
      </w:r>
      <w:r w:rsidRPr="007B5823">
        <w:rPr>
          <w:rFonts w:cs="Times New Roman"/>
          <w:color w:val="000000"/>
          <w:spacing w:val="-14"/>
          <w:w w:val="105"/>
          <w:szCs w:val="24"/>
        </w:rPr>
        <w:t xml:space="preserve"> </w:t>
      </w:r>
      <w:r w:rsidRPr="007B5823">
        <w:rPr>
          <w:rFonts w:cs="Times New Roman"/>
          <w:color w:val="000000"/>
          <w:w w:val="105"/>
          <w:szCs w:val="24"/>
        </w:rPr>
        <w:t>z</w:t>
      </w:r>
      <w:r w:rsidRPr="007B5823">
        <w:rPr>
          <w:rFonts w:cs="Times New Roman"/>
          <w:color w:val="000000"/>
          <w:spacing w:val="-22"/>
          <w:w w:val="105"/>
          <w:szCs w:val="24"/>
        </w:rPr>
        <w:t xml:space="preserve"> </w:t>
      </w:r>
      <w:r w:rsidRPr="007B5823">
        <w:rPr>
          <w:rFonts w:cs="Times New Roman"/>
          <w:color w:val="000000"/>
          <w:w w:val="105"/>
          <w:szCs w:val="24"/>
        </w:rPr>
        <w:t>uzasadnionym</w:t>
      </w:r>
      <w:r w:rsidRPr="007B5823">
        <w:rPr>
          <w:rFonts w:cs="Times New Roman"/>
          <w:color w:val="000000"/>
          <w:spacing w:val="-1"/>
          <w:w w:val="105"/>
          <w:szCs w:val="24"/>
        </w:rPr>
        <w:t xml:space="preserve"> </w:t>
      </w:r>
      <w:r w:rsidRPr="007B5823">
        <w:rPr>
          <w:rFonts w:cs="Times New Roman"/>
          <w:color w:val="000000"/>
          <w:w w:val="105"/>
          <w:szCs w:val="24"/>
        </w:rPr>
        <w:t>wnioskiem</w:t>
      </w:r>
      <w:r w:rsidRPr="007B5823">
        <w:rPr>
          <w:rFonts w:cs="Times New Roman"/>
          <w:color w:val="000000"/>
          <w:spacing w:val="-14"/>
          <w:w w:val="105"/>
          <w:szCs w:val="24"/>
        </w:rPr>
        <w:t xml:space="preserve"> </w:t>
      </w:r>
      <w:r w:rsidRPr="007B5823">
        <w:rPr>
          <w:rFonts w:cs="Times New Roman"/>
          <w:color w:val="000000"/>
          <w:w w:val="105"/>
          <w:szCs w:val="24"/>
        </w:rPr>
        <w:t>do</w:t>
      </w:r>
      <w:r w:rsidRPr="007B5823">
        <w:rPr>
          <w:rFonts w:cs="Times New Roman"/>
          <w:color w:val="000000"/>
          <w:spacing w:val="-20"/>
          <w:w w:val="105"/>
          <w:szCs w:val="24"/>
        </w:rPr>
        <w:t xml:space="preserve"> OSDn </w:t>
      </w:r>
      <w:r w:rsidR="0017417D">
        <w:rPr>
          <w:rFonts w:cs="Times New Roman"/>
          <w:color w:val="000000"/>
          <w:spacing w:val="-20"/>
          <w:w w:val="105"/>
          <w:szCs w:val="24"/>
        </w:rPr>
        <w:br/>
      </w:r>
      <w:r w:rsidRPr="007B5823">
        <w:rPr>
          <w:rFonts w:cs="Times New Roman"/>
          <w:color w:val="000000"/>
          <w:w w:val="105"/>
          <w:szCs w:val="24"/>
        </w:rPr>
        <w:t>o</w:t>
      </w:r>
      <w:r w:rsidRPr="007B5823">
        <w:rPr>
          <w:rFonts w:cs="Times New Roman"/>
          <w:color w:val="000000"/>
          <w:spacing w:val="-23"/>
          <w:w w:val="105"/>
          <w:szCs w:val="24"/>
        </w:rPr>
        <w:t xml:space="preserve"> </w:t>
      </w:r>
      <w:r w:rsidRPr="007B5823">
        <w:rPr>
          <w:rFonts w:cs="Times New Roman"/>
          <w:color w:val="000000"/>
          <w:w w:val="105"/>
          <w:szCs w:val="24"/>
        </w:rPr>
        <w:t>korektę</w:t>
      </w:r>
      <w:r w:rsidRPr="007B5823">
        <w:rPr>
          <w:rFonts w:cs="Times New Roman"/>
          <w:color w:val="000000"/>
          <w:spacing w:val="-16"/>
          <w:w w:val="105"/>
          <w:szCs w:val="24"/>
        </w:rPr>
        <w:t xml:space="preserve"> </w:t>
      </w:r>
      <w:r w:rsidRPr="007B5823">
        <w:rPr>
          <w:rFonts w:cs="Times New Roman"/>
          <w:color w:val="000000"/>
          <w:w w:val="105"/>
          <w:szCs w:val="24"/>
        </w:rPr>
        <w:t>wielkości</w:t>
      </w:r>
      <w:r w:rsidRPr="007B5823">
        <w:rPr>
          <w:rFonts w:cs="Times New Roman"/>
          <w:color w:val="000000"/>
          <w:spacing w:val="-10"/>
          <w:w w:val="105"/>
          <w:szCs w:val="24"/>
        </w:rPr>
        <w:t xml:space="preserve"> </w:t>
      </w:r>
      <w:r w:rsidRPr="007B5823">
        <w:rPr>
          <w:rFonts w:cs="Times New Roman"/>
          <w:color w:val="000000"/>
          <w:w w:val="105"/>
          <w:szCs w:val="24"/>
        </w:rPr>
        <w:t>mocy określonych dla tego obiektu, jako całości, w stopniach zasilania, o których mowa w</w:t>
      </w:r>
      <w:r w:rsidRPr="007B5823">
        <w:rPr>
          <w:rFonts w:cs="Times New Roman"/>
          <w:color w:val="000000"/>
          <w:spacing w:val="13"/>
          <w:w w:val="105"/>
          <w:szCs w:val="24"/>
        </w:rPr>
        <w:t xml:space="preserve"> </w:t>
      </w:r>
      <w:r w:rsidRPr="007B5823">
        <w:rPr>
          <w:rFonts w:cs="Times New Roman"/>
          <w:color w:val="000000"/>
          <w:w w:val="105"/>
          <w:szCs w:val="24"/>
        </w:rPr>
        <w:t>pkt IV.3.2.22</w:t>
      </w:r>
      <w:r w:rsidRPr="007B5823">
        <w:rPr>
          <w:rFonts w:cs="Times New Roman"/>
          <w:color w:val="000000"/>
          <w:spacing w:val="-5"/>
          <w:w w:val="105"/>
          <w:szCs w:val="24"/>
        </w:rPr>
        <w:t xml:space="preserve"> </w:t>
      </w:r>
      <w:r w:rsidRPr="007B5823">
        <w:rPr>
          <w:rFonts w:cs="Times New Roman"/>
          <w:color w:val="000000"/>
          <w:w w:val="105"/>
          <w:szCs w:val="24"/>
        </w:rPr>
        <w:t>lit.bi</w:t>
      </w:r>
      <w:r w:rsidRPr="007B5823">
        <w:rPr>
          <w:rFonts w:cs="Times New Roman"/>
          <w:color w:val="000000"/>
          <w:spacing w:val="-9"/>
          <w:w w:val="105"/>
          <w:szCs w:val="24"/>
        </w:rPr>
        <w:t xml:space="preserve"> </w:t>
      </w:r>
      <w:r w:rsidRPr="007B5823">
        <w:rPr>
          <w:rFonts w:cs="Times New Roman"/>
          <w:color w:val="000000"/>
          <w:w w:val="105"/>
          <w:szCs w:val="24"/>
        </w:rPr>
        <w:t>c,</w:t>
      </w:r>
      <w:r w:rsidRPr="007B5823">
        <w:rPr>
          <w:rFonts w:cs="Times New Roman"/>
          <w:color w:val="000000"/>
          <w:spacing w:val="-14"/>
          <w:w w:val="105"/>
          <w:szCs w:val="24"/>
        </w:rPr>
        <w:t xml:space="preserve"> </w:t>
      </w:r>
      <w:r w:rsidRPr="007B5823">
        <w:rPr>
          <w:rFonts w:cs="Times New Roman"/>
          <w:color w:val="000000"/>
          <w:w w:val="105"/>
          <w:szCs w:val="24"/>
        </w:rPr>
        <w:t>z</w:t>
      </w:r>
      <w:r w:rsidRPr="007B5823">
        <w:rPr>
          <w:rFonts w:cs="Times New Roman"/>
          <w:color w:val="000000"/>
          <w:spacing w:val="-16"/>
          <w:w w:val="105"/>
          <w:szCs w:val="24"/>
        </w:rPr>
        <w:t xml:space="preserve"> </w:t>
      </w:r>
      <w:r w:rsidRPr="007B5823">
        <w:rPr>
          <w:rFonts w:cs="Times New Roman"/>
          <w:color w:val="000000"/>
          <w:w w:val="105"/>
          <w:szCs w:val="24"/>
        </w:rPr>
        <w:t>zachowaniem</w:t>
      </w:r>
      <w:r w:rsidRPr="007B5823">
        <w:rPr>
          <w:rFonts w:cs="Times New Roman"/>
          <w:color w:val="000000"/>
          <w:spacing w:val="8"/>
          <w:w w:val="105"/>
          <w:szCs w:val="24"/>
        </w:rPr>
        <w:t xml:space="preserve"> </w:t>
      </w:r>
      <w:r w:rsidRPr="007B5823">
        <w:rPr>
          <w:rFonts w:cs="Times New Roman"/>
          <w:color w:val="000000"/>
          <w:w w:val="105"/>
          <w:szCs w:val="24"/>
        </w:rPr>
        <w:t>zasady</w:t>
      </w:r>
      <w:r w:rsidRPr="007B5823">
        <w:rPr>
          <w:rFonts w:cs="Times New Roman"/>
          <w:color w:val="000000"/>
          <w:spacing w:val="3"/>
          <w:w w:val="105"/>
          <w:szCs w:val="24"/>
        </w:rPr>
        <w:t xml:space="preserve"> </w:t>
      </w:r>
      <w:r w:rsidRPr="007B5823">
        <w:rPr>
          <w:rFonts w:cs="Times New Roman"/>
          <w:color w:val="000000"/>
          <w:w w:val="105"/>
          <w:szCs w:val="24"/>
        </w:rPr>
        <w:t>równomiernego</w:t>
      </w:r>
      <w:r w:rsidRPr="007B5823">
        <w:rPr>
          <w:rFonts w:cs="Times New Roman"/>
          <w:color w:val="000000"/>
          <w:spacing w:val="7"/>
          <w:w w:val="105"/>
          <w:szCs w:val="24"/>
        </w:rPr>
        <w:t xml:space="preserve"> </w:t>
      </w:r>
      <w:r w:rsidRPr="007B5823">
        <w:rPr>
          <w:rFonts w:cs="Times New Roman"/>
          <w:color w:val="000000"/>
          <w:w w:val="105"/>
          <w:szCs w:val="24"/>
        </w:rPr>
        <w:t>podziału</w:t>
      </w:r>
      <w:r w:rsidRPr="007B5823">
        <w:rPr>
          <w:rFonts w:cs="Times New Roman"/>
          <w:color w:val="000000"/>
          <w:spacing w:val="-3"/>
          <w:w w:val="105"/>
          <w:szCs w:val="24"/>
        </w:rPr>
        <w:t xml:space="preserve"> </w:t>
      </w:r>
      <w:r w:rsidRPr="007B5823">
        <w:rPr>
          <w:rFonts w:cs="Times New Roman"/>
          <w:color w:val="000000"/>
          <w:w w:val="105"/>
          <w:szCs w:val="24"/>
        </w:rPr>
        <w:t>zakresu</w:t>
      </w:r>
      <w:r w:rsidRPr="007B5823">
        <w:rPr>
          <w:rFonts w:cs="Times New Roman"/>
          <w:color w:val="000000"/>
          <w:spacing w:val="3"/>
          <w:w w:val="105"/>
          <w:szCs w:val="24"/>
        </w:rPr>
        <w:t xml:space="preserve"> </w:t>
      </w:r>
      <w:r w:rsidRPr="007B5823">
        <w:rPr>
          <w:rFonts w:cs="Times New Roman"/>
          <w:color w:val="000000"/>
          <w:w w:val="105"/>
          <w:szCs w:val="24"/>
        </w:rPr>
        <w:t>mocy,</w:t>
      </w:r>
      <w:r w:rsidRPr="007B5823">
        <w:rPr>
          <w:rFonts w:cs="Times New Roman"/>
          <w:color w:val="000000"/>
          <w:spacing w:val="-11"/>
          <w:w w:val="105"/>
          <w:szCs w:val="24"/>
        </w:rPr>
        <w:t xml:space="preserve"> </w:t>
      </w:r>
      <w:r w:rsidRPr="007B5823">
        <w:rPr>
          <w:rFonts w:cs="Times New Roman"/>
          <w:color w:val="000000"/>
          <w:w w:val="105"/>
          <w:szCs w:val="24"/>
        </w:rPr>
        <w:t>o</w:t>
      </w:r>
      <w:r w:rsidRPr="007B5823">
        <w:rPr>
          <w:rFonts w:cs="Times New Roman"/>
          <w:color w:val="000000"/>
          <w:spacing w:val="-13"/>
          <w:w w:val="105"/>
          <w:szCs w:val="24"/>
        </w:rPr>
        <w:t xml:space="preserve"> </w:t>
      </w:r>
      <w:r w:rsidRPr="007B5823">
        <w:rPr>
          <w:rFonts w:cs="Times New Roman"/>
          <w:color w:val="000000"/>
          <w:w w:val="105"/>
          <w:szCs w:val="24"/>
        </w:rPr>
        <w:t>której mowa w pkt IV.3.2.22 lit.</w:t>
      </w:r>
      <w:r w:rsidRPr="007B5823">
        <w:rPr>
          <w:rFonts w:cs="Times New Roman"/>
          <w:color w:val="000000"/>
          <w:spacing w:val="-24"/>
          <w:w w:val="105"/>
          <w:szCs w:val="24"/>
        </w:rPr>
        <w:t xml:space="preserve"> </w:t>
      </w:r>
      <w:r w:rsidRPr="007B5823">
        <w:rPr>
          <w:rFonts w:cs="Times New Roman"/>
          <w:color w:val="000000"/>
          <w:w w:val="105"/>
          <w:szCs w:val="24"/>
        </w:rPr>
        <w:t>d.</w:t>
      </w:r>
    </w:p>
    <w:p w14:paraId="07FCF930" w14:textId="240B2093" w:rsidR="007B5823" w:rsidRPr="007B5823" w:rsidRDefault="007B5823" w:rsidP="00D96B24">
      <w:pPr>
        <w:pStyle w:val="Akapitzlist"/>
        <w:widowControl w:val="0"/>
        <w:tabs>
          <w:tab w:val="left" w:pos="1791"/>
        </w:tabs>
        <w:autoSpaceDE w:val="0"/>
        <w:autoSpaceDN w:val="0"/>
        <w:spacing w:line="252" w:lineRule="auto"/>
        <w:ind w:left="1134" w:right="60" w:hanging="1134"/>
        <w:jc w:val="both"/>
        <w:rPr>
          <w:rFonts w:cs="Times New Roman"/>
          <w:color w:val="000000"/>
          <w:szCs w:val="24"/>
        </w:rPr>
      </w:pPr>
      <w:r w:rsidRPr="007B5823">
        <w:rPr>
          <w:rFonts w:cs="Times New Roman"/>
          <w:color w:val="000000"/>
          <w:w w:val="105"/>
          <w:szCs w:val="24"/>
        </w:rPr>
        <w:t xml:space="preserve">IV.3.2.15. Podstawą opracowania przez OSDn corocznie planów wprowadzania ograniczeń w trybie normalnym są plany wprowadzania ograniczeń dla odbiorców </w:t>
      </w:r>
      <w:r w:rsidR="00D96B24">
        <w:rPr>
          <w:rFonts w:cs="Times New Roman"/>
          <w:color w:val="000000"/>
          <w:w w:val="105"/>
          <w:szCs w:val="24"/>
        </w:rPr>
        <w:br/>
      </w:r>
      <w:r w:rsidRPr="007B5823">
        <w:rPr>
          <w:rFonts w:cs="Times New Roman"/>
          <w:color w:val="000000"/>
          <w:w w:val="105"/>
          <w:szCs w:val="24"/>
        </w:rPr>
        <w:t>w zakresie posiadanych przez nich obiektów opracowywane przez OSDn.</w:t>
      </w:r>
    </w:p>
    <w:p w14:paraId="337191CE" w14:textId="77777777" w:rsidR="007B5823" w:rsidRPr="007B5823" w:rsidRDefault="007B5823" w:rsidP="00D96B24">
      <w:pPr>
        <w:pStyle w:val="Akapitzlist"/>
        <w:widowControl w:val="0"/>
        <w:tabs>
          <w:tab w:val="left" w:pos="1795"/>
        </w:tabs>
        <w:autoSpaceDE w:val="0"/>
        <w:autoSpaceDN w:val="0"/>
        <w:spacing w:line="252" w:lineRule="auto"/>
        <w:ind w:left="1134" w:right="60" w:hanging="1134"/>
        <w:jc w:val="both"/>
        <w:rPr>
          <w:rFonts w:cs="Times New Roman"/>
          <w:color w:val="000000"/>
          <w:szCs w:val="24"/>
        </w:rPr>
      </w:pPr>
      <w:r w:rsidRPr="007B5823">
        <w:rPr>
          <w:rFonts w:cs="Times New Roman"/>
          <w:color w:val="000000"/>
          <w:szCs w:val="24"/>
        </w:rPr>
        <w:t xml:space="preserve">IV.3.2.16. Plan wprowadzania ograniczeń w zakresie obiektu opracowuje się, </w:t>
      </w:r>
      <w:r w:rsidRPr="007B5823">
        <w:rPr>
          <w:rFonts w:cs="Times New Roman"/>
          <w:color w:val="000000"/>
          <w:szCs w:val="24"/>
        </w:rPr>
        <w:br/>
        <w:t xml:space="preserve">w formie dokumentowej, na podstawie wielkości mocy obowiązujących odbiorcę </w:t>
      </w:r>
      <w:r w:rsidRPr="007B5823">
        <w:rPr>
          <w:rFonts w:cs="Times New Roman"/>
          <w:color w:val="000000"/>
          <w:szCs w:val="24"/>
        </w:rPr>
        <w:br/>
        <w:t>w danym obiekcie, według stanu na dzień 1 stycznia danego roku i przekazuje się te wielkości odbiorcy, w formie dokumentowej, w terminie do dnia 15 kwietnia danego</w:t>
      </w:r>
      <w:r w:rsidRPr="007B5823">
        <w:rPr>
          <w:rFonts w:cs="Times New Roman"/>
          <w:color w:val="000000"/>
          <w:spacing w:val="54"/>
          <w:szCs w:val="24"/>
        </w:rPr>
        <w:t xml:space="preserve"> </w:t>
      </w:r>
      <w:r w:rsidRPr="007B5823">
        <w:rPr>
          <w:rFonts w:cs="Times New Roman"/>
          <w:color w:val="000000"/>
          <w:szCs w:val="24"/>
        </w:rPr>
        <w:t>roku.</w:t>
      </w:r>
    </w:p>
    <w:p w14:paraId="60C48436" w14:textId="77777777" w:rsidR="007B5823" w:rsidRPr="007B5823" w:rsidRDefault="007B5823" w:rsidP="00D96B24">
      <w:pPr>
        <w:pStyle w:val="Akapitzlist"/>
        <w:widowControl w:val="0"/>
        <w:autoSpaceDE w:val="0"/>
        <w:autoSpaceDN w:val="0"/>
        <w:spacing w:line="249" w:lineRule="auto"/>
        <w:ind w:left="1134" w:right="60" w:hanging="1134"/>
        <w:jc w:val="both"/>
        <w:rPr>
          <w:rFonts w:cs="Times New Roman"/>
          <w:color w:val="000000"/>
          <w:szCs w:val="24"/>
        </w:rPr>
      </w:pPr>
      <w:r w:rsidRPr="007B5823">
        <w:rPr>
          <w:rFonts w:cs="Times New Roman"/>
          <w:color w:val="000000"/>
          <w:w w:val="105"/>
          <w:szCs w:val="24"/>
        </w:rPr>
        <w:t>IV.3.2.17. Plan wprowadzania ograniczeń, o którym mowa w pkt IV.3.2.16. opracowuje się na okres od dnia 1 czerwca danego roku do dnia 31 maja roku</w:t>
      </w:r>
      <w:r w:rsidRPr="007B5823">
        <w:rPr>
          <w:rFonts w:cs="Times New Roman"/>
          <w:color w:val="000000"/>
          <w:spacing w:val="32"/>
          <w:w w:val="105"/>
          <w:szCs w:val="24"/>
        </w:rPr>
        <w:t xml:space="preserve"> </w:t>
      </w:r>
      <w:r w:rsidRPr="007B5823">
        <w:rPr>
          <w:rFonts w:cs="Times New Roman"/>
          <w:color w:val="000000"/>
          <w:w w:val="105"/>
          <w:szCs w:val="24"/>
        </w:rPr>
        <w:t>następnego.</w:t>
      </w:r>
    </w:p>
    <w:p w14:paraId="1A423F8A" w14:textId="77777777" w:rsidR="007B5823" w:rsidRPr="007B5823" w:rsidRDefault="007B5823" w:rsidP="000F5638">
      <w:pPr>
        <w:spacing w:line="0" w:lineRule="atLeast"/>
        <w:ind w:left="1134" w:right="60" w:hanging="1134"/>
        <w:jc w:val="both"/>
        <w:rPr>
          <w:rFonts w:cs="Times New Roman"/>
          <w:color w:val="000000"/>
          <w:w w:val="105"/>
          <w:szCs w:val="24"/>
        </w:rPr>
      </w:pPr>
      <w:r w:rsidRPr="007B5823">
        <w:rPr>
          <w:rFonts w:cs="Times New Roman"/>
          <w:color w:val="000000"/>
          <w:w w:val="105"/>
          <w:szCs w:val="24"/>
        </w:rPr>
        <w:t xml:space="preserve">IV.3.2.18. OSD, którego sieć dystrybucyjna przyłączona jest do sieci dystrybucyjnej OSDn (z wyłączeniem OSDp), przekazuje w terminie do dnia 15 marca danego roku swój plan wprowadzania ograniczeń do OSDn, w celu uwzględnienia tego planu w planie wprowadzania ograniczeń OSDn. </w:t>
      </w:r>
    </w:p>
    <w:p w14:paraId="74085122" w14:textId="77777777" w:rsidR="007B5823" w:rsidRPr="007B5823" w:rsidRDefault="007B5823" w:rsidP="000F5638">
      <w:pPr>
        <w:pStyle w:val="Akapitzlist"/>
        <w:widowControl w:val="0"/>
        <w:autoSpaceDE w:val="0"/>
        <w:autoSpaceDN w:val="0"/>
        <w:spacing w:before="91" w:line="242" w:lineRule="auto"/>
        <w:ind w:left="1134" w:right="60" w:hanging="1134"/>
        <w:jc w:val="both"/>
        <w:rPr>
          <w:rFonts w:cs="Times New Roman"/>
          <w:color w:val="000000"/>
          <w:szCs w:val="24"/>
        </w:rPr>
      </w:pPr>
      <w:r w:rsidRPr="007B5823">
        <w:rPr>
          <w:rFonts w:cs="Times New Roman"/>
          <w:color w:val="000000"/>
          <w:szCs w:val="24"/>
        </w:rPr>
        <w:t xml:space="preserve">IV.3.2.19. OSDn za pośrednictwem OSDp przekazuje OSP w terminie do dnia 31 marca danego roku swój plan wprowadzania ograniczeń w celu jego uwzględnienia </w:t>
      </w:r>
      <w:r w:rsidRPr="007B5823">
        <w:rPr>
          <w:rFonts w:cs="Times New Roman"/>
          <w:color w:val="000000"/>
          <w:szCs w:val="24"/>
        </w:rPr>
        <w:br/>
        <w:t>w planie wprowadzania ograniczeń</w:t>
      </w:r>
      <w:r w:rsidRPr="007B5823">
        <w:rPr>
          <w:rFonts w:cs="Times New Roman"/>
          <w:color w:val="000000"/>
          <w:spacing w:val="-22"/>
          <w:szCs w:val="24"/>
        </w:rPr>
        <w:t xml:space="preserve"> </w:t>
      </w:r>
      <w:r w:rsidRPr="007B5823">
        <w:rPr>
          <w:rFonts w:cs="Times New Roman"/>
          <w:color w:val="000000"/>
          <w:szCs w:val="24"/>
        </w:rPr>
        <w:t>OSP.</w:t>
      </w:r>
    </w:p>
    <w:p w14:paraId="4A0193B7" w14:textId="77777777" w:rsidR="007B5823" w:rsidRPr="007B5823" w:rsidRDefault="007B5823" w:rsidP="000F5638">
      <w:pPr>
        <w:pStyle w:val="Akapitzlist"/>
        <w:widowControl w:val="0"/>
        <w:tabs>
          <w:tab w:val="left" w:pos="1629"/>
        </w:tabs>
        <w:autoSpaceDE w:val="0"/>
        <w:autoSpaceDN w:val="0"/>
        <w:spacing w:before="1" w:line="242" w:lineRule="auto"/>
        <w:ind w:left="993" w:right="60" w:hanging="993"/>
        <w:jc w:val="both"/>
        <w:rPr>
          <w:rFonts w:cs="Times New Roman"/>
          <w:color w:val="000000"/>
          <w:szCs w:val="24"/>
        </w:rPr>
      </w:pPr>
      <w:r w:rsidRPr="007B5823">
        <w:rPr>
          <w:rFonts w:cs="Times New Roman"/>
          <w:color w:val="000000"/>
          <w:szCs w:val="24"/>
        </w:rPr>
        <w:t>IV.3.2.20. Aktualizacja planów wprowadzania ograniczeń dla obiektów odbiorców nie powoduje konieczności aktualizacji planu wprowadzania ograniczeń OSDn.</w:t>
      </w:r>
    </w:p>
    <w:p w14:paraId="6806D03F" w14:textId="335E4F79" w:rsidR="007B5823" w:rsidRPr="007B5823" w:rsidRDefault="007B5823" w:rsidP="009E5C4C">
      <w:pPr>
        <w:pStyle w:val="Akapitzlist"/>
        <w:widowControl w:val="0"/>
        <w:tabs>
          <w:tab w:val="left" w:pos="1632"/>
        </w:tabs>
        <w:autoSpaceDE w:val="0"/>
        <w:autoSpaceDN w:val="0"/>
        <w:ind w:left="1134" w:right="60" w:hanging="1134"/>
        <w:jc w:val="both"/>
        <w:rPr>
          <w:rFonts w:cs="Times New Roman"/>
          <w:color w:val="000000"/>
          <w:szCs w:val="24"/>
        </w:rPr>
      </w:pPr>
      <w:r w:rsidRPr="007B5823">
        <w:rPr>
          <w:rFonts w:cs="Times New Roman"/>
          <w:color w:val="000000"/>
          <w:szCs w:val="24"/>
        </w:rPr>
        <w:t>IV.3.2.21. Plan</w:t>
      </w:r>
      <w:r w:rsidRPr="007B5823">
        <w:rPr>
          <w:rFonts w:cs="Times New Roman"/>
          <w:color w:val="000000"/>
          <w:spacing w:val="-14"/>
          <w:szCs w:val="24"/>
        </w:rPr>
        <w:t xml:space="preserve"> </w:t>
      </w:r>
      <w:r w:rsidRPr="007B5823">
        <w:rPr>
          <w:rFonts w:cs="Times New Roman"/>
          <w:color w:val="000000"/>
          <w:szCs w:val="24"/>
        </w:rPr>
        <w:t>wprowadzania</w:t>
      </w:r>
      <w:r w:rsidRPr="007B5823">
        <w:rPr>
          <w:rFonts w:cs="Times New Roman"/>
          <w:color w:val="000000"/>
          <w:spacing w:val="1"/>
          <w:szCs w:val="24"/>
        </w:rPr>
        <w:t xml:space="preserve"> </w:t>
      </w:r>
      <w:r w:rsidRPr="007B5823">
        <w:rPr>
          <w:rFonts w:cs="Times New Roman"/>
          <w:color w:val="000000"/>
          <w:szCs w:val="24"/>
        </w:rPr>
        <w:t>ograniczeń</w:t>
      </w:r>
      <w:r w:rsidRPr="007B5823">
        <w:rPr>
          <w:rFonts w:cs="Times New Roman"/>
          <w:color w:val="000000"/>
          <w:spacing w:val="-12"/>
          <w:szCs w:val="24"/>
        </w:rPr>
        <w:t xml:space="preserve"> </w:t>
      </w:r>
      <w:r w:rsidRPr="007B5823">
        <w:rPr>
          <w:rFonts w:cs="Times New Roman"/>
          <w:color w:val="000000"/>
          <w:szCs w:val="24"/>
        </w:rPr>
        <w:t>opracowywany</w:t>
      </w:r>
      <w:r w:rsidRPr="007B5823">
        <w:rPr>
          <w:rFonts w:cs="Times New Roman"/>
          <w:color w:val="000000"/>
          <w:spacing w:val="-2"/>
          <w:szCs w:val="24"/>
        </w:rPr>
        <w:t xml:space="preserve"> </w:t>
      </w:r>
      <w:r w:rsidRPr="007B5823">
        <w:rPr>
          <w:rFonts w:cs="Times New Roman"/>
          <w:color w:val="000000"/>
          <w:szCs w:val="24"/>
        </w:rPr>
        <w:t>przez</w:t>
      </w:r>
      <w:r w:rsidRPr="007B5823">
        <w:rPr>
          <w:rFonts w:cs="Times New Roman"/>
          <w:color w:val="000000"/>
          <w:spacing w:val="-18"/>
          <w:szCs w:val="24"/>
        </w:rPr>
        <w:t xml:space="preserve"> </w:t>
      </w:r>
      <w:r w:rsidRPr="007B5823">
        <w:rPr>
          <w:rFonts w:cs="Times New Roman"/>
          <w:color w:val="000000"/>
          <w:szCs w:val="24"/>
        </w:rPr>
        <w:t>OSP</w:t>
      </w:r>
      <w:r w:rsidRPr="007B5823">
        <w:rPr>
          <w:rFonts w:cs="Times New Roman"/>
          <w:color w:val="000000"/>
          <w:spacing w:val="-16"/>
          <w:szCs w:val="24"/>
        </w:rPr>
        <w:t xml:space="preserve"> </w:t>
      </w:r>
      <w:r w:rsidRPr="007B5823">
        <w:rPr>
          <w:rFonts w:cs="Times New Roman"/>
          <w:color w:val="000000"/>
          <w:szCs w:val="24"/>
        </w:rPr>
        <w:t>podlega</w:t>
      </w:r>
      <w:r w:rsidRPr="007B5823">
        <w:rPr>
          <w:rFonts w:cs="Times New Roman"/>
          <w:color w:val="000000"/>
          <w:spacing w:val="-6"/>
          <w:szCs w:val="24"/>
        </w:rPr>
        <w:t xml:space="preserve"> </w:t>
      </w:r>
      <w:r w:rsidRPr="007B5823">
        <w:rPr>
          <w:rFonts w:cs="Times New Roman"/>
          <w:color w:val="000000"/>
          <w:szCs w:val="24"/>
        </w:rPr>
        <w:t xml:space="preserve">uzgodnieniu </w:t>
      </w:r>
      <w:r w:rsidR="000B060C">
        <w:rPr>
          <w:rFonts w:cs="Times New Roman"/>
          <w:color w:val="000000"/>
          <w:szCs w:val="24"/>
        </w:rPr>
        <w:br/>
      </w:r>
      <w:r w:rsidRPr="007B5823">
        <w:rPr>
          <w:rFonts w:cs="Times New Roman"/>
          <w:color w:val="000000"/>
          <w:szCs w:val="24"/>
        </w:rPr>
        <w:t>z Prezesem URE w terminie do dnia 31 maja danego roku. OSP przedstawia Prezesowi URE plan wprowadzania ograniczeń do uzgodnienia nie później niż do dnia 30 kwietnia danego</w:t>
      </w:r>
      <w:r w:rsidRPr="007B5823">
        <w:rPr>
          <w:rFonts w:cs="Times New Roman"/>
          <w:color w:val="000000"/>
          <w:spacing w:val="9"/>
          <w:szCs w:val="24"/>
        </w:rPr>
        <w:t xml:space="preserve"> </w:t>
      </w:r>
      <w:r w:rsidRPr="007B5823">
        <w:rPr>
          <w:rFonts w:cs="Times New Roman"/>
          <w:color w:val="000000"/>
          <w:szCs w:val="24"/>
        </w:rPr>
        <w:t>roku.</w:t>
      </w:r>
    </w:p>
    <w:p w14:paraId="2B6266FA" w14:textId="77777777" w:rsidR="007B5823" w:rsidRPr="007B5823" w:rsidRDefault="007B5823" w:rsidP="009E5C4C">
      <w:pPr>
        <w:pStyle w:val="Akapitzlist"/>
        <w:widowControl w:val="0"/>
        <w:tabs>
          <w:tab w:val="left" w:pos="1752"/>
        </w:tabs>
        <w:autoSpaceDE w:val="0"/>
        <w:autoSpaceDN w:val="0"/>
        <w:spacing w:line="235" w:lineRule="auto"/>
        <w:ind w:left="1134" w:right="60" w:hanging="1134"/>
        <w:jc w:val="both"/>
        <w:rPr>
          <w:rFonts w:cs="Times New Roman"/>
          <w:color w:val="000000"/>
          <w:szCs w:val="24"/>
        </w:rPr>
      </w:pPr>
      <w:r w:rsidRPr="007B5823">
        <w:rPr>
          <w:rFonts w:cs="Times New Roman"/>
          <w:color w:val="000000"/>
          <w:szCs w:val="24"/>
        </w:rPr>
        <w:t>IV.3.2.22. Wielkości planowanych ograniczeń w dostarczaniu i poborze energii elektrycznej, określa się w stopniach zasilania od 11 do 20, przy</w:t>
      </w:r>
      <w:r w:rsidRPr="007B5823">
        <w:rPr>
          <w:rFonts w:cs="Times New Roman"/>
          <w:color w:val="000000"/>
          <w:spacing w:val="12"/>
          <w:szCs w:val="24"/>
        </w:rPr>
        <w:t xml:space="preserve"> </w:t>
      </w:r>
      <w:r w:rsidRPr="007B5823">
        <w:rPr>
          <w:rFonts w:cs="Times New Roman"/>
          <w:color w:val="000000"/>
          <w:szCs w:val="24"/>
        </w:rPr>
        <w:t>czym:</w:t>
      </w:r>
    </w:p>
    <w:p w14:paraId="79155BF5" w14:textId="77777777" w:rsidR="007B5823" w:rsidRPr="007B5823" w:rsidRDefault="007B5823">
      <w:pPr>
        <w:pStyle w:val="Akapitzlist"/>
        <w:widowControl w:val="0"/>
        <w:numPr>
          <w:ilvl w:val="0"/>
          <w:numId w:val="296"/>
        </w:numPr>
        <w:autoSpaceDE w:val="0"/>
        <w:autoSpaceDN w:val="0"/>
        <w:spacing w:before="8" w:line="237" w:lineRule="auto"/>
        <w:ind w:left="1418" w:right="60" w:hanging="284"/>
        <w:jc w:val="both"/>
        <w:rPr>
          <w:rFonts w:cs="Times New Roman"/>
          <w:color w:val="000000"/>
          <w:szCs w:val="24"/>
        </w:rPr>
      </w:pPr>
      <w:r w:rsidRPr="007B5823">
        <w:rPr>
          <w:rFonts w:cs="Times New Roman"/>
          <w:color w:val="000000"/>
          <w:szCs w:val="24"/>
        </w:rPr>
        <w:t xml:space="preserve">11 stopień zasilania określa, że odbiorca może pobierać moc w obiekcie </w:t>
      </w:r>
      <w:r w:rsidRPr="007B5823">
        <w:rPr>
          <w:rFonts w:cs="Times New Roman"/>
          <w:color w:val="000000"/>
          <w:szCs w:val="24"/>
        </w:rPr>
        <w:br/>
        <w:t>w wielkościach i na zasadach określonych w umowach dystrybucyjnych albo kompleksowych,</w:t>
      </w:r>
    </w:p>
    <w:p w14:paraId="4375CFB9" w14:textId="77777777" w:rsidR="007B5823" w:rsidRPr="007B5823" w:rsidRDefault="007B5823">
      <w:pPr>
        <w:pStyle w:val="Akapitzlist"/>
        <w:widowControl w:val="0"/>
        <w:numPr>
          <w:ilvl w:val="0"/>
          <w:numId w:val="296"/>
        </w:numPr>
        <w:autoSpaceDE w:val="0"/>
        <w:autoSpaceDN w:val="0"/>
        <w:spacing w:before="5" w:line="264" w:lineRule="exact"/>
        <w:ind w:left="1418" w:right="60" w:hanging="284"/>
        <w:jc w:val="both"/>
        <w:rPr>
          <w:rFonts w:cs="Times New Roman"/>
          <w:color w:val="000000"/>
          <w:szCs w:val="24"/>
        </w:rPr>
      </w:pPr>
      <w:r w:rsidRPr="007B5823">
        <w:rPr>
          <w:rFonts w:cs="Times New Roman"/>
          <w:color w:val="000000"/>
          <w:szCs w:val="24"/>
        </w:rPr>
        <w:t xml:space="preserve">12 stopień zasilania określa, że odbiorca może pobierać w obiekcie łączną moc do wysokości mocy maksymalnej poboru, określonej dla tego obiektu, zgodnie </w:t>
      </w:r>
      <w:r w:rsidRPr="007B5823">
        <w:rPr>
          <w:rFonts w:cs="Times New Roman"/>
          <w:color w:val="000000"/>
          <w:szCs w:val="24"/>
        </w:rPr>
        <w:br/>
        <w:t>z</w:t>
      </w:r>
      <w:r w:rsidRPr="007B5823">
        <w:rPr>
          <w:rFonts w:cs="Times New Roman"/>
          <w:color w:val="000000"/>
          <w:spacing w:val="27"/>
          <w:szCs w:val="24"/>
        </w:rPr>
        <w:t xml:space="preserve"> </w:t>
      </w:r>
      <w:r w:rsidRPr="007B5823">
        <w:rPr>
          <w:rFonts w:cs="Times New Roman"/>
          <w:color w:val="000000"/>
          <w:szCs w:val="24"/>
        </w:rPr>
        <w:t>pkt IV.3.2.25 lit. b),</w:t>
      </w:r>
    </w:p>
    <w:p w14:paraId="19AEC0A7" w14:textId="77777777" w:rsidR="007B5823" w:rsidRPr="007B5823" w:rsidRDefault="007B5823">
      <w:pPr>
        <w:pStyle w:val="Akapitzlist"/>
        <w:widowControl w:val="0"/>
        <w:numPr>
          <w:ilvl w:val="0"/>
          <w:numId w:val="295"/>
        </w:numPr>
        <w:autoSpaceDE w:val="0"/>
        <w:autoSpaceDN w:val="0"/>
        <w:spacing w:before="2" w:line="235" w:lineRule="auto"/>
        <w:ind w:left="1418" w:right="60" w:hanging="284"/>
        <w:jc w:val="both"/>
        <w:rPr>
          <w:rFonts w:cs="Times New Roman"/>
          <w:color w:val="000000"/>
          <w:szCs w:val="24"/>
        </w:rPr>
      </w:pPr>
      <w:r w:rsidRPr="007B5823">
        <w:rPr>
          <w:rFonts w:cs="Times New Roman"/>
          <w:color w:val="000000"/>
          <w:szCs w:val="24"/>
        </w:rPr>
        <w:t xml:space="preserve">20 stopień zasilania określa, że odbiorca może pobierać w obiekcie łączną moc do </w:t>
      </w:r>
      <w:r w:rsidRPr="007B5823">
        <w:rPr>
          <w:rFonts w:cs="Times New Roman"/>
          <w:color w:val="000000"/>
          <w:szCs w:val="24"/>
        </w:rPr>
        <w:lastRenderedPageBreak/>
        <w:t xml:space="preserve">wysokości mocy minimalnej poboru, określonej dla tego obiektu zgodnie </w:t>
      </w:r>
      <w:r w:rsidRPr="007B5823">
        <w:rPr>
          <w:rFonts w:cs="Times New Roman"/>
          <w:color w:val="000000"/>
          <w:szCs w:val="24"/>
        </w:rPr>
        <w:br/>
        <w:t>z</w:t>
      </w:r>
      <w:r w:rsidRPr="007B5823">
        <w:rPr>
          <w:rFonts w:cs="Times New Roman"/>
          <w:color w:val="000000"/>
          <w:spacing w:val="28"/>
          <w:szCs w:val="24"/>
        </w:rPr>
        <w:t xml:space="preserve"> </w:t>
      </w:r>
      <w:r w:rsidRPr="007B5823">
        <w:rPr>
          <w:rFonts w:cs="Times New Roman"/>
          <w:color w:val="000000"/>
          <w:szCs w:val="24"/>
        </w:rPr>
        <w:t>pkt IV.3.2.25 lit. a),</w:t>
      </w:r>
    </w:p>
    <w:p w14:paraId="60219557" w14:textId="77777777" w:rsidR="007B5823" w:rsidRPr="007B5823" w:rsidRDefault="007B5823">
      <w:pPr>
        <w:pStyle w:val="Akapitzlist"/>
        <w:widowControl w:val="0"/>
        <w:numPr>
          <w:ilvl w:val="0"/>
          <w:numId w:val="295"/>
        </w:numPr>
        <w:autoSpaceDE w:val="0"/>
        <w:autoSpaceDN w:val="0"/>
        <w:spacing w:before="4" w:line="242" w:lineRule="auto"/>
        <w:ind w:left="1418" w:right="60" w:hanging="284"/>
        <w:jc w:val="both"/>
        <w:rPr>
          <w:rFonts w:cs="Times New Roman"/>
          <w:color w:val="000000"/>
          <w:szCs w:val="24"/>
        </w:rPr>
      </w:pPr>
      <w:r w:rsidRPr="007B5823">
        <w:rPr>
          <w:rFonts w:cs="Times New Roman"/>
          <w:color w:val="000000"/>
          <w:szCs w:val="24"/>
        </w:rPr>
        <w:t>wielkości łączne maksymalnych mocy określone dla obiektu, które odbiorca może pobierać, w stopniach zasilania od 12 do 20, wynikają z równomiernego podziału zakresu mocy - od wielkości mocy maksymalnej poboru, określonej dla 12 stopnia zasilania, do wielkości mocy minimalnej poboru, określonej dla 20 stopnia</w:t>
      </w:r>
      <w:r w:rsidRPr="007B5823">
        <w:rPr>
          <w:rFonts w:cs="Times New Roman"/>
          <w:color w:val="000000"/>
          <w:spacing w:val="16"/>
          <w:szCs w:val="24"/>
        </w:rPr>
        <w:t xml:space="preserve"> </w:t>
      </w:r>
      <w:r w:rsidRPr="007B5823">
        <w:rPr>
          <w:rFonts w:cs="Times New Roman"/>
          <w:color w:val="000000"/>
          <w:spacing w:val="-8"/>
          <w:szCs w:val="24"/>
        </w:rPr>
        <w:t>zasilania.</w:t>
      </w:r>
    </w:p>
    <w:p w14:paraId="73F63FED" w14:textId="77777777" w:rsidR="007B5823" w:rsidRPr="007B5823" w:rsidRDefault="007B5823" w:rsidP="002C00C2">
      <w:pPr>
        <w:pStyle w:val="Akapitzlist"/>
        <w:widowControl w:val="0"/>
        <w:tabs>
          <w:tab w:val="left" w:pos="1647"/>
        </w:tabs>
        <w:autoSpaceDE w:val="0"/>
        <w:autoSpaceDN w:val="0"/>
        <w:spacing w:line="242" w:lineRule="auto"/>
        <w:ind w:left="1134" w:right="60" w:hanging="1134"/>
        <w:jc w:val="both"/>
        <w:rPr>
          <w:rFonts w:cs="Times New Roman"/>
          <w:color w:val="000000"/>
          <w:szCs w:val="24"/>
        </w:rPr>
      </w:pPr>
      <w:r w:rsidRPr="007B5823">
        <w:rPr>
          <w:rFonts w:cs="Times New Roman"/>
          <w:color w:val="000000"/>
          <w:szCs w:val="24"/>
        </w:rPr>
        <w:t>IV.3.2.23. W poszczególnych stopniach zasilania odbiorca może pobierać w obiekcie łączną moc o wielkości nie wyższej niż wielkość mocy, która jest określona dla danego stopnia zasilania dla tego</w:t>
      </w:r>
      <w:r w:rsidRPr="007B5823">
        <w:rPr>
          <w:rFonts w:cs="Times New Roman"/>
          <w:color w:val="000000"/>
          <w:spacing w:val="41"/>
          <w:szCs w:val="24"/>
        </w:rPr>
        <w:t xml:space="preserve"> </w:t>
      </w:r>
      <w:r w:rsidRPr="007B5823">
        <w:rPr>
          <w:rFonts w:cs="Times New Roman"/>
          <w:color w:val="000000"/>
          <w:szCs w:val="24"/>
        </w:rPr>
        <w:t>obiektu.</w:t>
      </w:r>
    </w:p>
    <w:p w14:paraId="05341473" w14:textId="77777777" w:rsidR="007B5823" w:rsidRPr="007B5823" w:rsidRDefault="007B5823" w:rsidP="002C00C2">
      <w:pPr>
        <w:pStyle w:val="Akapitzlist"/>
        <w:widowControl w:val="0"/>
        <w:tabs>
          <w:tab w:val="left" w:pos="1647"/>
        </w:tabs>
        <w:autoSpaceDE w:val="0"/>
        <w:autoSpaceDN w:val="0"/>
        <w:ind w:left="1134" w:right="60" w:hanging="1134"/>
        <w:jc w:val="both"/>
        <w:rPr>
          <w:rFonts w:cs="Times New Roman"/>
          <w:color w:val="000000"/>
          <w:szCs w:val="24"/>
        </w:rPr>
      </w:pPr>
      <w:r w:rsidRPr="007B5823">
        <w:rPr>
          <w:rFonts w:cs="Times New Roman"/>
          <w:color w:val="000000"/>
          <w:szCs w:val="24"/>
        </w:rPr>
        <w:t xml:space="preserve">IV.3.2.24. Wielkości łączne mocy określone dla obiektu, obowiązujące odbiorcę </w:t>
      </w:r>
      <w:r w:rsidRPr="007B5823">
        <w:rPr>
          <w:rFonts w:cs="Times New Roman"/>
          <w:color w:val="000000"/>
          <w:szCs w:val="24"/>
        </w:rPr>
        <w:br/>
        <w:t>w stopniach zasilania od 12 do 20, zawarte w planie wprowadzania ograniczeń dla odbiorcy w zakresie posiadanego przez niego obiektu, są przekazywane odbiorcy przez OSDn w sposób określony w pkt</w:t>
      </w:r>
      <w:r w:rsidRPr="007B5823">
        <w:rPr>
          <w:rFonts w:cs="Times New Roman"/>
          <w:color w:val="000000"/>
          <w:spacing w:val="3"/>
          <w:szCs w:val="24"/>
        </w:rPr>
        <w:t xml:space="preserve"> </w:t>
      </w:r>
      <w:r w:rsidRPr="007B5823">
        <w:rPr>
          <w:rFonts w:cs="Times New Roman"/>
          <w:color w:val="000000"/>
          <w:szCs w:val="24"/>
        </w:rPr>
        <w:t>IV.3.2.27.</w:t>
      </w:r>
    </w:p>
    <w:p w14:paraId="5CA7A44F" w14:textId="77777777" w:rsidR="007B5823" w:rsidRPr="007B5823" w:rsidRDefault="007B5823" w:rsidP="00D23884">
      <w:pPr>
        <w:pStyle w:val="Akapitzlist"/>
        <w:widowControl w:val="0"/>
        <w:tabs>
          <w:tab w:val="left" w:pos="1647"/>
        </w:tabs>
        <w:autoSpaceDE w:val="0"/>
        <w:autoSpaceDN w:val="0"/>
        <w:ind w:left="993" w:right="60" w:hanging="993"/>
        <w:jc w:val="both"/>
        <w:rPr>
          <w:rFonts w:cs="Times New Roman"/>
          <w:color w:val="000000"/>
          <w:szCs w:val="24"/>
        </w:rPr>
      </w:pPr>
      <w:r w:rsidRPr="007B5823">
        <w:rPr>
          <w:rFonts w:cs="Times New Roman"/>
          <w:color w:val="000000"/>
          <w:szCs w:val="24"/>
        </w:rPr>
        <w:t xml:space="preserve">IV.3.2.25. Moc minimalną poboru oraz moc maksymalną poboru określa OSDn na podstawie wskazań układów pomiarowo-rozliczeniowych z funkcją odczytu danych </w:t>
      </w:r>
      <w:r w:rsidRPr="007B5823">
        <w:rPr>
          <w:rFonts w:cs="Times New Roman"/>
          <w:color w:val="000000"/>
          <w:szCs w:val="24"/>
        </w:rPr>
        <w:br/>
        <w:t>w systemie danych dobowo-godzinowych obejmujących pełny okres pomiarowy od dnia I stycznia roku n - 1 do dnia 31 grudnia roku n - 1, gdzie „n" jest rokiem uzgodnienia, o którym mowa w pkt IV.3.2.21., przez Prezesa URE planu wprowadzania ograniczeń,</w:t>
      </w:r>
      <w:r w:rsidRPr="007B5823">
        <w:rPr>
          <w:rFonts w:cs="Times New Roman"/>
          <w:color w:val="000000"/>
          <w:spacing w:val="-41"/>
          <w:szCs w:val="24"/>
        </w:rPr>
        <w:t xml:space="preserve"> </w:t>
      </w:r>
      <w:r w:rsidRPr="007B5823">
        <w:rPr>
          <w:rFonts w:cs="Times New Roman"/>
          <w:color w:val="000000"/>
          <w:szCs w:val="24"/>
        </w:rPr>
        <w:t>odpowiednio:</w:t>
      </w:r>
    </w:p>
    <w:p w14:paraId="265746B7" w14:textId="77777777" w:rsidR="007B5823" w:rsidRPr="007B5823" w:rsidRDefault="007B5823">
      <w:pPr>
        <w:pStyle w:val="Akapitzlist"/>
        <w:widowControl w:val="0"/>
        <w:numPr>
          <w:ilvl w:val="0"/>
          <w:numId w:val="294"/>
        </w:numPr>
        <w:autoSpaceDE w:val="0"/>
        <w:autoSpaceDN w:val="0"/>
        <w:spacing w:line="264" w:lineRule="exact"/>
        <w:ind w:left="1276" w:right="60" w:hanging="283"/>
        <w:jc w:val="both"/>
        <w:rPr>
          <w:rFonts w:cs="Times New Roman"/>
          <w:color w:val="000000"/>
          <w:szCs w:val="24"/>
        </w:rPr>
      </w:pPr>
      <w:r w:rsidRPr="007B5823">
        <w:rPr>
          <w:rFonts w:cs="Times New Roman"/>
          <w:color w:val="000000"/>
          <w:szCs w:val="24"/>
        </w:rPr>
        <w:t>w przypadku mocy minimalnej poboru</w:t>
      </w:r>
      <w:r w:rsidRPr="007B5823">
        <w:rPr>
          <w:rFonts w:cs="Times New Roman"/>
          <w:color w:val="000000"/>
          <w:spacing w:val="20"/>
          <w:szCs w:val="24"/>
        </w:rPr>
        <w:t xml:space="preserve"> </w:t>
      </w:r>
      <w:r w:rsidRPr="007B5823">
        <w:rPr>
          <w:rFonts w:cs="Times New Roman"/>
          <w:color w:val="000000"/>
          <w:szCs w:val="24"/>
        </w:rPr>
        <w:t>przez:</w:t>
      </w:r>
    </w:p>
    <w:p w14:paraId="7D40900D" w14:textId="77777777" w:rsidR="007B5823" w:rsidRPr="007B5823" w:rsidRDefault="007B5823">
      <w:pPr>
        <w:pStyle w:val="Akapitzlist"/>
        <w:widowControl w:val="0"/>
        <w:numPr>
          <w:ilvl w:val="1"/>
          <w:numId w:val="294"/>
        </w:numPr>
        <w:tabs>
          <w:tab w:val="left" w:pos="1884"/>
        </w:tabs>
        <w:autoSpaceDE w:val="0"/>
        <w:autoSpaceDN w:val="0"/>
        <w:spacing w:before="5" w:line="242" w:lineRule="auto"/>
        <w:ind w:right="60" w:hanging="460"/>
        <w:jc w:val="both"/>
        <w:rPr>
          <w:rFonts w:cs="Times New Roman"/>
          <w:color w:val="000000"/>
          <w:szCs w:val="24"/>
        </w:rPr>
      </w:pPr>
      <w:r w:rsidRPr="007B5823">
        <w:rPr>
          <w:rFonts w:cs="Times New Roman"/>
          <w:color w:val="000000"/>
          <w:szCs w:val="24"/>
        </w:rPr>
        <w:t>wyznaczenie</w:t>
      </w:r>
      <w:r w:rsidRPr="007B5823">
        <w:rPr>
          <w:rFonts w:cs="Times New Roman"/>
          <w:color w:val="000000"/>
          <w:spacing w:val="-5"/>
          <w:szCs w:val="24"/>
        </w:rPr>
        <w:t xml:space="preserve"> </w:t>
      </w:r>
      <w:r w:rsidRPr="007B5823">
        <w:rPr>
          <w:rFonts w:cs="Times New Roman"/>
          <w:color w:val="000000"/>
          <w:szCs w:val="24"/>
        </w:rPr>
        <w:t>dla</w:t>
      </w:r>
      <w:r w:rsidRPr="007B5823">
        <w:rPr>
          <w:rFonts w:cs="Times New Roman"/>
          <w:color w:val="000000"/>
          <w:spacing w:val="-16"/>
          <w:szCs w:val="24"/>
        </w:rPr>
        <w:t xml:space="preserve"> </w:t>
      </w:r>
      <w:r w:rsidRPr="007B5823">
        <w:rPr>
          <w:rFonts w:cs="Times New Roman"/>
          <w:color w:val="000000"/>
          <w:szCs w:val="24"/>
        </w:rPr>
        <w:t>każdego</w:t>
      </w:r>
      <w:r w:rsidRPr="007B5823">
        <w:rPr>
          <w:rFonts w:cs="Times New Roman"/>
          <w:color w:val="000000"/>
          <w:spacing w:val="-6"/>
          <w:szCs w:val="24"/>
        </w:rPr>
        <w:t xml:space="preserve"> </w:t>
      </w:r>
      <w:r w:rsidRPr="007B5823">
        <w:rPr>
          <w:rFonts w:cs="Times New Roman"/>
          <w:color w:val="000000"/>
          <w:szCs w:val="24"/>
        </w:rPr>
        <w:t>miesiąca</w:t>
      </w:r>
      <w:r w:rsidRPr="007B5823">
        <w:rPr>
          <w:rFonts w:cs="Times New Roman"/>
          <w:color w:val="000000"/>
          <w:spacing w:val="-5"/>
          <w:szCs w:val="24"/>
        </w:rPr>
        <w:t xml:space="preserve"> </w:t>
      </w:r>
      <w:r w:rsidRPr="007B5823">
        <w:rPr>
          <w:rFonts w:cs="Times New Roman"/>
          <w:color w:val="000000"/>
          <w:szCs w:val="24"/>
        </w:rPr>
        <w:t>kalendarzowego</w:t>
      </w:r>
      <w:r w:rsidRPr="007B5823">
        <w:rPr>
          <w:rFonts w:cs="Times New Roman"/>
          <w:color w:val="000000"/>
          <w:spacing w:val="-17"/>
          <w:szCs w:val="24"/>
        </w:rPr>
        <w:t xml:space="preserve"> </w:t>
      </w:r>
      <w:r w:rsidRPr="007B5823">
        <w:rPr>
          <w:rFonts w:cs="Times New Roman"/>
          <w:color w:val="000000"/>
          <w:szCs w:val="24"/>
        </w:rPr>
        <w:t>odrębnie</w:t>
      </w:r>
      <w:r w:rsidRPr="007B5823">
        <w:rPr>
          <w:rFonts w:cs="Times New Roman"/>
          <w:color w:val="000000"/>
          <w:spacing w:val="-4"/>
          <w:szCs w:val="24"/>
        </w:rPr>
        <w:t xml:space="preserve"> </w:t>
      </w:r>
      <w:r w:rsidRPr="007B5823">
        <w:rPr>
          <w:rFonts w:cs="Times New Roman"/>
          <w:color w:val="000000"/>
          <w:szCs w:val="24"/>
        </w:rPr>
        <w:t>jednej</w:t>
      </w:r>
      <w:r w:rsidRPr="007B5823">
        <w:rPr>
          <w:rFonts w:cs="Times New Roman"/>
          <w:color w:val="000000"/>
          <w:spacing w:val="-9"/>
          <w:szCs w:val="24"/>
        </w:rPr>
        <w:t xml:space="preserve"> </w:t>
      </w:r>
      <w:r w:rsidRPr="007B5823">
        <w:rPr>
          <w:rFonts w:cs="Times New Roman"/>
          <w:color w:val="000000"/>
          <w:szCs w:val="24"/>
        </w:rPr>
        <w:t>wartości poboru mocy średniogodzinnej, która w danym miesiącu miała wartość najniższą,</w:t>
      </w:r>
    </w:p>
    <w:p w14:paraId="30E33E0E" w14:textId="77777777" w:rsidR="007B5823" w:rsidRPr="007B5823" w:rsidRDefault="007B5823">
      <w:pPr>
        <w:pStyle w:val="Akapitzlist"/>
        <w:widowControl w:val="0"/>
        <w:numPr>
          <w:ilvl w:val="1"/>
          <w:numId w:val="294"/>
        </w:numPr>
        <w:tabs>
          <w:tab w:val="left" w:pos="1887"/>
        </w:tabs>
        <w:autoSpaceDE w:val="0"/>
        <w:autoSpaceDN w:val="0"/>
        <w:spacing w:before="91" w:line="249" w:lineRule="auto"/>
        <w:ind w:left="1888" w:right="60" w:hanging="520"/>
        <w:jc w:val="both"/>
        <w:rPr>
          <w:rFonts w:cs="Times New Roman"/>
          <w:color w:val="000000"/>
          <w:szCs w:val="24"/>
        </w:rPr>
      </w:pPr>
      <w:r w:rsidRPr="007B5823">
        <w:rPr>
          <w:rFonts w:cs="Times New Roman"/>
          <w:color w:val="000000"/>
          <w:w w:val="105"/>
          <w:szCs w:val="24"/>
        </w:rPr>
        <w:t>odrzucenie trzech wartości najniższych spośród wartości, o których mowa w ppkt i, i wyznaczenie średniej arytmetycznej z pozostałych dziewięciu wartości;</w:t>
      </w:r>
    </w:p>
    <w:p w14:paraId="18D07854" w14:textId="77777777" w:rsidR="007B5823" w:rsidRPr="007B5823" w:rsidRDefault="007B5823">
      <w:pPr>
        <w:pStyle w:val="Akapitzlist"/>
        <w:widowControl w:val="0"/>
        <w:numPr>
          <w:ilvl w:val="0"/>
          <w:numId w:val="294"/>
        </w:numPr>
        <w:autoSpaceDE w:val="0"/>
        <w:autoSpaceDN w:val="0"/>
        <w:spacing w:before="9"/>
        <w:ind w:left="1276" w:right="60" w:hanging="283"/>
        <w:jc w:val="both"/>
        <w:rPr>
          <w:rFonts w:cs="Times New Roman"/>
          <w:color w:val="000000"/>
          <w:szCs w:val="24"/>
        </w:rPr>
      </w:pPr>
      <w:r w:rsidRPr="007B5823">
        <w:rPr>
          <w:rFonts w:cs="Times New Roman"/>
          <w:color w:val="000000"/>
          <w:szCs w:val="24"/>
        </w:rPr>
        <w:t>w przypadku mocy maksymalnej poboru</w:t>
      </w:r>
      <w:r w:rsidRPr="007B5823">
        <w:rPr>
          <w:rFonts w:cs="Times New Roman"/>
          <w:color w:val="000000"/>
          <w:spacing w:val="-2"/>
          <w:szCs w:val="24"/>
        </w:rPr>
        <w:t xml:space="preserve"> </w:t>
      </w:r>
      <w:r w:rsidRPr="007B5823">
        <w:rPr>
          <w:rFonts w:cs="Times New Roman"/>
          <w:color w:val="000000"/>
          <w:szCs w:val="24"/>
        </w:rPr>
        <w:t>przez:</w:t>
      </w:r>
    </w:p>
    <w:p w14:paraId="10A4EECF" w14:textId="77777777" w:rsidR="007B5823" w:rsidRPr="007B5823" w:rsidRDefault="007B5823">
      <w:pPr>
        <w:numPr>
          <w:ilvl w:val="1"/>
          <w:numId w:val="294"/>
        </w:numPr>
        <w:spacing w:before="11" w:line="249" w:lineRule="auto"/>
        <w:ind w:right="60"/>
        <w:jc w:val="both"/>
        <w:rPr>
          <w:rFonts w:cs="Times New Roman"/>
          <w:color w:val="000000"/>
          <w:szCs w:val="24"/>
        </w:rPr>
      </w:pPr>
      <w:r w:rsidRPr="007B5823">
        <w:rPr>
          <w:rFonts w:cs="Times New Roman"/>
          <w:color w:val="000000"/>
          <w:w w:val="105"/>
          <w:szCs w:val="24"/>
        </w:rPr>
        <w:t>wyznaczenie dla każdego miesiąca kalendarzowego odrębnie jednej wartości poboru mocy średniogodzinnej, która w danym miesiącu miała wartość najwyższą,</w:t>
      </w:r>
    </w:p>
    <w:p w14:paraId="226A28D5" w14:textId="77777777" w:rsidR="007B5823" w:rsidRPr="007B5823" w:rsidRDefault="007B5823" w:rsidP="007B5823">
      <w:pPr>
        <w:spacing w:before="4" w:line="252" w:lineRule="auto"/>
        <w:ind w:left="1965" w:right="60" w:hanging="524"/>
        <w:jc w:val="both"/>
        <w:rPr>
          <w:rFonts w:cs="Times New Roman"/>
          <w:color w:val="000000"/>
          <w:szCs w:val="24"/>
        </w:rPr>
      </w:pPr>
      <w:r w:rsidRPr="007B5823">
        <w:rPr>
          <w:rFonts w:cs="Times New Roman"/>
          <w:color w:val="000000"/>
          <w:w w:val="105"/>
          <w:szCs w:val="24"/>
        </w:rPr>
        <w:t>ii. odrzucenie trzech wartości najwyższych spośród wartości, o których mowa w ppkt i, i wyznaczenie średniej arytmetycznej z pozostałych dziewięciu wartości.</w:t>
      </w:r>
    </w:p>
    <w:p w14:paraId="5DAD3E9B" w14:textId="77777777" w:rsidR="007B5823" w:rsidRPr="007B5823" w:rsidRDefault="007B5823" w:rsidP="00D23884">
      <w:pPr>
        <w:spacing w:before="1" w:line="249" w:lineRule="auto"/>
        <w:ind w:left="993" w:right="60" w:firstLine="4"/>
        <w:jc w:val="both"/>
        <w:rPr>
          <w:rFonts w:cs="Times New Roman"/>
          <w:color w:val="000000"/>
          <w:szCs w:val="24"/>
        </w:rPr>
      </w:pPr>
      <w:r w:rsidRPr="007B5823">
        <w:rPr>
          <w:rFonts w:cs="Times New Roman"/>
          <w:color w:val="000000"/>
          <w:w w:val="105"/>
          <w:szCs w:val="24"/>
        </w:rPr>
        <w:t>W</w:t>
      </w:r>
      <w:r w:rsidRPr="007B5823">
        <w:rPr>
          <w:rFonts w:cs="Times New Roman"/>
          <w:color w:val="000000"/>
          <w:spacing w:val="-19"/>
          <w:w w:val="105"/>
          <w:szCs w:val="24"/>
        </w:rPr>
        <w:t xml:space="preserve"> </w:t>
      </w:r>
      <w:r w:rsidRPr="007B5823">
        <w:rPr>
          <w:rFonts w:cs="Times New Roman"/>
          <w:color w:val="000000"/>
          <w:w w:val="105"/>
          <w:szCs w:val="24"/>
        </w:rPr>
        <w:t>przypadku</w:t>
      </w:r>
      <w:r w:rsidRPr="007B5823">
        <w:rPr>
          <w:rFonts w:cs="Times New Roman"/>
          <w:color w:val="000000"/>
          <w:spacing w:val="-8"/>
          <w:w w:val="105"/>
          <w:szCs w:val="24"/>
        </w:rPr>
        <w:t xml:space="preserve"> </w:t>
      </w:r>
      <w:r w:rsidRPr="007B5823">
        <w:rPr>
          <w:rFonts w:cs="Times New Roman"/>
          <w:color w:val="000000"/>
          <w:w w:val="105"/>
          <w:szCs w:val="24"/>
        </w:rPr>
        <w:t>braku</w:t>
      </w:r>
      <w:r w:rsidRPr="007B5823">
        <w:rPr>
          <w:rFonts w:cs="Times New Roman"/>
          <w:color w:val="000000"/>
          <w:spacing w:val="-13"/>
          <w:w w:val="105"/>
          <w:szCs w:val="24"/>
        </w:rPr>
        <w:t xml:space="preserve"> </w:t>
      </w:r>
      <w:r w:rsidRPr="007B5823">
        <w:rPr>
          <w:rFonts w:cs="Times New Roman"/>
          <w:color w:val="000000"/>
          <w:w w:val="105"/>
          <w:szCs w:val="24"/>
        </w:rPr>
        <w:t>możliwości</w:t>
      </w:r>
      <w:r w:rsidRPr="007B5823">
        <w:rPr>
          <w:rFonts w:cs="Times New Roman"/>
          <w:color w:val="000000"/>
          <w:spacing w:val="-5"/>
          <w:w w:val="105"/>
          <w:szCs w:val="24"/>
        </w:rPr>
        <w:t xml:space="preserve"> </w:t>
      </w:r>
      <w:r w:rsidRPr="007B5823">
        <w:rPr>
          <w:rFonts w:cs="Times New Roman"/>
          <w:color w:val="000000"/>
          <w:w w:val="105"/>
          <w:szCs w:val="24"/>
        </w:rPr>
        <w:t>pozyskania</w:t>
      </w:r>
      <w:r w:rsidRPr="007B5823">
        <w:rPr>
          <w:rFonts w:cs="Times New Roman"/>
          <w:color w:val="000000"/>
          <w:spacing w:val="-11"/>
          <w:w w:val="105"/>
          <w:szCs w:val="24"/>
        </w:rPr>
        <w:t xml:space="preserve"> </w:t>
      </w:r>
      <w:r w:rsidRPr="007B5823">
        <w:rPr>
          <w:rFonts w:cs="Times New Roman"/>
          <w:color w:val="000000"/>
          <w:w w:val="105"/>
          <w:szCs w:val="24"/>
        </w:rPr>
        <w:t>przez</w:t>
      </w:r>
      <w:r w:rsidRPr="007B5823">
        <w:rPr>
          <w:rFonts w:cs="Times New Roman"/>
          <w:color w:val="000000"/>
          <w:spacing w:val="-19"/>
          <w:w w:val="105"/>
          <w:szCs w:val="24"/>
        </w:rPr>
        <w:t xml:space="preserve"> OSDn </w:t>
      </w:r>
      <w:r w:rsidRPr="007B5823">
        <w:rPr>
          <w:rFonts w:cs="Times New Roman"/>
          <w:color w:val="000000"/>
          <w:w w:val="105"/>
          <w:szCs w:val="24"/>
        </w:rPr>
        <w:t>wskazań</w:t>
      </w:r>
      <w:r w:rsidRPr="007B5823">
        <w:rPr>
          <w:rFonts w:cs="Times New Roman"/>
          <w:color w:val="000000"/>
          <w:spacing w:val="-14"/>
          <w:w w:val="105"/>
          <w:szCs w:val="24"/>
        </w:rPr>
        <w:t xml:space="preserve"> </w:t>
      </w:r>
      <w:r w:rsidRPr="007B5823">
        <w:rPr>
          <w:rFonts w:cs="Times New Roman"/>
          <w:color w:val="000000"/>
          <w:w w:val="105"/>
          <w:szCs w:val="24"/>
        </w:rPr>
        <w:t>układu pomiarowo-rozliczeniowego,</w:t>
      </w:r>
      <w:r w:rsidRPr="007B5823">
        <w:rPr>
          <w:rFonts w:cs="Times New Roman"/>
          <w:color w:val="000000"/>
          <w:spacing w:val="-21"/>
          <w:w w:val="105"/>
          <w:szCs w:val="24"/>
        </w:rPr>
        <w:t xml:space="preserve"> </w:t>
      </w:r>
      <w:r w:rsidRPr="007B5823">
        <w:rPr>
          <w:rFonts w:cs="Times New Roman"/>
          <w:color w:val="000000"/>
          <w:w w:val="105"/>
          <w:szCs w:val="24"/>
        </w:rPr>
        <w:t>o</w:t>
      </w:r>
      <w:r w:rsidRPr="007B5823">
        <w:rPr>
          <w:rFonts w:cs="Times New Roman"/>
          <w:color w:val="000000"/>
          <w:spacing w:val="-19"/>
          <w:w w:val="105"/>
          <w:szCs w:val="24"/>
        </w:rPr>
        <w:t xml:space="preserve"> </w:t>
      </w:r>
      <w:r w:rsidRPr="007B5823">
        <w:rPr>
          <w:rFonts w:cs="Times New Roman"/>
          <w:color w:val="000000"/>
          <w:w w:val="105"/>
          <w:szCs w:val="24"/>
        </w:rPr>
        <w:t>których</w:t>
      </w:r>
      <w:r w:rsidRPr="007B5823">
        <w:rPr>
          <w:rFonts w:cs="Times New Roman"/>
          <w:color w:val="000000"/>
          <w:spacing w:val="-8"/>
          <w:w w:val="105"/>
          <w:szCs w:val="24"/>
        </w:rPr>
        <w:t xml:space="preserve"> </w:t>
      </w:r>
      <w:r w:rsidRPr="007B5823">
        <w:rPr>
          <w:rFonts w:cs="Times New Roman"/>
          <w:color w:val="000000"/>
          <w:w w:val="105"/>
          <w:szCs w:val="24"/>
        </w:rPr>
        <w:t>mowa</w:t>
      </w:r>
      <w:r w:rsidRPr="007B5823">
        <w:rPr>
          <w:rFonts w:cs="Times New Roman"/>
          <w:color w:val="000000"/>
          <w:spacing w:val="-13"/>
          <w:w w:val="105"/>
          <w:szCs w:val="24"/>
        </w:rPr>
        <w:t xml:space="preserve"> </w:t>
      </w:r>
      <w:r w:rsidRPr="007B5823">
        <w:rPr>
          <w:rFonts w:cs="Times New Roman"/>
          <w:color w:val="000000"/>
          <w:w w:val="105"/>
          <w:szCs w:val="24"/>
        </w:rPr>
        <w:t>powyżej,</w:t>
      </w:r>
      <w:r w:rsidRPr="007B5823">
        <w:rPr>
          <w:rFonts w:cs="Times New Roman"/>
          <w:color w:val="000000"/>
          <w:spacing w:val="-13"/>
          <w:w w:val="105"/>
          <w:szCs w:val="24"/>
        </w:rPr>
        <w:t xml:space="preserve"> OSDn </w:t>
      </w:r>
      <w:r w:rsidRPr="007B5823">
        <w:rPr>
          <w:rFonts w:cs="Times New Roman"/>
          <w:color w:val="000000"/>
          <w:w w:val="105"/>
          <w:szCs w:val="24"/>
        </w:rPr>
        <w:t>wyznacza je zgodnie z zapisami pkt C. IRiESD.</w:t>
      </w:r>
    </w:p>
    <w:p w14:paraId="0A0DDD2B" w14:textId="6DB5B256" w:rsidR="007B5823" w:rsidRPr="007B5823" w:rsidRDefault="007B5823" w:rsidP="00D23884">
      <w:pPr>
        <w:pStyle w:val="Akapitzlist"/>
        <w:widowControl w:val="0"/>
        <w:autoSpaceDE w:val="0"/>
        <w:autoSpaceDN w:val="0"/>
        <w:spacing w:before="1" w:line="252" w:lineRule="auto"/>
        <w:ind w:left="1134" w:right="60" w:hanging="1134"/>
        <w:jc w:val="both"/>
        <w:rPr>
          <w:rFonts w:cs="Times New Roman"/>
          <w:color w:val="000000"/>
          <w:szCs w:val="24"/>
        </w:rPr>
      </w:pPr>
      <w:r w:rsidRPr="007B5823">
        <w:rPr>
          <w:rFonts w:cs="Times New Roman"/>
          <w:color w:val="000000"/>
          <w:w w:val="105"/>
          <w:szCs w:val="24"/>
        </w:rPr>
        <w:t>IV.3.2.26. W</w:t>
      </w:r>
      <w:r w:rsidRPr="007B5823">
        <w:rPr>
          <w:rFonts w:cs="Times New Roman"/>
          <w:color w:val="000000"/>
          <w:spacing w:val="-27"/>
          <w:w w:val="105"/>
          <w:szCs w:val="24"/>
        </w:rPr>
        <w:t xml:space="preserve"> </w:t>
      </w:r>
      <w:r w:rsidRPr="007B5823">
        <w:rPr>
          <w:rFonts w:cs="Times New Roman"/>
          <w:color w:val="000000"/>
          <w:w w:val="105"/>
          <w:szCs w:val="24"/>
        </w:rPr>
        <w:t>przypadku,</w:t>
      </w:r>
      <w:r w:rsidRPr="007B5823">
        <w:rPr>
          <w:rFonts w:cs="Times New Roman"/>
          <w:color w:val="000000"/>
          <w:spacing w:val="-16"/>
          <w:w w:val="105"/>
          <w:szCs w:val="24"/>
        </w:rPr>
        <w:t xml:space="preserve"> </w:t>
      </w:r>
      <w:r w:rsidRPr="007B5823">
        <w:rPr>
          <w:rFonts w:cs="Times New Roman"/>
          <w:color w:val="000000"/>
          <w:w w:val="105"/>
          <w:szCs w:val="24"/>
        </w:rPr>
        <w:t>gdy</w:t>
      </w:r>
      <w:r w:rsidRPr="007B5823">
        <w:rPr>
          <w:rFonts w:cs="Times New Roman"/>
          <w:color w:val="000000"/>
          <w:spacing w:val="-26"/>
          <w:w w:val="105"/>
          <w:szCs w:val="24"/>
        </w:rPr>
        <w:t xml:space="preserve"> </w:t>
      </w:r>
      <w:r w:rsidRPr="007B5823">
        <w:rPr>
          <w:rFonts w:cs="Times New Roman"/>
          <w:color w:val="000000"/>
          <w:w w:val="105"/>
          <w:szCs w:val="24"/>
        </w:rPr>
        <w:t>wyznaczona</w:t>
      </w:r>
      <w:r w:rsidRPr="007B5823">
        <w:rPr>
          <w:rFonts w:cs="Times New Roman"/>
          <w:color w:val="000000"/>
          <w:spacing w:val="-23"/>
          <w:w w:val="105"/>
          <w:szCs w:val="24"/>
        </w:rPr>
        <w:t xml:space="preserve"> </w:t>
      </w:r>
      <w:r w:rsidRPr="007B5823">
        <w:rPr>
          <w:rFonts w:cs="Times New Roman"/>
          <w:color w:val="000000"/>
          <w:w w:val="105"/>
          <w:szCs w:val="24"/>
        </w:rPr>
        <w:t>dla</w:t>
      </w:r>
      <w:r w:rsidRPr="007B5823">
        <w:rPr>
          <w:rFonts w:cs="Times New Roman"/>
          <w:color w:val="000000"/>
          <w:spacing w:val="-32"/>
          <w:w w:val="105"/>
          <w:szCs w:val="24"/>
        </w:rPr>
        <w:t xml:space="preserve"> </w:t>
      </w:r>
      <w:r w:rsidRPr="007B5823">
        <w:rPr>
          <w:rFonts w:cs="Times New Roman"/>
          <w:color w:val="000000"/>
          <w:w w:val="105"/>
          <w:szCs w:val="24"/>
        </w:rPr>
        <w:t>obiektu</w:t>
      </w:r>
      <w:r w:rsidRPr="007B5823">
        <w:rPr>
          <w:rFonts w:cs="Times New Roman"/>
          <w:color w:val="000000"/>
          <w:spacing w:val="-20"/>
          <w:w w:val="105"/>
          <w:szCs w:val="24"/>
        </w:rPr>
        <w:t xml:space="preserve"> </w:t>
      </w:r>
      <w:r w:rsidRPr="007B5823">
        <w:rPr>
          <w:rFonts w:cs="Times New Roman"/>
          <w:color w:val="000000"/>
          <w:w w:val="105"/>
          <w:szCs w:val="24"/>
        </w:rPr>
        <w:t>wielkość</w:t>
      </w:r>
      <w:r w:rsidRPr="007B5823">
        <w:rPr>
          <w:rFonts w:cs="Times New Roman"/>
          <w:color w:val="000000"/>
          <w:spacing w:val="-20"/>
          <w:w w:val="105"/>
          <w:szCs w:val="24"/>
        </w:rPr>
        <w:t xml:space="preserve"> </w:t>
      </w:r>
      <w:r w:rsidRPr="007B5823">
        <w:rPr>
          <w:rFonts w:cs="Times New Roman"/>
          <w:color w:val="000000"/>
          <w:w w:val="105"/>
          <w:szCs w:val="24"/>
        </w:rPr>
        <w:t>mocy</w:t>
      </w:r>
      <w:r w:rsidRPr="007B5823">
        <w:rPr>
          <w:rFonts w:cs="Times New Roman"/>
          <w:color w:val="000000"/>
          <w:spacing w:val="-23"/>
          <w:w w:val="105"/>
          <w:szCs w:val="24"/>
        </w:rPr>
        <w:t xml:space="preserve"> </w:t>
      </w:r>
      <w:r w:rsidRPr="007B5823">
        <w:rPr>
          <w:rFonts w:cs="Times New Roman"/>
          <w:color w:val="000000"/>
          <w:w w:val="105"/>
          <w:szCs w:val="24"/>
        </w:rPr>
        <w:t>maksymalnej</w:t>
      </w:r>
      <w:r w:rsidRPr="007B5823">
        <w:rPr>
          <w:rFonts w:cs="Times New Roman"/>
          <w:color w:val="000000"/>
          <w:spacing w:val="-17"/>
          <w:w w:val="105"/>
          <w:szCs w:val="24"/>
        </w:rPr>
        <w:t xml:space="preserve"> </w:t>
      </w:r>
      <w:r w:rsidRPr="007B5823">
        <w:rPr>
          <w:rFonts w:cs="Times New Roman"/>
          <w:color w:val="000000"/>
          <w:w w:val="105"/>
          <w:szCs w:val="24"/>
        </w:rPr>
        <w:t xml:space="preserve">poboru jest większa niż łączna wielkość mocy umownej, określona dla tego obiektu </w:t>
      </w:r>
      <w:r w:rsidR="004171D4">
        <w:rPr>
          <w:rFonts w:cs="Times New Roman"/>
          <w:color w:val="000000"/>
          <w:w w:val="105"/>
          <w:szCs w:val="24"/>
        </w:rPr>
        <w:br/>
      </w:r>
      <w:r w:rsidRPr="007B5823">
        <w:rPr>
          <w:rFonts w:cs="Times New Roman"/>
          <w:color w:val="000000"/>
          <w:w w:val="105"/>
          <w:szCs w:val="24"/>
        </w:rPr>
        <w:t>w umowach dystrybucyjnych</w:t>
      </w:r>
      <w:r w:rsidRPr="007B5823">
        <w:rPr>
          <w:rFonts w:cs="Times New Roman"/>
          <w:color w:val="000000"/>
          <w:spacing w:val="-27"/>
          <w:w w:val="105"/>
          <w:szCs w:val="24"/>
        </w:rPr>
        <w:t xml:space="preserve"> </w:t>
      </w:r>
      <w:r w:rsidRPr="007B5823">
        <w:rPr>
          <w:rFonts w:cs="Times New Roman"/>
          <w:color w:val="000000"/>
          <w:w w:val="105"/>
          <w:szCs w:val="24"/>
        </w:rPr>
        <w:t>albo</w:t>
      </w:r>
      <w:r w:rsidRPr="007B5823">
        <w:rPr>
          <w:rFonts w:cs="Times New Roman"/>
          <w:color w:val="000000"/>
          <w:spacing w:val="-15"/>
          <w:w w:val="105"/>
          <w:szCs w:val="24"/>
        </w:rPr>
        <w:t xml:space="preserve"> </w:t>
      </w:r>
      <w:r w:rsidRPr="007B5823">
        <w:rPr>
          <w:rFonts w:cs="Times New Roman"/>
          <w:color w:val="000000"/>
          <w:w w:val="105"/>
          <w:szCs w:val="24"/>
        </w:rPr>
        <w:t>kompleksowych,</w:t>
      </w:r>
      <w:r w:rsidRPr="007B5823">
        <w:rPr>
          <w:rFonts w:cs="Times New Roman"/>
          <w:color w:val="000000"/>
          <w:spacing w:val="-16"/>
          <w:w w:val="105"/>
          <w:szCs w:val="24"/>
        </w:rPr>
        <w:t xml:space="preserve"> </w:t>
      </w:r>
      <w:r w:rsidRPr="007B5823">
        <w:rPr>
          <w:rFonts w:cs="Times New Roman"/>
          <w:color w:val="000000"/>
          <w:w w:val="105"/>
          <w:szCs w:val="24"/>
        </w:rPr>
        <w:t>za</w:t>
      </w:r>
      <w:r w:rsidRPr="007B5823">
        <w:rPr>
          <w:rFonts w:cs="Times New Roman"/>
          <w:color w:val="000000"/>
          <w:spacing w:val="-16"/>
          <w:w w:val="105"/>
          <w:szCs w:val="24"/>
        </w:rPr>
        <w:t xml:space="preserve"> </w:t>
      </w:r>
      <w:r w:rsidRPr="007B5823">
        <w:rPr>
          <w:rFonts w:cs="Times New Roman"/>
          <w:color w:val="000000"/>
          <w:w w:val="105"/>
          <w:szCs w:val="24"/>
        </w:rPr>
        <w:t>wielkość</w:t>
      </w:r>
      <w:r w:rsidRPr="007B5823">
        <w:rPr>
          <w:rFonts w:cs="Times New Roman"/>
          <w:color w:val="000000"/>
          <w:spacing w:val="-9"/>
          <w:w w:val="105"/>
          <w:szCs w:val="24"/>
        </w:rPr>
        <w:t xml:space="preserve"> </w:t>
      </w:r>
      <w:r w:rsidRPr="007B5823">
        <w:rPr>
          <w:rFonts w:cs="Times New Roman"/>
          <w:color w:val="000000"/>
          <w:w w:val="105"/>
          <w:szCs w:val="24"/>
        </w:rPr>
        <w:t>mocy</w:t>
      </w:r>
      <w:r w:rsidRPr="007B5823">
        <w:rPr>
          <w:rFonts w:cs="Times New Roman"/>
          <w:color w:val="000000"/>
          <w:spacing w:val="-11"/>
          <w:w w:val="105"/>
          <w:szCs w:val="24"/>
        </w:rPr>
        <w:t xml:space="preserve"> </w:t>
      </w:r>
      <w:r w:rsidRPr="007B5823">
        <w:rPr>
          <w:rFonts w:cs="Times New Roman"/>
          <w:color w:val="000000"/>
          <w:w w:val="105"/>
          <w:szCs w:val="24"/>
        </w:rPr>
        <w:t>maksymalnej</w:t>
      </w:r>
      <w:r w:rsidRPr="007B5823">
        <w:rPr>
          <w:rFonts w:cs="Times New Roman"/>
          <w:color w:val="000000"/>
          <w:spacing w:val="7"/>
          <w:w w:val="105"/>
          <w:szCs w:val="24"/>
        </w:rPr>
        <w:t xml:space="preserve"> </w:t>
      </w:r>
      <w:r w:rsidRPr="007B5823">
        <w:rPr>
          <w:rFonts w:cs="Times New Roman"/>
          <w:color w:val="000000"/>
          <w:w w:val="105"/>
          <w:szCs w:val="24"/>
        </w:rPr>
        <w:t>poboru</w:t>
      </w:r>
      <w:r w:rsidRPr="007B5823">
        <w:rPr>
          <w:rFonts w:cs="Times New Roman"/>
          <w:color w:val="000000"/>
          <w:spacing w:val="-2"/>
          <w:w w:val="105"/>
          <w:szCs w:val="24"/>
        </w:rPr>
        <w:t xml:space="preserve"> </w:t>
      </w:r>
      <w:r w:rsidRPr="007B5823">
        <w:rPr>
          <w:rFonts w:cs="Times New Roman"/>
          <w:color w:val="000000"/>
          <w:w w:val="105"/>
          <w:szCs w:val="24"/>
        </w:rPr>
        <w:t>przyjmuje się łączną wielkość mocy</w:t>
      </w:r>
      <w:r w:rsidRPr="007B5823">
        <w:rPr>
          <w:rFonts w:cs="Times New Roman"/>
          <w:color w:val="000000"/>
          <w:spacing w:val="34"/>
          <w:w w:val="105"/>
          <w:szCs w:val="24"/>
        </w:rPr>
        <w:t xml:space="preserve"> </w:t>
      </w:r>
      <w:r w:rsidRPr="007B5823">
        <w:rPr>
          <w:rFonts w:cs="Times New Roman"/>
          <w:color w:val="000000"/>
          <w:w w:val="105"/>
          <w:szCs w:val="24"/>
        </w:rPr>
        <w:t>umownej.</w:t>
      </w:r>
    </w:p>
    <w:p w14:paraId="4B5DD476" w14:textId="77777777" w:rsidR="007B5823" w:rsidRPr="007B5823" w:rsidRDefault="007B5823" w:rsidP="004171D4">
      <w:pPr>
        <w:pStyle w:val="Akapitzlist"/>
        <w:widowControl w:val="0"/>
        <w:autoSpaceDE w:val="0"/>
        <w:autoSpaceDN w:val="0"/>
        <w:spacing w:before="1" w:line="249" w:lineRule="auto"/>
        <w:ind w:left="1134" w:right="60" w:hanging="1134"/>
        <w:jc w:val="both"/>
        <w:rPr>
          <w:rFonts w:cs="Times New Roman"/>
          <w:color w:val="000000"/>
          <w:szCs w:val="24"/>
        </w:rPr>
      </w:pPr>
      <w:r w:rsidRPr="007B5823">
        <w:rPr>
          <w:rFonts w:cs="Times New Roman"/>
          <w:color w:val="000000"/>
          <w:w w:val="105"/>
          <w:szCs w:val="24"/>
        </w:rPr>
        <w:t xml:space="preserve">IV.3.2.27. OSDn przesyła odbiorcy plan wprowadzania ograniczeń dla odbiorcy </w:t>
      </w:r>
      <w:r w:rsidRPr="007B5823">
        <w:rPr>
          <w:rFonts w:cs="Times New Roman"/>
          <w:color w:val="000000"/>
          <w:w w:val="105"/>
          <w:szCs w:val="24"/>
        </w:rPr>
        <w:br/>
        <w:t>w zakresie posiadanego przez niego obiektu lub aktualizację tego planu, zawierający wielkości łączne mocy określone dla obiektu w stopniach zasilania od 12 do 20, na adres poczty elektronicznej wskazany w umowach dystrybucyjnych albo kompleksowych w terminie, o którym mowa w pkt IV.3.2.16. W zakresie umów kompleksowych,</w:t>
      </w:r>
      <w:r w:rsidRPr="007B5823">
        <w:rPr>
          <w:rFonts w:cs="Times New Roman"/>
          <w:color w:val="000000"/>
          <w:spacing w:val="-25"/>
          <w:w w:val="105"/>
          <w:szCs w:val="24"/>
        </w:rPr>
        <w:t xml:space="preserve"> OSDn </w:t>
      </w:r>
      <w:r w:rsidRPr="007B5823">
        <w:rPr>
          <w:rFonts w:cs="Times New Roman"/>
          <w:color w:val="000000"/>
          <w:w w:val="105"/>
          <w:szCs w:val="24"/>
        </w:rPr>
        <w:t>przekazuje</w:t>
      </w:r>
      <w:r w:rsidRPr="007B5823">
        <w:rPr>
          <w:rFonts w:cs="Times New Roman"/>
          <w:color w:val="000000"/>
          <w:spacing w:val="-14"/>
          <w:w w:val="105"/>
          <w:szCs w:val="24"/>
        </w:rPr>
        <w:t xml:space="preserve"> </w:t>
      </w:r>
      <w:r w:rsidRPr="007B5823">
        <w:rPr>
          <w:rFonts w:cs="Times New Roman"/>
          <w:color w:val="000000"/>
          <w:w w:val="105"/>
          <w:szCs w:val="24"/>
        </w:rPr>
        <w:t>ten</w:t>
      </w:r>
      <w:r w:rsidRPr="007B5823">
        <w:rPr>
          <w:rFonts w:cs="Times New Roman"/>
          <w:color w:val="000000"/>
          <w:spacing w:val="-18"/>
          <w:w w:val="105"/>
          <w:szCs w:val="24"/>
        </w:rPr>
        <w:t xml:space="preserve"> </w:t>
      </w:r>
      <w:r w:rsidRPr="007B5823">
        <w:rPr>
          <w:rFonts w:cs="Times New Roman"/>
          <w:color w:val="000000"/>
          <w:w w:val="105"/>
          <w:szCs w:val="24"/>
        </w:rPr>
        <w:t>plan</w:t>
      </w:r>
      <w:r w:rsidRPr="007B5823">
        <w:rPr>
          <w:rFonts w:cs="Times New Roman"/>
          <w:color w:val="000000"/>
          <w:spacing w:val="-20"/>
          <w:w w:val="105"/>
          <w:szCs w:val="24"/>
        </w:rPr>
        <w:t xml:space="preserve"> </w:t>
      </w:r>
      <w:r w:rsidRPr="007B5823">
        <w:rPr>
          <w:rFonts w:cs="Times New Roman"/>
          <w:color w:val="000000"/>
          <w:w w:val="105"/>
          <w:szCs w:val="24"/>
        </w:rPr>
        <w:t>lub</w:t>
      </w:r>
      <w:r w:rsidRPr="007B5823">
        <w:rPr>
          <w:rFonts w:cs="Times New Roman"/>
          <w:color w:val="000000"/>
          <w:spacing w:val="-26"/>
          <w:w w:val="105"/>
          <w:szCs w:val="24"/>
        </w:rPr>
        <w:t xml:space="preserve"> </w:t>
      </w:r>
      <w:r w:rsidRPr="007B5823">
        <w:rPr>
          <w:rFonts w:cs="Times New Roman"/>
          <w:color w:val="000000"/>
          <w:w w:val="105"/>
          <w:szCs w:val="24"/>
        </w:rPr>
        <w:t>jego</w:t>
      </w:r>
      <w:r w:rsidRPr="007B5823">
        <w:rPr>
          <w:rFonts w:cs="Times New Roman"/>
          <w:color w:val="000000"/>
          <w:spacing w:val="-21"/>
          <w:w w:val="105"/>
          <w:szCs w:val="24"/>
        </w:rPr>
        <w:t xml:space="preserve"> </w:t>
      </w:r>
      <w:r w:rsidRPr="007B5823">
        <w:rPr>
          <w:rFonts w:cs="Times New Roman"/>
          <w:color w:val="000000"/>
          <w:w w:val="105"/>
          <w:szCs w:val="24"/>
        </w:rPr>
        <w:t>aktualizację</w:t>
      </w:r>
      <w:r w:rsidRPr="007B5823">
        <w:rPr>
          <w:rFonts w:cs="Times New Roman"/>
          <w:color w:val="000000"/>
          <w:spacing w:val="-16"/>
          <w:w w:val="105"/>
          <w:szCs w:val="24"/>
        </w:rPr>
        <w:t xml:space="preserve"> </w:t>
      </w:r>
      <w:r w:rsidRPr="007B5823">
        <w:rPr>
          <w:rFonts w:cs="Times New Roman"/>
          <w:color w:val="000000"/>
          <w:w w:val="105"/>
          <w:szCs w:val="24"/>
        </w:rPr>
        <w:t xml:space="preserve">również sprzedawcy, na adres poczty elektronicznej wskazany </w:t>
      </w:r>
      <w:r w:rsidRPr="007B5823">
        <w:rPr>
          <w:rFonts w:cs="Times New Roman"/>
          <w:color w:val="000000"/>
          <w:w w:val="105"/>
          <w:szCs w:val="24"/>
        </w:rPr>
        <w:br/>
      </w:r>
      <w:r w:rsidRPr="007B5823">
        <w:rPr>
          <w:rFonts w:cs="Times New Roman"/>
          <w:color w:val="000000"/>
          <w:w w:val="105"/>
          <w:szCs w:val="24"/>
        </w:rPr>
        <w:lastRenderedPageBreak/>
        <w:t>w umowie, o której mowa w</w:t>
      </w:r>
      <w:r w:rsidRPr="007B5823">
        <w:rPr>
          <w:rFonts w:cs="Times New Roman"/>
          <w:color w:val="000000"/>
          <w:spacing w:val="-23"/>
          <w:w w:val="105"/>
          <w:szCs w:val="24"/>
        </w:rPr>
        <w:t xml:space="preserve"> </w:t>
      </w:r>
      <w:r w:rsidRPr="007B5823">
        <w:rPr>
          <w:rFonts w:cs="Times New Roman"/>
          <w:color w:val="000000"/>
          <w:w w:val="105"/>
          <w:szCs w:val="24"/>
        </w:rPr>
        <w:t>pkt.A.4.3.7. IRiESD.</w:t>
      </w:r>
    </w:p>
    <w:p w14:paraId="69AC9B17" w14:textId="77777777" w:rsidR="007B5823" w:rsidRPr="007B5823" w:rsidRDefault="007B5823" w:rsidP="00F2747E">
      <w:pPr>
        <w:spacing w:before="11" w:line="252" w:lineRule="auto"/>
        <w:ind w:left="1134" w:right="60" w:firstLine="3"/>
        <w:jc w:val="both"/>
        <w:rPr>
          <w:rFonts w:cs="Times New Roman"/>
          <w:color w:val="000000"/>
          <w:szCs w:val="24"/>
        </w:rPr>
      </w:pPr>
      <w:r w:rsidRPr="007B5823">
        <w:rPr>
          <w:rFonts w:cs="Times New Roman"/>
          <w:color w:val="000000"/>
          <w:w w:val="105"/>
          <w:szCs w:val="24"/>
        </w:rPr>
        <w:t>Jeżeli umowa dystrybucyjna albo kompleksowa nie</w:t>
      </w:r>
      <w:r w:rsidRPr="007B5823">
        <w:rPr>
          <w:rFonts w:cs="Times New Roman"/>
          <w:color w:val="000000"/>
          <w:spacing w:val="-43"/>
          <w:w w:val="105"/>
          <w:szCs w:val="24"/>
        </w:rPr>
        <w:t xml:space="preserve"> </w:t>
      </w:r>
      <w:r w:rsidRPr="007B5823">
        <w:rPr>
          <w:rFonts w:cs="Times New Roman"/>
          <w:color w:val="000000"/>
          <w:w w:val="105"/>
          <w:szCs w:val="24"/>
        </w:rPr>
        <w:t>zawiera adresu poczty elektronicznej, do</w:t>
      </w:r>
      <w:r w:rsidRPr="007B5823">
        <w:rPr>
          <w:rFonts w:cs="Times New Roman"/>
          <w:color w:val="000000"/>
          <w:spacing w:val="-22"/>
          <w:w w:val="105"/>
          <w:szCs w:val="24"/>
        </w:rPr>
        <w:t xml:space="preserve"> </w:t>
      </w:r>
      <w:r w:rsidRPr="007B5823">
        <w:rPr>
          <w:rFonts w:cs="Times New Roman"/>
          <w:color w:val="000000"/>
          <w:w w:val="105"/>
          <w:szCs w:val="24"/>
        </w:rPr>
        <w:t>czasu</w:t>
      </w:r>
      <w:r w:rsidRPr="007B5823">
        <w:rPr>
          <w:rFonts w:cs="Times New Roman"/>
          <w:color w:val="000000"/>
          <w:spacing w:val="4"/>
          <w:w w:val="105"/>
          <w:szCs w:val="24"/>
        </w:rPr>
        <w:t xml:space="preserve"> </w:t>
      </w:r>
      <w:r w:rsidRPr="007B5823">
        <w:rPr>
          <w:rFonts w:cs="Times New Roman"/>
          <w:color w:val="000000"/>
          <w:w w:val="105"/>
          <w:szCs w:val="24"/>
        </w:rPr>
        <w:t>przekazania</w:t>
      </w:r>
      <w:r w:rsidRPr="007B5823">
        <w:rPr>
          <w:rFonts w:cs="Times New Roman"/>
          <w:color w:val="000000"/>
          <w:spacing w:val="-6"/>
          <w:w w:val="105"/>
          <w:szCs w:val="24"/>
        </w:rPr>
        <w:t xml:space="preserve"> OSDn </w:t>
      </w:r>
      <w:r w:rsidRPr="007B5823">
        <w:rPr>
          <w:rFonts w:cs="Times New Roman"/>
          <w:color w:val="000000"/>
          <w:w w:val="105"/>
          <w:szCs w:val="24"/>
        </w:rPr>
        <w:t>przez</w:t>
      </w:r>
      <w:r w:rsidRPr="007B5823">
        <w:rPr>
          <w:rFonts w:cs="Times New Roman"/>
          <w:color w:val="000000"/>
          <w:spacing w:val="-18"/>
          <w:w w:val="105"/>
          <w:szCs w:val="24"/>
        </w:rPr>
        <w:t xml:space="preserve"> </w:t>
      </w:r>
      <w:r w:rsidRPr="007B5823">
        <w:rPr>
          <w:rFonts w:cs="Times New Roman"/>
          <w:color w:val="000000"/>
          <w:w w:val="105"/>
          <w:szCs w:val="24"/>
        </w:rPr>
        <w:t>odbiorcę</w:t>
      </w:r>
      <w:r w:rsidRPr="007B5823">
        <w:rPr>
          <w:rFonts w:cs="Times New Roman"/>
          <w:color w:val="000000"/>
          <w:spacing w:val="-15"/>
          <w:w w:val="105"/>
          <w:szCs w:val="24"/>
        </w:rPr>
        <w:t xml:space="preserve"> </w:t>
      </w:r>
      <w:r w:rsidRPr="007B5823">
        <w:rPr>
          <w:rFonts w:cs="Times New Roman"/>
          <w:color w:val="000000"/>
          <w:w w:val="105"/>
          <w:szCs w:val="24"/>
        </w:rPr>
        <w:t>adresu</w:t>
      </w:r>
      <w:r w:rsidRPr="007B5823">
        <w:rPr>
          <w:rFonts w:cs="Times New Roman"/>
          <w:color w:val="000000"/>
          <w:spacing w:val="-12"/>
          <w:w w:val="105"/>
          <w:szCs w:val="24"/>
        </w:rPr>
        <w:t xml:space="preserve"> </w:t>
      </w:r>
      <w:r w:rsidRPr="007B5823">
        <w:rPr>
          <w:rFonts w:cs="Times New Roman"/>
          <w:color w:val="000000"/>
          <w:w w:val="105"/>
          <w:szCs w:val="24"/>
        </w:rPr>
        <w:t>poczty</w:t>
      </w:r>
      <w:r w:rsidRPr="007B5823">
        <w:rPr>
          <w:rFonts w:cs="Times New Roman"/>
          <w:color w:val="000000"/>
          <w:spacing w:val="-16"/>
          <w:w w:val="105"/>
          <w:szCs w:val="24"/>
        </w:rPr>
        <w:t xml:space="preserve"> </w:t>
      </w:r>
      <w:r w:rsidRPr="007B5823">
        <w:rPr>
          <w:rFonts w:cs="Times New Roman"/>
          <w:color w:val="000000"/>
          <w:w w:val="105"/>
          <w:szCs w:val="24"/>
        </w:rPr>
        <w:t>elektronicznej, o którym mowa powyżej, OSDn przesyła odbiorcy plan wprowadzania ograniczeń dla odbiorcy w zakresie posiadanego przez niego obiektu na adres korespondencyjny</w:t>
      </w:r>
      <w:r w:rsidRPr="007B5823">
        <w:rPr>
          <w:rFonts w:cs="Times New Roman"/>
          <w:color w:val="000000"/>
          <w:spacing w:val="-19"/>
          <w:w w:val="105"/>
          <w:szCs w:val="24"/>
        </w:rPr>
        <w:t xml:space="preserve"> </w:t>
      </w:r>
      <w:r w:rsidRPr="007B5823">
        <w:rPr>
          <w:rFonts w:cs="Times New Roman"/>
          <w:color w:val="000000"/>
          <w:w w:val="105"/>
          <w:szCs w:val="24"/>
        </w:rPr>
        <w:t>wskazany</w:t>
      </w:r>
      <w:r w:rsidRPr="007B5823">
        <w:rPr>
          <w:rFonts w:cs="Times New Roman"/>
          <w:color w:val="000000"/>
          <w:spacing w:val="-8"/>
          <w:w w:val="105"/>
          <w:szCs w:val="24"/>
        </w:rPr>
        <w:t xml:space="preserve"> </w:t>
      </w:r>
      <w:r w:rsidRPr="007B5823">
        <w:rPr>
          <w:rFonts w:cs="Times New Roman"/>
          <w:color w:val="000000"/>
          <w:w w:val="105"/>
          <w:szCs w:val="24"/>
        </w:rPr>
        <w:t>w</w:t>
      </w:r>
      <w:r w:rsidRPr="007B5823">
        <w:rPr>
          <w:rFonts w:cs="Times New Roman"/>
          <w:color w:val="000000"/>
          <w:spacing w:val="-11"/>
          <w:w w:val="105"/>
          <w:szCs w:val="24"/>
        </w:rPr>
        <w:t xml:space="preserve"> </w:t>
      </w:r>
      <w:r w:rsidRPr="007B5823">
        <w:rPr>
          <w:rFonts w:cs="Times New Roman"/>
          <w:color w:val="000000"/>
          <w:w w:val="105"/>
          <w:szCs w:val="24"/>
        </w:rPr>
        <w:t>umowie</w:t>
      </w:r>
      <w:r w:rsidRPr="007B5823">
        <w:rPr>
          <w:rFonts w:cs="Times New Roman"/>
          <w:color w:val="000000"/>
          <w:spacing w:val="-8"/>
          <w:w w:val="105"/>
          <w:szCs w:val="24"/>
        </w:rPr>
        <w:t xml:space="preserve"> </w:t>
      </w:r>
      <w:r w:rsidRPr="007B5823">
        <w:rPr>
          <w:rFonts w:cs="Times New Roman"/>
          <w:color w:val="000000"/>
          <w:w w:val="105"/>
          <w:szCs w:val="24"/>
        </w:rPr>
        <w:t>dystrybucyjnej</w:t>
      </w:r>
      <w:r w:rsidRPr="007B5823">
        <w:rPr>
          <w:rFonts w:cs="Times New Roman"/>
          <w:color w:val="000000"/>
          <w:spacing w:val="-25"/>
          <w:w w:val="105"/>
          <w:szCs w:val="24"/>
        </w:rPr>
        <w:t xml:space="preserve"> </w:t>
      </w:r>
      <w:r w:rsidRPr="007B5823">
        <w:rPr>
          <w:rFonts w:cs="Times New Roman"/>
          <w:color w:val="000000"/>
          <w:w w:val="105"/>
          <w:szCs w:val="24"/>
        </w:rPr>
        <w:t>albo</w:t>
      </w:r>
      <w:r w:rsidRPr="007B5823">
        <w:rPr>
          <w:rFonts w:cs="Times New Roman"/>
          <w:color w:val="000000"/>
          <w:spacing w:val="-9"/>
          <w:w w:val="105"/>
          <w:szCs w:val="24"/>
        </w:rPr>
        <w:t xml:space="preserve"> </w:t>
      </w:r>
      <w:r w:rsidRPr="007B5823">
        <w:rPr>
          <w:rFonts w:cs="Times New Roman"/>
          <w:color w:val="000000"/>
          <w:w w:val="105"/>
          <w:szCs w:val="24"/>
        </w:rPr>
        <w:t>kompleksowej.</w:t>
      </w:r>
      <w:r w:rsidRPr="007B5823">
        <w:rPr>
          <w:rFonts w:cs="Times New Roman"/>
          <w:color w:val="000000"/>
          <w:spacing w:val="-2"/>
          <w:w w:val="105"/>
          <w:szCs w:val="24"/>
        </w:rPr>
        <w:t xml:space="preserve"> </w:t>
      </w:r>
      <w:r w:rsidRPr="007B5823">
        <w:rPr>
          <w:rFonts w:cs="Times New Roman"/>
          <w:color w:val="000000"/>
          <w:w w:val="105"/>
          <w:szCs w:val="24"/>
        </w:rPr>
        <w:t>W</w:t>
      </w:r>
      <w:r w:rsidRPr="007B5823">
        <w:rPr>
          <w:rFonts w:cs="Times New Roman"/>
          <w:color w:val="000000"/>
          <w:spacing w:val="-10"/>
          <w:w w:val="105"/>
          <w:szCs w:val="24"/>
        </w:rPr>
        <w:t xml:space="preserve"> </w:t>
      </w:r>
      <w:r w:rsidRPr="007B5823">
        <w:rPr>
          <w:rFonts w:cs="Times New Roman"/>
          <w:color w:val="000000"/>
          <w:w w:val="105"/>
          <w:szCs w:val="24"/>
        </w:rPr>
        <w:t>przypadku umowy kompleksowej adres korespondencyjny odbiorcy, sprzedawca udostępnia OSDn. Doręczenie na ten adres korespondencyjny jest</w:t>
      </w:r>
      <w:r w:rsidRPr="007B5823">
        <w:rPr>
          <w:rFonts w:cs="Times New Roman"/>
          <w:color w:val="000000"/>
          <w:spacing w:val="4"/>
          <w:w w:val="105"/>
          <w:szCs w:val="24"/>
        </w:rPr>
        <w:t xml:space="preserve"> </w:t>
      </w:r>
      <w:r w:rsidRPr="007B5823">
        <w:rPr>
          <w:rFonts w:cs="Times New Roman"/>
          <w:color w:val="000000"/>
          <w:w w:val="105"/>
          <w:szCs w:val="24"/>
        </w:rPr>
        <w:t>skuteczne.</w:t>
      </w:r>
    </w:p>
    <w:p w14:paraId="1DC6B499" w14:textId="77777777" w:rsidR="007B5823" w:rsidRPr="007B5823" w:rsidRDefault="007B5823" w:rsidP="00F2747E">
      <w:pPr>
        <w:spacing w:line="252" w:lineRule="auto"/>
        <w:ind w:left="1134" w:right="60" w:hanging="2"/>
        <w:jc w:val="both"/>
        <w:rPr>
          <w:rFonts w:cs="Times New Roman"/>
          <w:color w:val="000000"/>
          <w:szCs w:val="24"/>
        </w:rPr>
      </w:pPr>
      <w:r w:rsidRPr="007B5823">
        <w:rPr>
          <w:rFonts w:cs="Times New Roman"/>
          <w:color w:val="000000"/>
          <w:w w:val="105"/>
          <w:szCs w:val="24"/>
        </w:rPr>
        <w:t>Odbiorcy są zobowiązani do niezwłocznego pisemnego informowania odpowiednio OSDn, z którym zawarli umowę o świadczenie usługi dystrybucji albo sprzedawców</w:t>
      </w:r>
      <w:r w:rsidRPr="007B5823">
        <w:rPr>
          <w:rFonts w:cs="Times New Roman"/>
          <w:color w:val="000000"/>
          <w:spacing w:val="-1"/>
          <w:w w:val="105"/>
          <w:szCs w:val="24"/>
        </w:rPr>
        <w:t xml:space="preserve"> </w:t>
      </w:r>
      <w:r w:rsidRPr="007B5823">
        <w:rPr>
          <w:rFonts w:cs="Times New Roman"/>
          <w:color w:val="000000"/>
          <w:w w:val="105"/>
          <w:szCs w:val="24"/>
        </w:rPr>
        <w:t>z</w:t>
      </w:r>
      <w:r w:rsidRPr="007B5823">
        <w:rPr>
          <w:rFonts w:cs="Times New Roman"/>
          <w:color w:val="000000"/>
          <w:spacing w:val="-14"/>
          <w:w w:val="105"/>
          <w:szCs w:val="24"/>
        </w:rPr>
        <w:t xml:space="preserve"> </w:t>
      </w:r>
      <w:r w:rsidRPr="007B5823">
        <w:rPr>
          <w:rFonts w:cs="Times New Roman"/>
          <w:color w:val="000000"/>
          <w:w w:val="105"/>
          <w:szCs w:val="24"/>
        </w:rPr>
        <w:t>którymi</w:t>
      </w:r>
      <w:r w:rsidRPr="007B5823">
        <w:rPr>
          <w:rFonts w:cs="Times New Roman"/>
          <w:color w:val="000000"/>
          <w:spacing w:val="1"/>
          <w:w w:val="105"/>
          <w:szCs w:val="24"/>
        </w:rPr>
        <w:t xml:space="preserve"> </w:t>
      </w:r>
      <w:r w:rsidRPr="007B5823">
        <w:rPr>
          <w:rFonts w:cs="Times New Roman"/>
          <w:color w:val="000000"/>
          <w:w w:val="105"/>
          <w:szCs w:val="24"/>
        </w:rPr>
        <w:t>posiadają</w:t>
      </w:r>
      <w:r w:rsidRPr="007B5823">
        <w:rPr>
          <w:rFonts w:cs="Times New Roman"/>
          <w:color w:val="000000"/>
          <w:spacing w:val="2"/>
          <w:w w:val="105"/>
          <w:szCs w:val="24"/>
        </w:rPr>
        <w:t xml:space="preserve"> </w:t>
      </w:r>
      <w:r w:rsidRPr="007B5823">
        <w:rPr>
          <w:rFonts w:cs="Times New Roman"/>
          <w:color w:val="000000"/>
          <w:w w:val="105"/>
          <w:szCs w:val="24"/>
        </w:rPr>
        <w:t>zawarte</w:t>
      </w:r>
      <w:r w:rsidRPr="007B5823">
        <w:rPr>
          <w:rFonts w:cs="Times New Roman"/>
          <w:color w:val="000000"/>
          <w:spacing w:val="-5"/>
          <w:w w:val="105"/>
          <w:szCs w:val="24"/>
        </w:rPr>
        <w:t xml:space="preserve"> </w:t>
      </w:r>
      <w:r w:rsidRPr="007B5823">
        <w:rPr>
          <w:rFonts w:cs="Times New Roman"/>
          <w:color w:val="000000"/>
          <w:w w:val="105"/>
          <w:szCs w:val="24"/>
        </w:rPr>
        <w:t>umowy</w:t>
      </w:r>
      <w:r w:rsidRPr="007B5823">
        <w:rPr>
          <w:rFonts w:cs="Times New Roman"/>
          <w:color w:val="000000"/>
          <w:spacing w:val="1"/>
          <w:w w:val="105"/>
          <w:szCs w:val="24"/>
        </w:rPr>
        <w:t xml:space="preserve"> </w:t>
      </w:r>
      <w:r w:rsidRPr="007B5823">
        <w:rPr>
          <w:rFonts w:cs="Times New Roman"/>
          <w:color w:val="000000"/>
          <w:w w:val="105"/>
          <w:szCs w:val="24"/>
        </w:rPr>
        <w:t>kompleksowe</w:t>
      </w:r>
      <w:r w:rsidRPr="007B5823">
        <w:rPr>
          <w:rFonts w:cs="Times New Roman"/>
          <w:color w:val="000000"/>
          <w:spacing w:val="-4"/>
          <w:w w:val="105"/>
          <w:szCs w:val="24"/>
        </w:rPr>
        <w:t xml:space="preserve"> </w:t>
      </w:r>
      <w:r w:rsidRPr="007B5823">
        <w:rPr>
          <w:rFonts w:cs="Times New Roman"/>
          <w:color w:val="000000"/>
          <w:w w:val="105"/>
          <w:szCs w:val="24"/>
        </w:rPr>
        <w:t>o</w:t>
      </w:r>
      <w:r w:rsidRPr="007B5823">
        <w:rPr>
          <w:rFonts w:cs="Times New Roman"/>
          <w:color w:val="000000"/>
          <w:spacing w:val="-15"/>
          <w:w w:val="105"/>
          <w:szCs w:val="24"/>
        </w:rPr>
        <w:t xml:space="preserve"> </w:t>
      </w:r>
      <w:r w:rsidRPr="007B5823">
        <w:rPr>
          <w:rFonts w:cs="Times New Roman"/>
          <w:color w:val="000000"/>
          <w:w w:val="105"/>
          <w:szCs w:val="24"/>
        </w:rPr>
        <w:t>każdej</w:t>
      </w:r>
      <w:r w:rsidRPr="007B5823">
        <w:rPr>
          <w:rFonts w:cs="Times New Roman"/>
          <w:color w:val="000000"/>
          <w:spacing w:val="-5"/>
          <w:w w:val="105"/>
          <w:szCs w:val="24"/>
        </w:rPr>
        <w:t xml:space="preserve"> </w:t>
      </w:r>
      <w:r w:rsidRPr="007B5823">
        <w:rPr>
          <w:rFonts w:cs="Times New Roman"/>
          <w:color w:val="000000"/>
          <w:w w:val="105"/>
          <w:szCs w:val="24"/>
        </w:rPr>
        <w:t>zmianie</w:t>
      </w:r>
      <w:r w:rsidRPr="007B5823">
        <w:rPr>
          <w:rFonts w:cs="Times New Roman"/>
          <w:color w:val="000000"/>
          <w:spacing w:val="-10"/>
          <w:w w:val="105"/>
          <w:szCs w:val="24"/>
        </w:rPr>
        <w:t xml:space="preserve"> </w:t>
      </w:r>
      <w:r w:rsidRPr="007B5823">
        <w:rPr>
          <w:rFonts w:cs="Times New Roman"/>
          <w:color w:val="000000"/>
          <w:w w:val="105"/>
          <w:szCs w:val="24"/>
        </w:rPr>
        <w:t>adresu poczty elektronicznej, wskazanej w umowach. Sprzedawcy, którzy posiadają zawarte umowy kompleksowe zobowiązani są do niezwłocznego informowania OSDn o zmianie adresu poczty</w:t>
      </w:r>
      <w:r w:rsidRPr="007B5823">
        <w:rPr>
          <w:rFonts w:cs="Times New Roman"/>
          <w:color w:val="000000"/>
          <w:spacing w:val="-10"/>
          <w:w w:val="105"/>
          <w:szCs w:val="24"/>
        </w:rPr>
        <w:t xml:space="preserve"> </w:t>
      </w:r>
      <w:r w:rsidRPr="007B5823">
        <w:rPr>
          <w:rFonts w:cs="Times New Roman"/>
          <w:color w:val="000000"/>
          <w:w w:val="105"/>
          <w:szCs w:val="24"/>
        </w:rPr>
        <w:t>elektronicznej.</w:t>
      </w:r>
    </w:p>
    <w:p w14:paraId="22E48A12" w14:textId="45962E34" w:rsidR="007B5823" w:rsidRPr="007B5823" w:rsidRDefault="007B5823" w:rsidP="00F2747E">
      <w:pPr>
        <w:pStyle w:val="Akapitzlist"/>
        <w:widowControl w:val="0"/>
        <w:tabs>
          <w:tab w:val="left" w:pos="1733"/>
        </w:tabs>
        <w:autoSpaceDE w:val="0"/>
        <w:autoSpaceDN w:val="0"/>
        <w:spacing w:line="254" w:lineRule="auto"/>
        <w:ind w:left="1134" w:right="60" w:hanging="1134"/>
        <w:jc w:val="both"/>
        <w:rPr>
          <w:rFonts w:cs="Times New Roman"/>
          <w:color w:val="000000"/>
          <w:szCs w:val="24"/>
        </w:rPr>
      </w:pPr>
      <w:r w:rsidRPr="007B5823">
        <w:rPr>
          <w:rFonts w:cs="Times New Roman"/>
          <w:color w:val="000000"/>
          <w:w w:val="105"/>
          <w:szCs w:val="24"/>
        </w:rPr>
        <w:t xml:space="preserve">IV.3.2.28. Dla przyłączanego do sieci obiektu, dla którego nie jest możliwe ustalenie </w:t>
      </w:r>
      <w:r w:rsidR="00F2747E">
        <w:rPr>
          <w:rFonts w:cs="Times New Roman"/>
          <w:color w:val="000000"/>
          <w:w w:val="105"/>
          <w:szCs w:val="24"/>
        </w:rPr>
        <w:br/>
      </w:r>
      <w:r w:rsidRPr="007B5823">
        <w:rPr>
          <w:rFonts w:cs="Times New Roman"/>
          <w:color w:val="000000"/>
          <w:w w:val="105"/>
          <w:szCs w:val="24"/>
        </w:rPr>
        <w:t>w sposób określony w pkt</w:t>
      </w:r>
      <w:r w:rsidRPr="007B5823">
        <w:rPr>
          <w:rFonts w:cs="Times New Roman"/>
          <w:color w:val="000000"/>
          <w:spacing w:val="-33"/>
          <w:w w:val="105"/>
          <w:szCs w:val="24"/>
        </w:rPr>
        <w:t xml:space="preserve"> </w:t>
      </w:r>
      <w:r w:rsidRPr="007B5823">
        <w:rPr>
          <w:rFonts w:cs="Times New Roman"/>
          <w:color w:val="000000"/>
          <w:w w:val="105"/>
          <w:szCs w:val="24"/>
        </w:rPr>
        <w:t>IV.3.2.25.:</w:t>
      </w:r>
    </w:p>
    <w:p w14:paraId="34918851" w14:textId="77777777" w:rsidR="007B5823" w:rsidRPr="007B5823" w:rsidRDefault="007B5823">
      <w:pPr>
        <w:pStyle w:val="Akapitzlist"/>
        <w:widowControl w:val="0"/>
        <w:numPr>
          <w:ilvl w:val="0"/>
          <w:numId w:val="297"/>
        </w:numPr>
        <w:autoSpaceDE w:val="0"/>
        <w:autoSpaceDN w:val="0"/>
        <w:spacing w:line="252" w:lineRule="auto"/>
        <w:ind w:left="1418" w:right="60" w:hanging="284"/>
        <w:jc w:val="both"/>
        <w:rPr>
          <w:rFonts w:cs="Times New Roman"/>
          <w:color w:val="000000"/>
          <w:szCs w:val="24"/>
        </w:rPr>
      </w:pPr>
      <w:r w:rsidRPr="007B5823">
        <w:rPr>
          <w:rFonts w:cs="Times New Roman"/>
          <w:color w:val="000000"/>
          <w:w w:val="105"/>
          <w:szCs w:val="24"/>
        </w:rPr>
        <w:t>mocy minimalnej poboru - wielkość tej mocy ustala się na podstawie wielkości minimalnej mocy wymaganej dla zapewnienia bezpieczeństwa osób i mienia, o której mowa w przepisach wydanych na podstawie art. 9 ust. 3 i 4</w:t>
      </w:r>
      <w:r w:rsidRPr="007B5823">
        <w:rPr>
          <w:rFonts w:cs="Times New Roman"/>
          <w:color w:val="000000"/>
          <w:spacing w:val="-6"/>
          <w:w w:val="105"/>
          <w:szCs w:val="24"/>
        </w:rPr>
        <w:t xml:space="preserve"> </w:t>
      </w:r>
      <w:r w:rsidRPr="007B5823">
        <w:rPr>
          <w:rFonts w:cs="Times New Roman"/>
          <w:color w:val="000000"/>
          <w:w w:val="105"/>
          <w:szCs w:val="24"/>
        </w:rPr>
        <w:t>Ustawy;</w:t>
      </w:r>
    </w:p>
    <w:p w14:paraId="4E27529B" w14:textId="3D214E4F" w:rsidR="007B5823" w:rsidRPr="007B5823" w:rsidRDefault="007B5823">
      <w:pPr>
        <w:numPr>
          <w:ilvl w:val="0"/>
          <w:numId w:val="297"/>
        </w:numPr>
        <w:spacing w:line="0" w:lineRule="atLeast"/>
        <w:ind w:left="1418" w:right="60" w:hanging="284"/>
        <w:jc w:val="both"/>
        <w:rPr>
          <w:rFonts w:cs="Times New Roman"/>
          <w:color w:val="000000"/>
          <w:w w:val="105"/>
          <w:szCs w:val="24"/>
        </w:rPr>
      </w:pPr>
      <w:r w:rsidRPr="007B5823">
        <w:rPr>
          <w:rFonts w:cs="Times New Roman"/>
          <w:color w:val="000000"/>
          <w:w w:val="105"/>
          <w:szCs w:val="24"/>
        </w:rPr>
        <w:t>mocy maksymalnej poboru - wielkość tej mocy ustala się w łącznej wysokości mocy umownej określonej w umowach dystrybucyjnych albo</w:t>
      </w:r>
      <w:r w:rsidRPr="007B5823">
        <w:rPr>
          <w:rFonts w:cs="Times New Roman"/>
          <w:color w:val="000000"/>
          <w:spacing w:val="16"/>
          <w:w w:val="105"/>
          <w:szCs w:val="24"/>
        </w:rPr>
        <w:t xml:space="preserve"> </w:t>
      </w:r>
      <w:r w:rsidRPr="007B5823">
        <w:rPr>
          <w:rFonts w:cs="Times New Roman"/>
          <w:color w:val="000000"/>
          <w:w w:val="105"/>
          <w:szCs w:val="24"/>
        </w:rPr>
        <w:t>kompleksowych</w:t>
      </w:r>
      <w:r w:rsidR="00080FEC">
        <w:rPr>
          <w:rFonts w:cs="Times New Roman"/>
          <w:color w:val="000000"/>
          <w:w w:val="105"/>
          <w:szCs w:val="24"/>
        </w:rPr>
        <w:t>.</w:t>
      </w:r>
    </w:p>
    <w:p w14:paraId="5598F393" w14:textId="77777777" w:rsidR="007B5823" w:rsidRPr="007B5823" w:rsidRDefault="007B5823" w:rsidP="00080FEC">
      <w:pPr>
        <w:spacing w:before="91"/>
        <w:ind w:left="1134" w:right="60" w:firstLine="5"/>
        <w:jc w:val="both"/>
        <w:rPr>
          <w:rFonts w:cs="Times New Roman"/>
          <w:color w:val="000000"/>
          <w:szCs w:val="24"/>
        </w:rPr>
      </w:pPr>
      <w:r w:rsidRPr="007B5823">
        <w:rPr>
          <w:rFonts w:cs="Times New Roman"/>
          <w:color w:val="000000"/>
          <w:szCs w:val="24"/>
        </w:rPr>
        <w:t>Dla obiektów określonych powyżej, plan wprowadzania ograniczeń jest aktualizowany przy zmianie mocy umownej lub minimalnej mocy wymaganej dla zapewnienia bezpieczeństwa osób i mienia.</w:t>
      </w:r>
    </w:p>
    <w:p w14:paraId="15E15371" w14:textId="77777777" w:rsidR="007B5823" w:rsidRPr="007B5823" w:rsidRDefault="007B5823" w:rsidP="00947C7C">
      <w:pPr>
        <w:pStyle w:val="Akapitzlist"/>
        <w:widowControl w:val="0"/>
        <w:tabs>
          <w:tab w:val="left" w:pos="1885"/>
        </w:tabs>
        <w:autoSpaceDE w:val="0"/>
        <w:autoSpaceDN w:val="0"/>
        <w:ind w:left="1134" w:right="60" w:hanging="1134"/>
        <w:jc w:val="both"/>
        <w:rPr>
          <w:rFonts w:cs="Times New Roman"/>
          <w:color w:val="000000"/>
          <w:szCs w:val="24"/>
        </w:rPr>
      </w:pPr>
      <w:r w:rsidRPr="007B5823">
        <w:rPr>
          <w:rFonts w:cs="Times New Roman"/>
          <w:color w:val="000000"/>
          <w:szCs w:val="24"/>
        </w:rPr>
        <w:t xml:space="preserve">IV.3.2.29. Sposób określania dla obiektu mocy minimalnej poboru oraz mocy maksymalnej poboru, o którym mowa w </w:t>
      </w:r>
      <w:r w:rsidRPr="007B5823">
        <w:rPr>
          <w:rFonts w:cs="Times New Roman"/>
          <w:bCs/>
          <w:color w:val="000000"/>
          <w:szCs w:val="24"/>
        </w:rPr>
        <w:t>pkt IV.3.2.28., stosuje się do czasu ustalenia wielkości tych mocy w sposób, o którym mowa w pkt IV.3.2.25. nie dłużej jednak niż przez okres 24 miesięcy od dnia zawarcia po</w:t>
      </w:r>
      <w:r w:rsidRPr="007B5823">
        <w:rPr>
          <w:rFonts w:cs="Times New Roman"/>
          <w:color w:val="000000"/>
          <w:szCs w:val="24"/>
        </w:rPr>
        <w:t xml:space="preserve"> raz pierwszy umowy dystrybucyjnej albo kompleksowej, na podstawie której świadczone są odbiorcy usługi dystrybucji energii elektrycznej do tego</w:t>
      </w:r>
      <w:r w:rsidRPr="007B5823">
        <w:rPr>
          <w:rFonts w:cs="Times New Roman"/>
          <w:color w:val="000000"/>
          <w:spacing w:val="22"/>
          <w:szCs w:val="24"/>
        </w:rPr>
        <w:t xml:space="preserve"> </w:t>
      </w:r>
      <w:r w:rsidRPr="007B5823">
        <w:rPr>
          <w:rFonts w:cs="Times New Roman"/>
          <w:color w:val="000000"/>
          <w:szCs w:val="24"/>
        </w:rPr>
        <w:t>obiektu.</w:t>
      </w:r>
    </w:p>
    <w:p w14:paraId="52F39141" w14:textId="1457A3C9" w:rsidR="007B5823" w:rsidRPr="007B5823" w:rsidRDefault="007B5823" w:rsidP="000D0969">
      <w:pPr>
        <w:pStyle w:val="Akapitzlist"/>
        <w:widowControl w:val="0"/>
        <w:tabs>
          <w:tab w:val="left" w:pos="1921"/>
        </w:tabs>
        <w:autoSpaceDE w:val="0"/>
        <w:autoSpaceDN w:val="0"/>
        <w:spacing w:before="1"/>
        <w:ind w:left="993" w:right="60" w:hanging="993"/>
        <w:jc w:val="both"/>
        <w:rPr>
          <w:rFonts w:cs="Times New Roman"/>
          <w:color w:val="000000"/>
          <w:szCs w:val="24"/>
        </w:rPr>
      </w:pPr>
      <w:r w:rsidRPr="007B5823">
        <w:rPr>
          <w:rFonts w:cs="Times New Roman"/>
          <w:color w:val="000000"/>
          <w:szCs w:val="24"/>
        </w:rPr>
        <w:t>IV.3.2.30. W trybie normalnym ograniczenia w poborze energii elektrycznej są realizowane prze</w:t>
      </w:r>
      <w:r w:rsidR="000D0969">
        <w:rPr>
          <w:rFonts w:cs="Times New Roman"/>
          <w:color w:val="000000"/>
          <w:szCs w:val="24"/>
        </w:rPr>
        <w:t>z</w:t>
      </w:r>
      <w:r w:rsidRPr="007B5823">
        <w:rPr>
          <w:rFonts w:cs="Times New Roman"/>
          <w:color w:val="000000"/>
          <w:szCs w:val="24"/>
        </w:rPr>
        <w:t xml:space="preserve">: </w:t>
      </w:r>
      <w:r w:rsidRPr="007B5823">
        <w:rPr>
          <w:rFonts w:cs="Times New Roman"/>
          <w:color w:val="000000"/>
          <w:spacing w:val="-4"/>
          <w:szCs w:val="24"/>
        </w:rPr>
        <w:t>odbior</w:t>
      </w:r>
      <w:r w:rsidRPr="007B5823">
        <w:rPr>
          <w:rFonts w:cs="Times New Roman"/>
          <w:color w:val="000000"/>
          <w:spacing w:val="-6"/>
          <w:szCs w:val="24"/>
        </w:rPr>
        <w:t xml:space="preserve">ców, </w:t>
      </w:r>
      <w:r w:rsidRPr="007B5823">
        <w:rPr>
          <w:rFonts w:cs="Times New Roman"/>
          <w:color w:val="000000"/>
          <w:szCs w:val="24"/>
        </w:rPr>
        <w:t xml:space="preserve">stosownie do komunikatów i powiadomień OSP </w:t>
      </w:r>
      <w:r w:rsidRPr="007B5823">
        <w:rPr>
          <w:rFonts w:cs="Times New Roman"/>
          <w:color w:val="000000"/>
          <w:szCs w:val="24"/>
        </w:rPr>
        <w:br/>
        <w:t>o obowiązujących stopniach zasilania. Obowiązujące stopnie zasilania, o których mowa w pkt IV. 3.2.22., określa</w:t>
      </w:r>
      <w:r w:rsidRPr="007B5823">
        <w:rPr>
          <w:rFonts w:cs="Times New Roman"/>
          <w:color w:val="000000"/>
          <w:spacing w:val="-1"/>
          <w:szCs w:val="24"/>
        </w:rPr>
        <w:t xml:space="preserve"> </w:t>
      </w:r>
      <w:r w:rsidRPr="007B5823">
        <w:rPr>
          <w:rFonts w:cs="Times New Roman"/>
          <w:color w:val="000000"/>
          <w:szCs w:val="24"/>
        </w:rPr>
        <w:t>OSP.</w:t>
      </w:r>
    </w:p>
    <w:p w14:paraId="6518456D" w14:textId="77777777" w:rsidR="007B5823" w:rsidRPr="007B5823" w:rsidRDefault="007B5823" w:rsidP="000D0969">
      <w:pPr>
        <w:pStyle w:val="Tekstpodstawowy"/>
        <w:spacing w:line="240" w:lineRule="auto"/>
        <w:ind w:left="993" w:right="60" w:firstLine="4"/>
        <w:rPr>
          <w:szCs w:val="24"/>
        </w:rPr>
      </w:pPr>
      <w:r w:rsidRPr="007B5823">
        <w:rPr>
          <w:szCs w:val="24"/>
        </w:rPr>
        <w:t xml:space="preserve">Komunikaty OSP o stopniach zasilania wprowadzanych w najbliższych 12 godzinach </w:t>
      </w:r>
      <w:r w:rsidRPr="007B5823">
        <w:rPr>
          <w:szCs w:val="24"/>
        </w:rPr>
        <w:br/>
        <w:t>i przewidywanych na następne 12 godzin są ogłaszane w radiowych komunikatach energetycznych</w:t>
      </w:r>
      <w:r w:rsidRPr="007B5823">
        <w:rPr>
          <w:spacing w:val="-15"/>
          <w:szCs w:val="24"/>
        </w:rPr>
        <w:t xml:space="preserve"> </w:t>
      </w:r>
      <w:r w:rsidRPr="007B5823">
        <w:rPr>
          <w:szCs w:val="24"/>
        </w:rPr>
        <w:t>nadawanych</w:t>
      </w:r>
      <w:r w:rsidRPr="007B5823">
        <w:rPr>
          <w:spacing w:val="6"/>
          <w:szCs w:val="24"/>
        </w:rPr>
        <w:t xml:space="preserve"> </w:t>
      </w:r>
      <w:r w:rsidRPr="007B5823">
        <w:rPr>
          <w:szCs w:val="24"/>
        </w:rPr>
        <w:t>przez</w:t>
      </w:r>
      <w:r w:rsidRPr="007B5823">
        <w:rPr>
          <w:spacing w:val="-11"/>
          <w:szCs w:val="24"/>
        </w:rPr>
        <w:t xml:space="preserve"> </w:t>
      </w:r>
      <w:r w:rsidRPr="007B5823">
        <w:rPr>
          <w:szCs w:val="24"/>
        </w:rPr>
        <w:t>Program</w:t>
      </w:r>
      <w:r w:rsidRPr="007B5823">
        <w:rPr>
          <w:spacing w:val="-4"/>
          <w:szCs w:val="24"/>
        </w:rPr>
        <w:t xml:space="preserve"> </w:t>
      </w:r>
      <w:r w:rsidRPr="007B5823">
        <w:rPr>
          <w:szCs w:val="24"/>
        </w:rPr>
        <w:t>1</w:t>
      </w:r>
      <w:r w:rsidRPr="007B5823">
        <w:rPr>
          <w:spacing w:val="-11"/>
          <w:szCs w:val="24"/>
        </w:rPr>
        <w:t xml:space="preserve"> </w:t>
      </w:r>
      <w:r w:rsidRPr="007B5823">
        <w:rPr>
          <w:szCs w:val="24"/>
        </w:rPr>
        <w:t>Polskiego</w:t>
      </w:r>
      <w:r w:rsidRPr="007B5823">
        <w:rPr>
          <w:spacing w:val="-9"/>
          <w:szCs w:val="24"/>
        </w:rPr>
        <w:t xml:space="preserve"> </w:t>
      </w:r>
      <w:r w:rsidRPr="007B5823">
        <w:rPr>
          <w:szCs w:val="24"/>
        </w:rPr>
        <w:t>Radia</w:t>
      </w:r>
      <w:r w:rsidRPr="007B5823">
        <w:rPr>
          <w:spacing w:val="-18"/>
          <w:szCs w:val="24"/>
        </w:rPr>
        <w:t xml:space="preserve"> </w:t>
      </w:r>
      <w:r w:rsidRPr="007B5823">
        <w:rPr>
          <w:szCs w:val="24"/>
        </w:rPr>
        <w:t>o</w:t>
      </w:r>
      <w:r w:rsidRPr="007B5823">
        <w:rPr>
          <w:spacing w:val="-17"/>
          <w:szCs w:val="24"/>
        </w:rPr>
        <w:t xml:space="preserve"> </w:t>
      </w:r>
      <w:r w:rsidRPr="007B5823">
        <w:rPr>
          <w:szCs w:val="24"/>
        </w:rPr>
        <w:t>godzinie</w:t>
      </w:r>
      <w:r w:rsidRPr="007B5823">
        <w:rPr>
          <w:spacing w:val="-5"/>
          <w:szCs w:val="24"/>
        </w:rPr>
        <w:t xml:space="preserve"> </w:t>
      </w:r>
      <w:r w:rsidRPr="007B5823">
        <w:rPr>
          <w:szCs w:val="24"/>
        </w:rPr>
        <w:t>7.55</w:t>
      </w:r>
      <w:r w:rsidRPr="007B5823">
        <w:rPr>
          <w:spacing w:val="-11"/>
          <w:szCs w:val="24"/>
        </w:rPr>
        <w:t xml:space="preserve"> </w:t>
      </w:r>
      <w:r w:rsidRPr="007B5823">
        <w:rPr>
          <w:spacing w:val="-11"/>
          <w:szCs w:val="24"/>
        </w:rPr>
        <w:br/>
      </w:r>
      <w:r w:rsidRPr="007B5823">
        <w:rPr>
          <w:szCs w:val="24"/>
        </w:rPr>
        <w:t>i</w:t>
      </w:r>
      <w:r w:rsidRPr="007B5823">
        <w:rPr>
          <w:spacing w:val="-10"/>
          <w:szCs w:val="24"/>
        </w:rPr>
        <w:t xml:space="preserve"> </w:t>
      </w:r>
      <w:r w:rsidRPr="007B5823">
        <w:rPr>
          <w:szCs w:val="24"/>
        </w:rPr>
        <w:t>o</w:t>
      </w:r>
      <w:r w:rsidRPr="007B5823">
        <w:rPr>
          <w:spacing w:val="-21"/>
          <w:szCs w:val="24"/>
        </w:rPr>
        <w:t xml:space="preserve"> </w:t>
      </w:r>
      <w:r w:rsidRPr="007B5823">
        <w:rPr>
          <w:szCs w:val="24"/>
        </w:rPr>
        <w:t xml:space="preserve">godzinie 19.55 oraz zamieszczane na stronie internetowej OSDn. Odbiorcy są obowiązani stosować się do stopni zasilania określonych w tych komunikatach </w:t>
      </w:r>
      <w:r w:rsidRPr="007B5823">
        <w:rPr>
          <w:szCs w:val="24"/>
        </w:rPr>
        <w:br/>
        <w:t>w czasie określonym w tych komunikatach.</w:t>
      </w:r>
    </w:p>
    <w:p w14:paraId="12B337B4" w14:textId="036FD5E2" w:rsidR="007B5823" w:rsidRPr="007B5823" w:rsidRDefault="007B5823" w:rsidP="00F0453B">
      <w:pPr>
        <w:pStyle w:val="Akapitzlist"/>
        <w:widowControl w:val="0"/>
        <w:tabs>
          <w:tab w:val="left" w:pos="1954"/>
        </w:tabs>
        <w:autoSpaceDE w:val="0"/>
        <w:autoSpaceDN w:val="0"/>
        <w:ind w:left="1134" w:right="62" w:hanging="1134"/>
        <w:jc w:val="both"/>
        <w:rPr>
          <w:rFonts w:cs="Times New Roman"/>
          <w:color w:val="000000"/>
          <w:szCs w:val="24"/>
        </w:rPr>
      </w:pPr>
      <w:r w:rsidRPr="007B5823">
        <w:rPr>
          <w:rFonts w:cs="Times New Roman"/>
          <w:color w:val="000000"/>
          <w:szCs w:val="24"/>
        </w:rPr>
        <w:t xml:space="preserve">IV.3.2.31. OSP może wprowadzić inne stopnie zasilania niż stopnie zasilania ogłoszone </w:t>
      </w:r>
      <w:r w:rsidR="000D0969">
        <w:rPr>
          <w:rFonts w:cs="Times New Roman"/>
          <w:color w:val="000000"/>
          <w:szCs w:val="24"/>
        </w:rPr>
        <w:br/>
      </w:r>
      <w:r w:rsidRPr="007B5823">
        <w:rPr>
          <w:rFonts w:cs="Times New Roman"/>
          <w:color w:val="000000"/>
          <w:szCs w:val="24"/>
        </w:rPr>
        <w:t>w komunikatach radiowych, jeżeli nastąpiła zmiana warunków pracy systemu elektroenergetycznego lub występuje konieczność minimalizacji negatywnych następstw wprowadzonych ograniczeń w dostarczaniu lub poborze energii</w:t>
      </w:r>
      <w:r w:rsidRPr="007B5823">
        <w:rPr>
          <w:rFonts w:cs="Times New Roman"/>
          <w:color w:val="000000"/>
          <w:spacing w:val="2"/>
          <w:szCs w:val="24"/>
        </w:rPr>
        <w:t xml:space="preserve"> </w:t>
      </w:r>
      <w:r w:rsidRPr="007B5823">
        <w:rPr>
          <w:rFonts w:cs="Times New Roman"/>
          <w:color w:val="000000"/>
          <w:szCs w:val="24"/>
        </w:rPr>
        <w:t>elektrycznej.</w:t>
      </w:r>
    </w:p>
    <w:p w14:paraId="649BB3DE" w14:textId="54ADC87C" w:rsidR="007B5823" w:rsidRPr="007B5823" w:rsidRDefault="007B5823" w:rsidP="00F0453B">
      <w:pPr>
        <w:pStyle w:val="Tekstpodstawowy"/>
        <w:spacing w:before="0" w:line="240" w:lineRule="auto"/>
        <w:ind w:left="1134" w:right="62" w:hanging="1134"/>
        <w:rPr>
          <w:szCs w:val="24"/>
        </w:rPr>
      </w:pPr>
      <w:r w:rsidRPr="007B5823">
        <w:rPr>
          <w:szCs w:val="24"/>
        </w:rPr>
        <w:lastRenderedPageBreak/>
        <w:t>IV.3.2.</w:t>
      </w:r>
      <w:r w:rsidR="00D81D06">
        <w:rPr>
          <w:szCs w:val="24"/>
          <w:lang w:val="pl-PL"/>
        </w:rPr>
        <w:t>3</w:t>
      </w:r>
      <w:r w:rsidRPr="007B5823">
        <w:rPr>
          <w:szCs w:val="24"/>
        </w:rPr>
        <w:t>2. O</w:t>
      </w:r>
      <w:r w:rsidRPr="007B5823">
        <w:rPr>
          <w:spacing w:val="-22"/>
          <w:szCs w:val="24"/>
        </w:rPr>
        <w:t xml:space="preserve"> </w:t>
      </w:r>
      <w:r w:rsidRPr="007B5823">
        <w:rPr>
          <w:szCs w:val="24"/>
        </w:rPr>
        <w:t>wprowadzeniu</w:t>
      </w:r>
      <w:r w:rsidRPr="007B5823">
        <w:rPr>
          <w:spacing w:val="-4"/>
          <w:szCs w:val="24"/>
        </w:rPr>
        <w:t xml:space="preserve"> </w:t>
      </w:r>
      <w:r w:rsidRPr="007B5823">
        <w:rPr>
          <w:szCs w:val="24"/>
        </w:rPr>
        <w:t>ograniczeń</w:t>
      </w:r>
      <w:r w:rsidRPr="007B5823">
        <w:rPr>
          <w:spacing w:val="-11"/>
          <w:szCs w:val="24"/>
        </w:rPr>
        <w:t xml:space="preserve"> </w:t>
      </w:r>
      <w:r w:rsidRPr="007B5823">
        <w:rPr>
          <w:szCs w:val="24"/>
        </w:rPr>
        <w:t>w</w:t>
      </w:r>
      <w:r w:rsidRPr="007B5823">
        <w:rPr>
          <w:spacing w:val="-30"/>
          <w:szCs w:val="24"/>
        </w:rPr>
        <w:t xml:space="preserve"> </w:t>
      </w:r>
      <w:r w:rsidRPr="007B5823">
        <w:rPr>
          <w:szCs w:val="24"/>
        </w:rPr>
        <w:t>dostarczaniu</w:t>
      </w:r>
      <w:r w:rsidRPr="007B5823">
        <w:rPr>
          <w:spacing w:val="-7"/>
          <w:szCs w:val="24"/>
        </w:rPr>
        <w:t xml:space="preserve"> </w:t>
      </w:r>
      <w:r w:rsidRPr="007B5823">
        <w:rPr>
          <w:szCs w:val="24"/>
        </w:rPr>
        <w:t>i</w:t>
      </w:r>
      <w:r w:rsidRPr="007B5823">
        <w:rPr>
          <w:spacing w:val="-24"/>
          <w:szCs w:val="24"/>
        </w:rPr>
        <w:t xml:space="preserve"> </w:t>
      </w:r>
      <w:r w:rsidRPr="007B5823">
        <w:rPr>
          <w:szCs w:val="24"/>
        </w:rPr>
        <w:t>poborze</w:t>
      </w:r>
      <w:r w:rsidRPr="007B5823">
        <w:rPr>
          <w:spacing w:val="-16"/>
          <w:szCs w:val="24"/>
        </w:rPr>
        <w:t xml:space="preserve"> </w:t>
      </w:r>
      <w:r w:rsidRPr="007B5823">
        <w:rPr>
          <w:szCs w:val="24"/>
        </w:rPr>
        <w:t>energii</w:t>
      </w:r>
      <w:r w:rsidRPr="007B5823">
        <w:rPr>
          <w:spacing w:val="-16"/>
          <w:szCs w:val="24"/>
        </w:rPr>
        <w:t xml:space="preserve"> </w:t>
      </w:r>
      <w:r w:rsidRPr="007B5823">
        <w:rPr>
          <w:szCs w:val="24"/>
        </w:rPr>
        <w:t>elektrycznej</w:t>
      </w:r>
      <w:r w:rsidRPr="007B5823">
        <w:rPr>
          <w:spacing w:val="-10"/>
          <w:szCs w:val="24"/>
        </w:rPr>
        <w:t xml:space="preserve"> </w:t>
      </w:r>
      <w:r w:rsidRPr="007B5823">
        <w:rPr>
          <w:szCs w:val="24"/>
        </w:rPr>
        <w:t xml:space="preserve">oraz </w:t>
      </w:r>
      <w:r w:rsidR="00E66F55">
        <w:rPr>
          <w:szCs w:val="24"/>
        </w:rPr>
        <w:br/>
      </w:r>
      <w:r w:rsidRPr="007B5823">
        <w:rPr>
          <w:szCs w:val="24"/>
        </w:rPr>
        <w:t>o wprowadzeniu, w trakcie trwania ograniczeń w dostarczaniu i poborze energii elektrycznej, innych stopni zasilania niż stopnie zasilania ogłoszone w komunikatach radiowych,</w:t>
      </w:r>
      <w:r w:rsidRPr="007B5823">
        <w:rPr>
          <w:spacing w:val="-4"/>
          <w:szCs w:val="24"/>
        </w:rPr>
        <w:t xml:space="preserve"> </w:t>
      </w:r>
      <w:r w:rsidRPr="007B5823">
        <w:rPr>
          <w:szCs w:val="24"/>
        </w:rPr>
        <w:t>OSP</w:t>
      </w:r>
      <w:r w:rsidRPr="007B5823">
        <w:rPr>
          <w:spacing w:val="-9"/>
          <w:szCs w:val="24"/>
        </w:rPr>
        <w:t xml:space="preserve"> </w:t>
      </w:r>
      <w:r w:rsidRPr="007B5823">
        <w:rPr>
          <w:szCs w:val="24"/>
        </w:rPr>
        <w:t>powiadamia</w:t>
      </w:r>
      <w:r w:rsidRPr="007B5823">
        <w:rPr>
          <w:spacing w:val="-8"/>
          <w:szCs w:val="24"/>
        </w:rPr>
        <w:t xml:space="preserve"> </w:t>
      </w:r>
      <w:r w:rsidRPr="007B5823">
        <w:rPr>
          <w:szCs w:val="24"/>
        </w:rPr>
        <w:t>służby</w:t>
      </w:r>
      <w:r w:rsidRPr="007B5823">
        <w:rPr>
          <w:spacing w:val="-8"/>
          <w:szCs w:val="24"/>
        </w:rPr>
        <w:t xml:space="preserve"> </w:t>
      </w:r>
      <w:r w:rsidRPr="007B5823">
        <w:rPr>
          <w:szCs w:val="24"/>
        </w:rPr>
        <w:t>dyspozytorskie</w:t>
      </w:r>
      <w:r w:rsidRPr="007B5823">
        <w:rPr>
          <w:spacing w:val="-26"/>
          <w:szCs w:val="24"/>
        </w:rPr>
        <w:t xml:space="preserve"> </w:t>
      </w:r>
      <w:r w:rsidRPr="007B5823">
        <w:rPr>
          <w:szCs w:val="24"/>
        </w:rPr>
        <w:t>oraz</w:t>
      </w:r>
      <w:r w:rsidRPr="007B5823">
        <w:rPr>
          <w:spacing w:val="-14"/>
          <w:szCs w:val="24"/>
        </w:rPr>
        <w:t xml:space="preserve"> </w:t>
      </w:r>
      <w:r w:rsidRPr="007B5823">
        <w:rPr>
          <w:szCs w:val="24"/>
        </w:rPr>
        <w:t>ruchowe</w:t>
      </w:r>
      <w:r w:rsidRPr="007B5823">
        <w:rPr>
          <w:spacing w:val="-5"/>
          <w:szCs w:val="24"/>
        </w:rPr>
        <w:t xml:space="preserve"> OSDn</w:t>
      </w:r>
      <w:r w:rsidRPr="007B5823">
        <w:rPr>
          <w:szCs w:val="24"/>
        </w:rPr>
        <w:t>.</w:t>
      </w:r>
    </w:p>
    <w:p w14:paraId="1E62F788" w14:textId="7907CF4C" w:rsidR="007B5823" w:rsidRPr="007B5823" w:rsidRDefault="007B5823" w:rsidP="00F0453B">
      <w:pPr>
        <w:pStyle w:val="Akapitzlist"/>
        <w:widowControl w:val="0"/>
        <w:tabs>
          <w:tab w:val="left" w:pos="1778"/>
        </w:tabs>
        <w:autoSpaceDE w:val="0"/>
        <w:autoSpaceDN w:val="0"/>
        <w:ind w:left="1134" w:right="62" w:hanging="1134"/>
        <w:jc w:val="both"/>
        <w:rPr>
          <w:rFonts w:cs="Times New Roman"/>
          <w:color w:val="000000"/>
          <w:szCs w:val="24"/>
        </w:rPr>
      </w:pPr>
      <w:r w:rsidRPr="007B5823">
        <w:rPr>
          <w:rFonts w:cs="Times New Roman"/>
          <w:color w:val="000000"/>
          <w:szCs w:val="24"/>
        </w:rPr>
        <w:t xml:space="preserve">IV.3.2.33. OSDn indywidualnie powiadamia odbiorców przyłączonych do sieci dystrybucyjnej o wprowadzeniu ograniczeń w dostarczaniu i poborze energii elektrycznej oraz </w:t>
      </w:r>
      <w:r w:rsidR="00E66F55">
        <w:rPr>
          <w:rFonts w:cs="Times New Roman"/>
          <w:color w:val="000000"/>
          <w:szCs w:val="24"/>
        </w:rPr>
        <w:br/>
      </w:r>
      <w:r w:rsidRPr="007B5823">
        <w:rPr>
          <w:rFonts w:cs="Times New Roman"/>
          <w:color w:val="000000"/>
          <w:szCs w:val="24"/>
        </w:rPr>
        <w:t>o wprowadzeniu, w trakcie trwania ograniczeń w dostarczaniu</w:t>
      </w:r>
      <w:r w:rsidR="00E66F55">
        <w:rPr>
          <w:rFonts w:cs="Times New Roman"/>
          <w:color w:val="000000"/>
          <w:szCs w:val="24"/>
        </w:rPr>
        <w:t xml:space="preserve"> </w:t>
      </w:r>
      <w:r w:rsidRPr="007B5823">
        <w:rPr>
          <w:rFonts w:cs="Times New Roman"/>
          <w:color w:val="000000"/>
          <w:szCs w:val="24"/>
        </w:rPr>
        <w:t>i poborze energii elektrycznej, innych stopni zasilania niż stopnie zasilania ogłoszone w komunikatach radiowych, przesyłając wiadomość tekstową na adres poczty elektronicznej</w:t>
      </w:r>
      <w:r w:rsidRPr="007B5823">
        <w:rPr>
          <w:rFonts w:cs="Times New Roman"/>
          <w:color w:val="000000"/>
          <w:spacing w:val="-12"/>
          <w:szCs w:val="24"/>
        </w:rPr>
        <w:t xml:space="preserve"> </w:t>
      </w:r>
      <w:r w:rsidRPr="007B5823">
        <w:rPr>
          <w:rFonts w:cs="Times New Roman"/>
          <w:color w:val="000000"/>
          <w:szCs w:val="24"/>
        </w:rPr>
        <w:t>lub</w:t>
      </w:r>
      <w:r w:rsidRPr="007B5823">
        <w:rPr>
          <w:rFonts w:cs="Times New Roman"/>
          <w:color w:val="000000"/>
          <w:spacing w:val="-8"/>
          <w:szCs w:val="24"/>
        </w:rPr>
        <w:t xml:space="preserve"> </w:t>
      </w:r>
      <w:r w:rsidRPr="007B5823">
        <w:rPr>
          <w:rFonts w:cs="Times New Roman"/>
          <w:color w:val="000000"/>
          <w:szCs w:val="24"/>
        </w:rPr>
        <w:t>na</w:t>
      </w:r>
      <w:r w:rsidRPr="007B5823">
        <w:rPr>
          <w:rFonts w:cs="Times New Roman"/>
          <w:color w:val="000000"/>
          <w:spacing w:val="-11"/>
          <w:szCs w:val="24"/>
        </w:rPr>
        <w:t xml:space="preserve"> </w:t>
      </w:r>
      <w:r w:rsidRPr="007B5823">
        <w:rPr>
          <w:rFonts w:cs="Times New Roman"/>
          <w:color w:val="000000"/>
          <w:szCs w:val="24"/>
        </w:rPr>
        <w:t>numer</w:t>
      </w:r>
      <w:r w:rsidRPr="007B5823">
        <w:rPr>
          <w:rFonts w:cs="Times New Roman"/>
          <w:color w:val="000000"/>
          <w:spacing w:val="-7"/>
          <w:szCs w:val="24"/>
        </w:rPr>
        <w:t xml:space="preserve"> </w:t>
      </w:r>
      <w:r w:rsidRPr="007B5823">
        <w:rPr>
          <w:rFonts w:cs="Times New Roman"/>
          <w:color w:val="000000"/>
          <w:szCs w:val="24"/>
        </w:rPr>
        <w:t>telefonu</w:t>
      </w:r>
      <w:r w:rsidRPr="007B5823">
        <w:rPr>
          <w:rFonts w:cs="Times New Roman"/>
          <w:color w:val="000000"/>
          <w:spacing w:val="-7"/>
          <w:szCs w:val="24"/>
        </w:rPr>
        <w:t xml:space="preserve"> </w:t>
      </w:r>
      <w:r w:rsidRPr="007B5823">
        <w:rPr>
          <w:rFonts w:cs="Times New Roman"/>
          <w:color w:val="000000"/>
          <w:szCs w:val="24"/>
        </w:rPr>
        <w:t>komórkowego</w:t>
      </w:r>
      <w:r w:rsidRPr="007B5823">
        <w:rPr>
          <w:rFonts w:cs="Times New Roman"/>
          <w:color w:val="000000"/>
          <w:spacing w:val="13"/>
          <w:szCs w:val="24"/>
        </w:rPr>
        <w:t xml:space="preserve"> </w:t>
      </w:r>
      <w:r w:rsidRPr="007B5823">
        <w:rPr>
          <w:rFonts w:cs="Times New Roman"/>
          <w:color w:val="000000"/>
          <w:szCs w:val="24"/>
        </w:rPr>
        <w:t>wskazany</w:t>
      </w:r>
      <w:r w:rsidRPr="007B5823">
        <w:rPr>
          <w:rFonts w:cs="Times New Roman"/>
          <w:color w:val="000000"/>
          <w:spacing w:val="3"/>
          <w:szCs w:val="24"/>
        </w:rPr>
        <w:t xml:space="preserve"> </w:t>
      </w:r>
      <w:r w:rsidRPr="007B5823">
        <w:rPr>
          <w:rFonts w:cs="Times New Roman"/>
          <w:color w:val="000000"/>
          <w:szCs w:val="24"/>
        </w:rPr>
        <w:t>przez</w:t>
      </w:r>
      <w:r w:rsidRPr="007B5823">
        <w:rPr>
          <w:rFonts w:cs="Times New Roman"/>
          <w:color w:val="000000"/>
          <w:spacing w:val="-9"/>
          <w:szCs w:val="24"/>
        </w:rPr>
        <w:t xml:space="preserve"> </w:t>
      </w:r>
      <w:r w:rsidRPr="007B5823">
        <w:rPr>
          <w:rFonts w:cs="Times New Roman"/>
          <w:color w:val="000000"/>
          <w:szCs w:val="24"/>
        </w:rPr>
        <w:t>odbiorcę</w:t>
      </w:r>
      <w:r w:rsidRPr="007B5823">
        <w:rPr>
          <w:rFonts w:cs="Times New Roman"/>
          <w:color w:val="000000"/>
          <w:spacing w:val="-5"/>
          <w:szCs w:val="24"/>
        </w:rPr>
        <w:t xml:space="preserve"> </w:t>
      </w:r>
      <w:r w:rsidRPr="007B5823">
        <w:rPr>
          <w:rFonts w:cs="Times New Roman"/>
          <w:color w:val="000000"/>
          <w:szCs w:val="24"/>
        </w:rPr>
        <w:t>w</w:t>
      </w:r>
      <w:r w:rsidRPr="007B5823">
        <w:rPr>
          <w:rFonts w:cs="Times New Roman"/>
          <w:color w:val="000000"/>
          <w:spacing w:val="-8"/>
          <w:szCs w:val="24"/>
        </w:rPr>
        <w:t xml:space="preserve"> </w:t>
      </w:r>
      <w:r w:rsidRPr="007B5823">
        <w:rPr>
          <w:rFonts w:cs="Times New Roman"/>
          <w:color w:val="000000"/>
          <w:szCs w:val="24"/>
        </w:rPr>
        <w:t xml:space="preserve">umowach dystrybucyjnych albo kompleksowych. Powiadomienia te są stosowane przez odbiorcę w pierwszej kolejności w stosunku do powiadomień ogłaszanych </w:t>
      </w:r>
      <w:r w:rsidR="00A560F1">
        <w:rPr>
          <w:rFonts w:cs="Times New Roman"/>
          <w:color w:val="000000"/>
          <w:szCs w:val="24"/>
        </w:rPr>
        <w:br/>
      </w:r>
      <w:r w:rsidRPr="007B5823">
        <w:rPr>
          <w:rFonts w:cs="Times New Roman"/>
          <w:color w:val="000000"/>
          <w:szCs w:val="24"/>
        </w:rPr>
        <w:t>w komunikatach radiowych.</w:t>
      </w:r>
    </w:p>
    <w:p w14:paraId="55BEDD12" w14:textId="77777777" w:rsidR="007B5823" w:rsidRPr="007B5823" w:rsidRDefault="007B5823" w:rsidP="00F0453B">
      <w:pPr>
        <w:pStyle w:val="Tekstpodstawowy"/>
        <w:spacing w:before="0" w:line="240" w:lineRule="auto"/>
        <w:ind w:left="1134" w:right="62" w:firstLine="3"/>
        <w:rPr>
          <w:szCs w:val="24"/>
        </w:rPr>
      </w:pPr>
      <w:r w:rsidRPr="007B5823">
        <w:rPr>
          <w:szCs w:val="24"/>
        </w:rPr>
        <w:t>Jeżeli umowa dystrybucyjna albo kompleksowa nie zawiera adresu poczty elektronicznej lub numeru telefonu komórkowego, do czasu przekazania OSDn przez odbiorcę</w:t>
      </w:r>
      <w:r w:rsidRPr="007B5823">
        <w:rPr>
          <w:spacing w:val="-10"/>
          <w:szCs w:val="24"/>
        </w:rPr>
        <w:t xml:space="preserve"> </w:t>
      </w:r>
      <w:r w:rsidRPr="007B5823">
        <w:rPr>
          <w:szCs w:val="24"/>
        </w:rPr>
        <w:t>adresu</w:t>
      </w:r>
      <w:r w:rsidRPr="007B5823">
        <w:rPr>
          <w:spacing w:val="-4"/>
          <w:szCs w:val="24"/>
        </w:rPr>
        <w:t xml:space="preserve"> </w:t>
      </w:r>
      <w:r w:rsidRPr="007B5823">
        <w:rPr>
          <w:szCs w:val="24"/>
        </w:rPr>
        <w:t>poczty</w:t>
      </w:r>
      <w:r w:rsidRPr="007B5823">
        <w:rPr>
          <w:spacing w:val="-8"/>
          <w:szCs w:val="24"/>
        </w:rPr>
        <w:t xml:space="preserve"> </w:t>
      </w:r>
      <w:r w:rsidRPr="007B5823">
        <w:rPr>
          <w:szCs w:val="24"/>
        </w:rPr>
        <w:t>elektronicznej</w:t>
      </w:r>
      <w:r w:rsidRPr="007B5823">
        <w:rPr>
          <w:spacing w:val="-21"/>
          <w:szCs w:val="24"/>
        </w:rPr>
        <w:t xml:space="preserve"> </w:t>
      </w:r>
      <w:r w:rsidRPr="007B5823">
        <w:rPr>
          <w:szCs w:val="24"/>
        </w:rPr>
        <w:t>lub</w:t>
      </w:r>
      <w:r w:rsidRPr="007B5823">
        <w:rPr>
          <w:spacing w:val="-16"/>
          <w:szCs w:val="24"/>
        </w:rPr>
        <w:t xml:space="preserve"> </w:t>
      </w:r>
      <w:r w:rsidRPr="007B5823">
        <w:rPr>
          <w:szCs w:val="24"/>
        </w:rPr>
        <w:t>numeru</w:t>
      </w:r>
      <w:r w:rsidRPr="007B5823">
        <w:rPr>
          <w:spacing w:val="-5"/>
          <w:szCs w:val="24"/>
        </w:rPr>
        <w:t xml:space="preserve"> </w:t>
      </w:r>
      <w:r w:rsidRPr="007B5823">
        <w:rPr>
          <w:szCs w:val="24"/>
        </w:rPr>
        <w:t>telefonu</w:t>
      </w:r>
      <w:r w:rsidRPr="007B5823">
        <w:rPr>
          <w:spacing w:val="-2"/>
          <w:szCs w:val="24"/>
        </w:rPr>
        <w:t xml:space="preserve"> </w:t>
      </w:r>
      <w:r w:rsidRPr="007B5823">
        <w:rPr>
          <w:szCs w:val="24"/>
        </w:rPr>
        <w:t>komórkowego,</w:t>
      </w:r>
      <w:r w:rsidRPr="007B5823">
        <w:rPr>
          <w:spacing w:val="1"/>
          <w:szCs w:val="24"/>
        </w:rPr>
        <w:t xml:space="preserve"> </w:t>
      </w:r>
      <w:r w:rsidRPr="007B5823">
        <w:rPr>
          <w:szCs w:val="24"/>
        </w:rPr>
        <w:t>o</w:t>
      </w:r>
      <w:r w:rsidRPr="007B5823">
        <w:rPr>
          <w:spacing w:val="-15"/>
          <w:szCs w:val="24"/>
        </w:rPr>
        <w:t xml:space="preserve"> </w:t>
      </w:r>
      <w:r w:rsidRPr="007B5823">
        <w:rPr>
          <w:szCs w:val="24"/>
        </w:rPr>
        <w:t>którym</w:t>
      </w:r>
      <w:r w:rsidRPr="007B5823">
        <w:rPr>
          <w:spacing w:val="-9"/>
          <w:szCs w:val="24"/>
        </w:rPr>
        <w:t xml:space="preserve"> </w:t>
      </w:r>
      <w:r w:rsidRPr="007B5823">
        <w:rPr>
          <w:szCs w:val="24"/>
        </w:rPr>
        <w:t xml:space="preserve">mowa powyżej, OSDn nie powiadamia odbiorcy o wprowadzeniu ograniczeń </w:t>
      </w:r>
      <w:r w:rsidRPr="007B5823">
        <w:rPr>
          <w:szCs w:val="24"/>
        </w:rPr>
        <w:br/>
        <w:t>w dostarczaniu</w:t>
      </w:r>
      <w:r w:rsidRPr="007B5823">
        <w:rPr>
          <w:spacing w:val="4"/>
          <w:szCs w:val="24"/>
        </w:rPr>
        <w:t xml:space="preserve"> </w:t>
      </w:r>
      <w:r w:rsidRPr="007B5823">
        <w:rPr>
          <w:szCs w:val="24"/>
        </w:rPr>
        <w:t>i</w:t>
      </w:r>
      <w:r w:rsidRPr="007B5823">
        <w:rPr>
          <w:spacing w:val="-10"/>
          <w:szCs w:val="24"/>
        </w:rPr>
        <w:t xml:space="preserve"> </w:t>
      </w:r>
      <w:r w:rsidRPr="007B5823">
        <w:rPr>
          <w:szCs w:val="24"/>
        </w:rPr>
        <w:t>poborze</w:t>
      </w:r>
      <w:r w:rsidRPr="007B5823">
        <w:rPr>
          <w:spacing w:val="-8"/>
          <w:szCs w:val="24"/>
        </w:rPr>
        <w:t xml:space="preserve"> </w:t>
      </w:r>
      <w:r w:rsidRPr="007B5823">
        <w:rPr>
          <w:szCs w:val="24"/>
        </w:rPr>
        <w:t>energii</w:t>
      </w:r>
      <w:r w:rsidRPr="007B5823">
        <w:rPr>
          <w:spacing w:val="-6"/>
          <w:szCs w:val="24"/>
        </w:rPr>
        <w:t xml:space="preserve"> </w:t>
      </w:r>
      <w:r w:rsidRPr="007B5823">
        <w:rPr>
          <w:szCs w:val="24"/>
        </w:rPr>
        <w:t>elektrycznej</w:t>
      </w:r>
      <w:r w:rsidRPr="007B5823">
        <w:rPr>
          <w:spacing w:val="-2"/>
          <w:szCs w:val="24"/>
        </w:rPr>
        <w:t xml:space="preserve"> </w:t>
      </w:r>
      <w:r w:rsidRPr="007B5823">
        <w:rPr>
          <w:szCs w:val="24"/>
        </w:rPr>
        <w:t>oraz</w:t>
      </w:r>
      <w:r w:rsidRPr="007B5823">
        <w:rPr>
          <w:spacing w:val="-14"/>
          <w:szCs w:val="24"/>
        </w:rPr>
        <w:t xml:space="preserve"> </w:t>
      </w:r>
      <w:r w:rsidRPr="007B5823">
        <w:rPr>
          <w:szCs w:val="24"/>
        </w:rPr>
        <w:t>wprowadzeniu</w:t>
      </w:r>
      <w:r w:rsidRPr="007B5823">
        <w:rPr>
          <w:spacing w:val="6"/>
          <w:szCs w:val="24"/>
        </w:rPr>
        <w:t xml:space="preserve"> </w:t>
      </w:r>
      <w:r w:rsidRPr="007B5823">
        <w:rPr>
          <w:szCs w:val="24"/>
        </w:rPr>
        <w:t>innych</w:t>
      </w:r>
      <w:r w:rsidRPr="007B5823">
        <w:rPr>
          <w:spacing w:val="-8"/>
          <w:szCs w:val="24"/>
        </w:rPr>
        <w:t xml:space="preserve"> </w:t>
      </w:r>
      <w:r w:rsidRPr="007B5823">
        <w:rPr>
          <w:szCs w:val="24"/>
        </w:rPr>
        <w:t>stopni</w:t>
      </w:r>
      <w:r w:rsidRPr="007B5823">
        <w:rPr>
          <w:spacing w:val="-8"/>
          <w:szCs w:val="24"/>
        </w:rPr>
        <w:t xml:space="preserve"> </w:t>
      </w:r>
      <w:r w:rsidRPr="007B5823">
        <w:rPr>
          <w:szCs w:val="24"/>
        </w:rPr>
        <w:t>zasilania</w:t>
      </w:r>
      <w:r w:rsidRPr="007B5823">
        <w:rPr>
          <w:spacing w:val="-6"/>
          <w:szCs w:val="24"/>
        </w:rPr>
        <w:t xml:space="preserve"> </w:t>
      </w:r>
      <w:r w:rsidRPr="007B5823">
        <w:rPr>
          <w:szCs w:val="24"/>
        </w:rPr>
        <w:t>niż stopnie zasilania ogłoszone w komunikatach</w:t>
      </w:r>
      <w:r w:rsidRPr="007B5823">
        <w:rPr>
          <w:spacing w:val="51"/>
          <w:szCs w:val="24"/>
        </w:rPr>
        <w:t xml:space="preserve"> </w:t>
      </w:r>
      <w:r w:rsidRPr="007B5823">
        <w:rPr>
          <w:szCs w:val="24"/>
        </w:rPr>
        <w:t>radiowych.</w:t>
      </w:r>
    </w:p>
    <w:p w14:paraId="1633CC04" w14:textId="77777777" w:rsidR="007B5823" w:rsidRPr="007B5823" w:rsidRDefault="007B5823" w:rsidP="00A560F1">
      <w:pPr>
        <w:pStyle w:val="Tekstpodstawowy"/>
        <w:spacing w:before="3" w:line="240" w:lineRule="auto"/>
        <w:ind w:left="1134" w:right="60" w:firstLine="3"/>
        <w:rPr>
          <w:szCs w:val="24"/>
        </w:rPr>
      </w:pPr>
      <w:r w:rsidRPr="007B5823">
        <w:rPr>
          <w:szCs w:val="24"/>
        </w:rPr>
        <w:t xml:space="preserve">Odbiorcy są zobowiązani do niezwłocznego pisemnego informowania odpowiednio OSDn, z którym zawarli umowę o świadczenie usługi dystrybucji albo sprzedawców, z którymi posiadają zawarte umowy kompleksowe, o każdej zmianie wskazanych </w:t>
      </w:r>
      <w:r w:rsidRPr="007B5823">
        <w:rPr>
          <w:szCs w:val="24"/>
        </w:rPr>
        <w:br/>
        <w:t>w umowach. Sprzedawcy, którzy posiadają zawarte umowy kompleksowe zobowiązani są do niezwłocznego informowania OSDn o zmianie tych danych.</w:t>
      </w:r>
    </w:p>
    <w:p w14:paraId="740C580C" w14:textId="0F4AEF8F" w:rsidR="00572BA3" w:rsidRDefault="007B5823" w:rsidP="00A2709A">
      <w:pPr>
        <w:pStyle w:val="Akapitzlist"/>
        <w:widowControl w:val="0"/>
        <w:tabs>
          <w:tab w:val="left" w:pos="1776"/>
        </w:tabs>
        <w:autoSpaceDE w:val="0"/>
        <w:autoSpaceDN w:val="0"/>
        <w:ind w:left="1134" w:right="60" w:hanging="1134"/>
        <w:jc w:val="both"/>
        <w:rPr>
          <w:rFonts w:cs="Times New Roman"/>
          <w:color w:val="000000"/>
          <w:spacing w:val="-38"/>
          <w:szCs w:val="24"/>
        </w:rPr>
      </w:pPr>
      <w:r w:rsidRPr="007B5823">
        <w:rPr>
          <w:rFonts w:cs="Times New Roman"/>
          <w:color w:val="000000"/>
          <w:szCs w:val="24"/>
        </w:rPr>
        <w:t xml:space="preserve">IV.3.2.34. Powiadomienia o zmianie wprowadzonych stopni zasilania innych niż stopnie zasilania ogłoszone w komunikatach radiowych, OSDn zamieszcza również na swojej stronie internetowej. Powiadomienia te są stosowane przez odbiorcę </w:t>
      </w:r>
      <w:r w:rsidRPr="007B5823">
        <w:rPr>
          <w:rFonts w:cs="Times New Roman"/>
          <w:color w:val="000000"/>
          <w:szCs w:val="24"/>
        </w:rPr>
        <w:br/>
        <w:t>w pierwszej kolejności w stosunku do powiadomień ogłaszanych w komunikatach radiowych.</w:t>
      </w:r>
      <w:r w:rsidRPr="007B5823">
        <w:rPr>
          <w:rFonts w:cs="Times New Roman"/>
          <w:color w:val="000000"/>
          <w:spacing w:val="-38"/>
          <w:szCs w:val="24"/>
        </w:rPr>
        <w:t xml:space="preserve"> </w:t>
      </w:r>
    </w:p>
    <w:p w14:paraId="48D4FD0B" w14:textId="2DFC5C66" w:rsidR="00A2709A" w:rsidRDefault="00A2709A" w:rsidP="00A2709A">
      <w:pPr>
        <w:pStyle w:val="Akapitzlist"/>
        <w:widowControl w:val="0"/>
        <w:tabs>
          <w:tab w:val="left" w:pos="1776"/>
        </w:tabs>
        <w:autoSpaceDE w:val="0"/>
        <w:autoSpaceDN w:val="0"/>
        <w:ind w:left="1134" w:right="60" w:hanging="1134"/>
        <w:jc w:val="both"/>
        <w:rPr>
          <w:rFonts w:cs="Times New Roman"/>
          <w:color w:val="000000"/>
          <w:spacing w:val="-38"/>
          <w:szCs w:val="24"/>
        </w:rPr>
      </w:pPr>
    </w:p>
    <w:p w14:paraId="457180E2" w14:textId="77777777" w:rsidR="00A2709A" w:rsidRDefault="00A2709A" w:rsidP="00A2709A">
      <w:pPr>
        <w:pStyle w:val="Akapitzlist"/>
        <w:widowControl w:val="0"/>
        <w:tabs>
          <w:tab w:val="left" w:pos="1776"/>
        </w:tabs>
        <w:autoSpaceDE w:val="0"/>
        <w:autoSpaceDN w:val="0"/>
        <w:ind w:left="1134" w:right="60" w:hanging="1134"/>
        <w:jc w:val="both"/>
        <w:rPr>
          <w:rFonts w:eastAsia="Times New Roman"/>
        </w:rPr>
      </w:pPr>
    </w:p>
    <w:p w14:paraId="5E3D3901" w14:textId="77777777" w:rsidR="00572BA3" w:rsidRDefault="00572BA3">
      <w:pPr>
        <w:tabs>
          <w:tab w:val="left" w:pos="1120"/>
        </w:tabs>
        <w:spacing w:line="0" w:lineRule="atLeast"/>
        <w:ind w:left="60"/>
        <w:rPr>
          <w:rFonts w:eastAsia="Times New Roman"/>
          <w:b/>
        </w:rPr>
      </w:pPr>
      <w:r>
        <w:rPr>
          <w:rFonts w:eastAsia="Times New Roman"/>
          <w:b/>
        </w:rPr>
        <w:t>IV.3.3.</w:t>
      </w:r>
      <w:r>
        <w:rPr>
          <w:rFonts w:eastAsia="Times New Roman"/>
        </w:rPr>
        <w:tab/>
      </w:r>
      <w:r>
        <w:rPr>
          <w:rFonts w:eastAsia="Times New Roman"/>
          <w:b/>
        </w:rPr>
        <w:t>Tryb normalny na polecenie OSP.</w:t>
      </w:r>
    </w:p>
    <w:p w14:paraId="6DC0C469" w14:textId="77777777" w:rsidR="00572BA3" w:rsidRDefault="00572BA3">
      <w:pPr>
        <w:spacing w:line="127" w:lineRule="exact"/>
        <w:rPr>
          <w:rFonts w:eastAsia="Times New Roman"/>
        </w:rPr>
      </w:pPr>
    </w:p>
    <w:p w14:paraId="173BE350" w14:textId="61637141" w:rsidR="00572BA3" w:rsidRDefault="00572BA3" w:rsidP="00BB51E6">
      <w:pPr>
        <w:tabs>
          <w:tab w:val="left" w:pos="1120"/>
        </w:tabs>
        <w:spacing w:line="237" w:lineRule="auto"/>
        <w:ind w:left="1140" w:hanging="1079"/>
        <w:jc w:val="both"/>
        <w:rPr>
          <w:rFonts w:eastAsia="Times New Roman"/>
        </w:rPr>
      </w:pPr>
      <w:r>
        <w:rPr>
          <w:rFonts w:eastAsia="Times New Roman"/>
        </w:rPr>
        <w:t>IV.3.3.1.</w:t>
      </w:r>
      <w:r>
        <w:rPr>
          <w:rFonts w:eastAsia="Times New Roman"/>
        </w:rPr>
        <w:tab/>
        <w:t xml:space="preserve">W przypadku zagrożenia bezpieczeństwa dostaw energii elektrycznej OSP może wprowadzić ograniczenia w dostarczaniu i poborze energii elektrycznej na terytorium Rzeczypospolitej Polskiej lub jego części do czasu wejścia w życie przepisów, </w:t>
      </w:r>
      <w:r w:rsidR="00F27359">
        <w:rPr>
          <w:rFonts w:eastAsia="Times New Roman"/>
        </w:rPr>
        <w:br/>
      </w:r>
      <w:r>
        <w:rPr>
          <w:rFonts w:eastAsia="Times New Roman"/>
        </w:rPr>
        <w:t>o których mowa w pkt IV.3.2.1, lecz nie dłużej niż na okres 72 godzin.</w:t>
      </w:r>
    </w:p>
    <w:p w14:paraId="6F8C2E94" w14:textId="77777777" w:rsidR="00572BA3" w:rsidRPr="0028587B" w:rsidRDefault="00572BA3" w:rsidP="00BB51E6">
      <w:pPr>
        <w:tabs>
          <w:tab w:val="left" w:pos="1120"/>
        </w:tabs>
        <w:spacing w:line="236" w:lineRule="auto"/>
        <w:ind w:left="1140" w:hanging="1079"/>
        <w:jc w:val="both"/>
        <w:rPr>
          <w:rFonts w:eastAsia="Times New Roman"/>
          <w:szCs w:val="24"/>
        </w:rPr>
      </w:pPr>
      <w:r>
        <w:rPr>
          <w:rFonts w:eastAsia="Times New Roman"/>
        </w:rPr>
        <w:t>IV.3.3.2.</w:t>
      </w:r>
      <w:r>
        <w:rPr>
          <w:rFonts w:eastAsia="Times New Roman"/>
        </w:rPr>
        <w:tab/>
        <w:t xml:space="preserve">Plany wprowadzania ograniczeń w dostarczaniu i poborze energii elektrycznej oraz procedury związane z wprowadzaniem ograniczeń opracowane dla trybu </w:t>
      </w:r>
      <w:r w:rsidRPr="0028587B">
        <w:rPr>
          <w:rFonts w:eastAsia="Times New Roman"/>
          <w:szCs w:val="24"/>
        </w:rPr>
        <w:t>normalnego i opisane w pkt IV.3.2 mają zastosowanie w trybie normalnym na polecenie OSP.</w:t>
      </w:r>
    </w:p>
    <w:p w14:paraId="4791446E" w14:textId="2E6A310C" w:rsidR="00572BA3" w:rsidRDefault="00572BA3" w:rsidP="00A2709A">
      <w:pPr>
        <w:tabs>
          <w:tab w:val="left" w:pos="1120"/>
        </w:tabs>
        <w:spacing w:line="250" w:lineRule="auto"/>
        <w:ind w:left="1140" w:hanging="1079"/>
        <w:jc w:val="both"/>
        <w:rPr>
          <w:rFonts w:eastAsia="Times New Roman"/>
        </w:rPr>
      </w:pPr>
      <w:r w:rsidRPr="0028587B">
        <w:rPr>
          <w:rFonts w:eastAsia="Times New Roman"/>
          <w:szCs w:val="24"/>
        </w:rPr>
        <w:t>IV.3.3.3.</w:t>
      </w:r>
      <w:r>
        <w:rPr>
          <w:rFonts w:eastAsia="Times New Roman"/>
        </w:rPr>
        <w:tab/>
      </w:r>
      <w:r>
        <w:rPr>
          <w:rFonts w:eastAsia="Times New Roman"/>
          <w:sz w:val="23"/>
        </w:rPr>
        <w:t xml:space="preserve">W przypadku wprowadzenia ograniczeń w dostarczaniu i poborze energii elektrycznej </w:t>
      </w:r>
      <w:r w:rsidR="00F27359">
        <w:rPr>
          <w:rFonts w:eastAsia="Times New Roman"/>
          <w:sz w:val="23"/>
        </w:rPr>
        <w:br/>
      </w:r>
      <w:r>
        <w:rPr>
          <w:rFonts w:eastAsia="Times New Roman"/>
          <w:sz w:val="23"/>
        </w:rPr>
        <w:t xml:space="preserve">w trybie normalnym na polecenie OSP, OSP przekazuje stosowne komunikaty </w:t>
      </w:r>
      <w:r w:rsidR="00BB51E6">
        <w:rPr>
          <w:rFonts w:eastAsia="Times New Roman"/>
          <w:sz w:val="23"/>
        </w:rPr>
        <w:br/>
      </w:r>
      <w:r>
        <w:rPr>
          <w:rFonts w:eastAsia="Times New Roman"/>
          <w:sz w:val="23"/>
        </w:rPr>
        <w:t>o ograniczeniach, w sposób analogiczny jak dla informacji określonych</w:t>
      </w:r>
      <w:r w:rsidR="00BB51E6">
        <w:rPr>
          <w:rFonts w:eastAsia="Times New Roman"/>
          <w:sz w:val="23"/>
        </w:rPr>
        <w:t xml:space="preserve"> </w:t>
      </w:r>
      <w:r w:rsidR="00BB51E6">
        <w:rPr>
          <w:rFonts w:eastAsia="Times New Roman"/>
          <w:sz w:val="23"/>
        </w:rPr>
        <w:br/>
        <w:t xml:space="preserve">w </w:t>
      </w:r>
      <w:r>
        <w:rPr>
          <w:rFonts w:eastAsia="Times New Roman"/>
        </w:rPr>
        <w:t>pkt IV.3.2.</w:t>
      </w:r>
      <w:r w:rsidR="005A369C">
        <w:rPr>
          <w:rFonts w:eastAsia="Times New Roman"/>
        </w:rPr>
        <w:t>30. oraz IV.3.2.32.</w:t>
      </w:r>
      <w:r>
        <w:rPr>
          <w:rFonts w:eastAsia="Times New Roman"/>
        </w:rPr>
        <w:t xml:space="preserve"> Wydanie stosownych komunikatów za pośrednictwem środków masowego przekazu zgodnie z zasadami określonymi </w:t>
      </w:r>
      <w:r w:rsidR="001F6E48">
        <w:rPr>
          <w:rFonts w:eastAsia="Times New Roman"/>
        </w:rPr>
        <w:br/>
      </w:r>
      <w:r>
        <w:rPr>
          <w:rFonts w:eastAsia="Times New Roman"/>
        </w:rPr>
        <w:t>w rozporządzeniu, o którym</w:t>
      </w:r>
      <w:r w:rsidR="001F6E48">
        <w:rPr>
          <w:rFonts w:eastAsia="Times New Roman"/>
        </w:rPr>
        <w:t xml:space="preserve"> </w:t>
      </w:r>
      <w:r>
        <w:rPr>
          <w:rFonts w:eastAsia="Times New Roman"/>
        </w:rPr>
        <w:t xml:space="preserve">mowa w § 11 ust. 6 ustawy Prawo energetyczne, następuje w możliwie </w:t>
      </w:r>
      <w:r w:rsidR="00BB51E6">
        <w:rPr>
          <w:rFonts w:eastAsia="Times New Roman"/>
        </w:rPr>
        <w:t>n</w:t>
      </w:r>
      <w:r>
        <w:rPr>
          <w:rFonts w:eastAsia="Times New Roman"/>
        </w:rPr>
        <w:t>ajkrótszym terminie.</w:t>
      </w:r>
    </w:p>
    <w:p w14:paraId="3AE8761F" w14:textId="03085829" w:rsidR="00A2709A" w:rsidRDefault="00A2709A" w:rsidP="00A2709A">
      <w:pPr>
        <w:tabs>
          <w:tab w:val="left" w:pos="1120"/>
        </w:tabs>
        <w:spacing w:line="250" w:lineRule="auto"/>
        <w:ind w:left="1140" w:hanging="1079"/>
        <w:jc w:val="both"/>
        <w:rPr>
          <w:rFonts w:eastAsia="Times New Roman"/>
        </w:rPr>
      </w:pPr>
    </w:p>
    <w:p w14:paraId="722AC8A6" w14:textId="77777777" w:rsidR="00A2709A" w:rsidRDefault="00A2709A" w:rsidP="00A2709A">
      <w:pPr>
        <w:tabs>
          <w:tab w:val="left" w:pos="1120"/>
        </w:tabs>
        <w:spacing w:line="250" w:lineRule="auto"/>
        <w:ind w:left="1140" w:hanging="1079"/>
        <w:jc w:val="both"/>
        <w:rPr>
          <w:rFonts w:eastAsia="Times New Roman"/>
        </w:rPr>
      </w:pPr>
    </w:p>
    <w:p w14:paraId="2AFB10EB" w14:textId="77777777" w:rsidR="00572BA3" w:rsidRDefault="00572BA3">
      <w:pPr>
        <w:tabs>
          <w:tab w:val="left" w:pos="1120"/>
        </w:tabs>
        <w:spacing w:line="0" w:lineRule="atLeast"/>
        <w:ind w:left="60"/>
        <w:rPr>
          <w:rFonts w:eastAsia="Times New Roman"/>
          <w:b/>
        </w:rPr>
      </w:pPr>
      <w:r>
        <w:rPr>
          <w:rFonts w:eastAsia="Times New Roman"/>
          <w:b/>
        </w:rPr>
        <w:t>IV.3.4.</w:t>
      </w:r>
      <w:r>
        <w:rPr>
          <w:rFonts w:eastAsia="Times New Roman"/>
        </w:rPr>
        <w:tab/>
      </w:r>
      <w:r>
        <w:rPr>
          <w:rFonts w:eastAsia="Times New Roman"/>
          <w:b/>
        </w:rPr>
        <w:t>Tryb awaryjny.</w:t>
      </w:r>
    </w:p>
    <w:p w14:paraId="7CC4E2DB" w14:textId="77777777" w:rsidR="00572BA3" w:rsidRDefault="00572BA3">
      <w:pPr>
        <w:spacing w:line="127" w:lineRule="exact"/>
        <w:rPr>
          <w:rFonts w:eastAsia="Times New Roman"/>
        </w:rPr>
      </w:pPr>
    </w:p>
    <w:p w14:paraId="1E9F9BD7" w14:textId="29E1F987" w:rsidR="000D0B29" w:rsidRDefault="00572BA3">
      <w:pPr>
        <w:tabs>
          <w:tab w:val="left" w:pos="1100"/>
        </w:tabs>
        <w:spacing w:line="236" w:lineRule="auto"/>
        <w:ind w:left="1120" w:hanging="1059"/>
        <w:jc w:val="both"/>
        <w:rPr>
          <w:rFonts w:eastAsia="Times New Roman"/>
        </w:rPr>
      </w:pPr>
      <w:r w:rsidRPr="00CE39FF">
        <w:rPr>
          <w:rFonts w:eastAsia="Times New Roman"/>
          <w:b/>
          <w:bCs/>
        </w:rPr>
        <w:lastRenderedPageBreak/>
        <w:t>IV.3.4.1.</w:t>
      </w:r>
      <w:r w:rsidRPr="00CE39FF">
        <w:rPr>
          <w:rFonts w:eastAsia="Times New Roman"/>
          <w:b/>
          <w:bCs/>
        </w:rPr>
        <w:tab/>
      </w:r>
      <w:r w:rsidR="000D0B29" w:rsidRPr="000D0B29">
        <w:rPr>
          <w:rFonts w:eastAsia="Times New Roman"/>
          <w:b/>
          <w:bCs/>
        </w:rPr>
        <w:t>Tryb awaryjny sieciowy</w:t>
      </w:r>
      <w:r w:rsidR="000D0B29">
        <w:rPr>
          <w:rFonts w:eastAsia="Times New Roman"/>
        </w:rPr>
        <w:t xml:space="preserve"> </w:t>
      </w:r>
    </w:p>
    <w:p w14:paraId="776A5CD0" w14:textId="77777777" w:rsidR="008D119F" w:rsidRDefault="00CE39FF">
      <w:pPr>
        <w:tabs>
          <w:tab w:val="left" w:pos="1100"/>
        </w:tabs>
        <w:spacing w:line="236" w:lineRule="auto"/>
        <w:ind w:left="1120" w:hanging="1059"/>
        <w:jc w:val="both"/>
      </w:pPr>
      <w:r>
        <w:rPr>
          <w:rFonts w:eastAsia="Times New Roman"/>
        </w:rPr>
        <w:t xml:space="preserve">IV.3.4.1.1. </w:t>
      </w:r>
      <w:r w:rsidR="008D119F">
        <w:t>OSP może wprowadzić przerwy w dostarczaniu i poborze energii elektrycznej, realizowane w postaci wyłączeń awaryjnych odbiorców w trybie awaryjnym sieciowym, jeżeli zaistnieje co najmniej jeden z poniższych przypadków:</w:t>
      </w:r>
    </w:p>
    <w:p w14:paraId="72AD470D" w14:textId="364CBBFB" w:rsidR="008D119F" w:rsidRDefault="008D119F">
      <w:pPr>
        <w:pStyle w:val="Akapitzlist"/>
        <w:numPr>
          <w:ilvl w:val="1"/>
          <w:numId w:val="329"/>
        </w:numPr>
        <w:spacing w:line="236" w:lineRule="auto"/>
        <w:jc w:val="both"/>
      </w:pPr>
      <w:r>
        <w:t xml:space="preserve">gdy jest to konieczne do zapobieżenia rozprzestrzenianiu się lub pogarszaniu stanu zagrożenia, </w:t>
      </w:r>
    </w:p>
    <w:p w14:paraId="16DFABFC" w14:textId="031BF140" w:rsidR="008D119F" w:rsidRDefault="008D119F">
      <w:pPr>
        <w:pStyle w:val="Akapitzlist"/>
        <w:numPr>
          <w:ilvl w:val="0"/>
          <w:numId w:val="329"/>
        </w:numPr>
        <w:spacing w:line="236" w:lineRule="auto"/>
        <w:ind w:left="1440"/>
        <w:jc w:val="both"/>
      </w:pPr>
      <w:r>
        <w:t xml:space="preserve">w przypadku zagrożenia bezpieczeństwa dostaw energii elektrycznej uniemożliwiającego zapewnienie bezpieczeństwa pracy sieci, </w:t>
      </w:r>
    </w:p>
    <w:p w14:paraId="27142867" w14:textId="3FBC2E11" w:rsidR="008D119F" w:rsidRDefault="008D119F">
      <w:pPr>
        <w:pStyle w:val="Akapitzlist"/>
        <w:numPr>
          <w:ilvl w:val="0"/>
          <w:numId w:val="329"/>
        </w:numPr>
        <w:spacing w:line="236" w:lineRule="auto"/>
        <w:ind w:left="1440"/>
        <w:jc w:val="both"/>
      </w:pPr>
      <w:r>
        <w:t xml:space="preserve">w przypadku zagrożenia wystąpienia lub wystąpienia awarii w KSE, </w:t>
      </w:r>
    </w:p>
    <w:p w14:paraId="5D2E7054" w14:textId="3ACA3FBB" w:rsidR="00CE39FF" w:rsidRPr="008D119F" w:rsidRDefault="008D119F">
      <w:pPr>
        <w:pStyle w:val="Akapitzlist"/>
        <w:numPr>
          <w:ilvl w:val="0"/>
          <w:numId w:val="329"/>
        </w:numPr>
        <w:spacing w:line="236" w:lineRule="auto"/>
        <w:ind w:left="1440"/>
        <w:jc w:val="both"/>
        <w:rPr>
          <w:rFonts w:eastAsia="Times New Roman"/>
        </w:rPr>
      </w:pPr>
      <w:r>
        <w:t>w przypadku zagrożenia bezpiecznej pracy urządzeń, instalacji lub sieci lub zagrożenia bezpieczeństwa osób, mienia lub środowiska</w:t>
      </w:r>
      <w:r w:rsidR="00074F66">
        <w:t>.</w:t>
      </w:r>
    </w:p>
    <w:p w14:paraId="40FD9C9A" w14:textId="46AF7B7C" w:rsidR="00CE39FF" w:rsidRDefault="008D119F" w:rsidP="00074F66">
      <w:pPr>
        <w:tabs>
          <w:tab w:val="left" w:pos="1100"/>
        </w:tabs>
        <w:spacing w:line="236" w:lineRule="auto"/>
        <w:ind w:left="1120" w:firstLine="14"/>
        <w:jc w:val="both"/>
      </w:pPr>
      <w:r>
        <w:t>Tryb awaryjny sieciowy w przypadkach, o których mowa w pkt (2) - (4) może być wprowadzony nie dłużej niż na okres 72 godzin.</w:t>
      </w:r>
    </w:p>
    <w:p w14:paraId="5521296D" w14:textId="5B69D4A9" w:rsidR="0074594A" w:rsidRDefault="0074594A" w:rsidP="0074594A">
      <w:pPr>
        <w:spacing w:line="236" w:lineRule="auto"/>
        <w:ind w:left="1134" w:hanging="1120"/>
        <w:jc w:val="both"/>
      </w:pPr>
      <w:r>
        <w:rPr>
          <w:rFonts w:eastAsia="Times New Roman"/>
        </w:rPr>
        <w:t xml:space="preserve">IV.3.4.1.2. </w:t>
      </w:r>
      <w:r>
        <w:t xml:space="preserve">Wyłączenia awaryjne odbiorców w trybie awaryjnym sieciowym (dalej „wyłączenia awaryjne sieciowe”) są realizowane na polecenie OSP. W szczególnych przypadkach, w szczególności w związku z zagrożeniem bezpieczeństwa osób, OSD może dokonać wyłączeń awaryjnych sieciowych bez wydania polecenia przez OSP. </w:t>
      </w:r>
      <w:r w:rsidR="00C3480B">
        <w:br/>
      </w:r>
      <w:r>
        <w:t>W takim przypadku OSD jest zobowiązany niezwłocznie poinformować o tym służby dyspozytor</w:t>
      </w:r>
      <w:r w:rsidRPr="00406BC8">
        <w:t>skie OSP - ODM.</w:t>
      </w:r>
    </w:p>
    <w:p w14:paraId="319E4E45" w14:textId="6F5CB0C0" w:rsidR="0074594A" w:rsidRDefault="00EB3ED0" w:rsidP="00EB3ED0">
      <w:pPr>
        <w:spacing w:line="236" w:lineRule="auto"/>
        <w:ind w:left="1134" w:hanging="1120"/>
        <w:jc w:val="both"/>
      </w:pPr>
      <w:r>
        <w:rPr>
          <w:rFonts w:eastAsia="Times New Roman"/>
        </w:rPr>
        <w:t>IV.3.4.1.</w:t>
      </w:r>
      <w:r w:rsidR="00502529">
        <w:rPr>
          <w:rFonts w:eastAsia="Times New Roman"/>
        </w:rPr>
        <w:t>3</w:t>
      </w:r>
      <w:r>
        <w:rPr>
          <w:rFonts w:eastAsia="Times New Roman"/>
        </w:rPr>
        <w:t xml:space="preserve">. </w:t>
      </w:r>
      <w:r>
        <w:t>Stopnie od A1 do A5 powinny zapewniać równomierny spadek poboru mocy czynnej, każdy w przedziale 9 - 11% prognozowanego zapotrzebowania na moc. Wyłączenia awaryjne sieciowe wprowadzone łącznie w stopniach od A1 do A5 powinny zapewnić zmniejszenie poboru mocy czynnej o 50% prognozowanego zapotrzebowania na moc.</w:t>
      </w:r>
    </w:p>
    <w:p w14:paraId="364BFBD3" w14:textId="77777777" w:rsidR="00C3480B" w:rsidRDefault="00502529">
      <w:pPr>
        <w:tabs>
          <w:tab w:val="left" w:pos="1100"/>
        </w:tabs>
        <w:spacing w:line="236" w:lineRule="auto"/>
        <w:ind w:left="1120" w:hanging="1059"/>
        <w:jc w:val="both"/>
      </w:pPr>
      <w:r>
        <w:rPr>
          <w:rFonts w:eastAsia="Times New Roman"/>
        </w:rPr>
        <w:t>IV.3.4.1.4.</w:t>
      </w:r>
      <w:r w:rsidR="00502361" w:rsidRPr="00502361">
        <w:t xml:space="preserve"> </w:t>
      </w:r>
      <w:r w:rsidR="00502361">
        <w:t xml:space="preserve">Wyłączenia awaryjne sieciowe są realizowane: </w:t>
      </w:r>
    </w:p>
    <w:p w14:paraId="3B9F6506" w14:textId="77777777" w:rsidR="00A2709A" w:rsidRDefault="00502361">
      <w:pPr>
        <w:pStyle w:val="Akapitzlist"/>
        <w:numPr>
          <w:ilvl w:val="1"/>
          <w:numId w:val="330"/>
        </w:numPr>
        <w:tabs>
          <w:tab w:val="left" w:pos="1100"/>
        </w:tabs>
        <w:spacing w:line="236" w:lineRule="auto"/>
        <w:jc w:val="both"/>
      </w:pPr>
      <w:r>
        <w:t xml:space="preserve">poprzez wyłączenia linii o napięciu 110 kV, transformatorów 110 kV/SN lub linii i stacji SN, </w:t>
      </w:r>
    </w:p>
    <w:p w14:paraId="0FE6A2CA" w14:textId="3CD111A9" w:rsidR="00C3480B" w:rsidRDefault="00502361">
      <w:pPr>
        <w:pStyle w:val="Akapitzlist"/>
        <w:numPr>
          <w:ilvl w:val="1"/>
          <w:numId w:val="330"/>
        </w:numPr>
        <w:tabs>
          <w:tab w:val="left" w:pos="1100"/>
        </w:tabs>
        <w:spacing w:line="236" w:lineRule="auto"/>
        <w:jc w:val="both"/>
      </w:pPr>
      <w:r>
        <w:t xml:space="preserve">poprzez zmniejszenie ilości pobieranej energii elektrycznej przez odbiorców końcowych przyłączonych do sieci o napięciu 110 kV lub wyższym, za której ruch sieciowy odpowiada OSDp, </w:t>
      </w:r>
    </w:p>
    <w:p w14:paraId="7B48E815" w14:textId="173DD242" w:rsidR="00C3480B" w:rsidRDefault="00502361">
      <w:pPr>
        <w:pStyle w:val="Akapitzlist"/>
        <w:numPr>
          <w:ilvl w:val="1"/>
          <w:numId w:val="330"/>
        </w:numPr>
        <w:tabs>
          <w:tab w:val="left" w:pos="1100"/>
        </w:tabs>
        <w:spacing w:line="236" w:lineRule="auto"/>
        <w:jc w:val="both"/>
      </w:pPr>
      <w:r>
        <w:t>poprzez zmniejszenie ilości pobieranej energii elektrycznej przez OSDn przyłączonych do sieci o napięciu 110 kV,</w:t>
      </w:r>
    </w:p>
    <w:p w14:paraId="437697E4" w14:textId="70454FFF" w:rsidR="00C3480B" w:rsidRDefault="00502361">
      <w:pPr>
        <w:pStyle w:val="Akapitzlist"/>
        <w:numPr>
          <w:ilvl w:val="1"/>
          <w:numId w:val="330"/>
        </w:numPr>
        <w:tabs>
          <w:tab w:val="left" w:pos="1100"/>
        </w:tabs>
        <w:spacing w:line="236" w:lineRule="auto"/>
        <w:jc w:val="both"/>
      </w:pPr>
      <w:r>
        <w:t xml:space="preserve">a po wyczerpaniu wszystkich powyższych działań, poprzez zmniejszenie ilości pobieranej energii elektrycznej przez odbiorców końcowych przyłączonych do sieci przesyłowej, </w:t>
      </w:r>
    </w:p>
    <w:p w14:paraId="75CDED60" w14:textId="0DE64BD0" w:rsidR="00CE39FF" w:rsidRDefault="00502361" w:rsidP="00C3480B">
      <w:pPr>
        <w:spacing w:line="236" w:lineRule="auto"/>
        <w:ind w:left="1120" w:firstLine="14"/>
        <w:jc w:val="both"/>
      </w:pPr>
      <w:r>
        <w:t xml:space="preserve">na obszarze wskazanym przez służby dyspozytorskie wydające polecenie </w:t>
      </w:r>
      <w:r w:rsidR="00C3480B">
        <w:br/>
      </w:r>
      <w:r>
        <w:t>o wprowadzeniu wyłączeń awaryjnych sieciowych.</w:t>
      </w:r>
    </w:p>
    <w:p w14:paraId="2AC5739F" w14:textId="77777777" w:rsidR="00E4488F" w:rsidRDefault="00E4488F">
      <w:pPr>
        <w:tabs>
          <w:tab w:val="left" w:pos="1100"/>
        </w:tabs>
        <w:spacing w:line="236" w:lineRule="auto"/>
        <w:ind w:left="1120" w:hanging="1059"/>
        <w:jc w:val="both"/>
      </w:pPr>
      <w:r>
        <w:rPr>
          <w:rFonts w:eastAsia="Times New Roman"/>
        </w:rPr>
        <w:t>IV.3.4.1.5.</w:t>
      </w:r>
      <w:r w:rsidRPr="00E4488F">
        <w:t xml:space="preserve"> </w:t>
      </w:r>
      <w:r>
        <w:t xml:space="preserve">Wyłączenia awaryjne sieciowe powinny być zrealizowane niezwłocznie, w czasie nie dłuższym niż: </w:t>
      </w:r>
    </w:p>
    <w:p w14:paraId="0C36619E" w14:textId="77777777" w:rsidR="00E4488F" w:rsidRDefault="00E4488F" w:rsidP="00E4488F">
      <w:pPr>
        <w:spacing w:line="236" w:lineRule="auto"/>
        <w:ind w:left="1560" w:hanging="426"/>
        <w:jc w:val="both"/>
      </w:pPr>
      <w:r>
        <w:t xml:space="preserve">(1) 15 minut - w przypadku wprowadzenia stopnia A1, </w:t>
      </w:r>
    </w:p>
    <w:p w14:paraId="7BDA0AAD" w14:textId="77777777" w:rsidR="00E4488F" w:rsidRDefault="00E4488F" w:rsidP="00E4488F">
      <w:pPr>
        <w:spacing w:line="236" w:lineRule="auto"/>
        <w:ind w:left="1560" w:hanging="426"/>
        <w:jc w:val="both"/>
      </w:pPr>
      <w:r>
        <w:t xml:space="preserve">(2) 15 minut - w przypadku wprowadzenia jednocześnie stopni A1 i A2, </w:t>
      </w:r>
    </w:p>
    <w:p w14:paraId="6E87255C" w14:textId="77777777" w:rsidR="00E4488F" w:rsidRDefault="00E4488F" w:rsidP="00E4488F">
      <w:pPr>
        <w:spacing w:line="236" w:lineRule="auto"/>
        <w:ind w:left="1560" w:hanging="426"/>
        <w:jc w:val="both"/>
      </w:pPr>
      <w:r>
        <w:t xml:space="preserve">(3) 30 minut - w przypadku wprowadzenia jednocześnie stopni od A1 do A3, </w:t>
      </w:r>
    </w:p>
    <w:p w14:paraId="17E65515" w14:textId="77777777" w:rsidR="00E4488F" w:rsidRDefault="00E4488F" w:rsidP="00E4488F">
      <w:pPr>
        <w:spacing w:line="236" w:lineRule="auto"/>
        <w:ind w:left="1560" w:hanging="426"/>
        <w:jc w:val="both"/>
      </w:pPr>
      <w:r>
        <w:t xml:space="preserve">(4) 45 minut - w przypadku wprowadzenia jednocześnie stopni od A1 do A4, </w:t>
      </w:r>
    </w:p>
    <w:p w14:paraId="04DC1868" w14:textId="77777777" w:rsidR="00E4488F" w:rsidRDefault="00E4488F" w:rsidP="00E4488F">
      <w:pPr>
        <w:spacing w:line="236" w:lineRule="auto"/>
        <w:ind w:left="1560" w:hanging="426"/>
        <w:jc w:val="both"/>
      </w:pPr>
      <w:r>
        <w:t xml:space="preserve">(5) 60 minut - w przypadku wprowadzenia jednocześnie stopni od A1 do A5; </w:t>
      </w:r>
    </w:p>
    <w:p w14:paraId="370721C9" w14:textId="7A5AB4EE" w:rsidR="00502361" w:rsidRDefault="00E4488F" w:rsidP="00E4488F">
      <w:pPr>
        <w:spacing w:line="236" w:lineRule="auto"/>
        <w:ind w:left="1560" w:hanging="426"/>
        <w:jc w:val="both"/>
      </w:pPr>
      <w:r>
        <w:t>od wydania polecenia dyspozytorskiego.</w:t>
      </w:r>
    </w:p>
    <w:p w14:paraId="0A9D21D9" w14:textId="62C454EB" w:rsidR="00E4488F" w:rsidRDefault="003616AD">
      <w:pPr>
        <w:tabs>
          <w:tab w:val="left" w:pos="1100"/>
        </w:tabs>
        <w:spacing w:line="236" w:lineRule="auto"/>
        <w:ind w:left="1120" w:hanging="1059"/>
        <w:jc w:val="both"/>
        <w:rPr>
          <w:rFonts w:eastAsia="Times New Roman"/>
        </w:rPr>
      </w:pPr>
      <w:r>
        <w:rPr>
          <w:rFonts w:eastAsia="Times New Roman"/>
        </w:rPr>
        <w:t xml:space="preserve">IV.3.4.1.6. </w:t>
      </w:r>
      <w:r>
        <w:t>OSP w porozumieniu z OSDp</w:t>
      </w:r>
      <w:r w:rsidR="00AC6F28">
        <w:t xml:space="preserve"> </w:t>
      </w:r>
      <w:r>
        <w:t>i odbiorcami końcowymi przyłączonymi do sieci przesyłowej ustala corocznie dla każdego miesiąca, dla prognozowanego zapotrzebowania na moc w dobowych szczytach tego zapotrzebowania, dla typowych warunków pogodowych, wartości obniżenia poboru mocy czynnej w poszczególnych stopniach A.</w:t>
      </w:r>
    </w:p>
    <w:p w14:paraId="15351F42" w14:textId="77777777" w:rsidR="00AC6F28" w:rsidRDefault="003616AD">
      <w:pPr>
        <w:tabs>
          <w:tab w:val="left" w:pos="1100"/>
        </w:tabs>
        <w:spacing w:line="236" w:lineRule="auto"/>
        <w:ind w:left="1120" w:hanging="1059"/>
        <w:jc w:val="both"/>
      </w:pPr>
      <w:r>
        <w:rPr>
          <w:rFonts w:eastAsia="Times New Roman"/>
        </w:rPr>
        <w:lastRenderedPageBreak/>
        <w:t xml:space="preserve">IV.3.4.1.7. </w:t>
      </w:r>
      <w:r>
        <w:t xml:space="preserve">Plany wyłączeń awaryjnych sieciowych określające przewidywany efekt wprowadzenia stopni od A1 do A5, opracowują: </w:t>
      </w:r>
    </w:p>
    <w:p w14:paraId="4E57EEAA" w14:textId="26E52AD7" w:rsidR="00AC6F28" w:rsidRDefault="003616AD">
      <w:pPr>
        <w:pStyle w:val="Akapitzlist"/>
        <w:numPr>
          <w:ilvl w:val="1"/>
          <w:numId w:val="331"/>
        </w:numPr>
        <w:spacing w:line="236" w:lineRule="auto"/>
        <w:ind w:left="1418" w:hanging="425"/>
        <w:jc w:val="both"/>
      </w:pPr>
      <w:r>
        <w:t>OSP - dla całego KSE, z uwzględnieniem planów, o których mowa w pkt (2) i (3),</w:t>
      </w:r>
    </w:p>
    <w:p w14:paraId="369DEA74" w14:textId="201C28F5" w:rsidR="00AC6F28" w:rsidRDefault="003616AD">
      <w:pPr>
        <w:pStyle w:val="Akapitzlist"/>
        <w:numPr>
          <w:ilvl w:val="0"/>
          <w:numId w:val="331"/>
        </w:numPr>
        <w:spacing w:line="236" w:lineRule="auto"/>
        <w:ind w:left="1418" w:hanging="425"/>
        <w:jc w:val="both"/>
      </w:pPr>
      <w:r>
        <w:t xml:space="preserve">OSDp - z uwzględnieniem planów opracowanych przez OSDn zlokalizowanych </w:t>
      </w:r>
      <w:r w:rsidR="001650FC">
        <w:br/>
      </w:r>
      <w:r>
        <w:t>w obszarach</w:t>
      </w:r>
      <w:r w:rsidR="001650FC">
        <w:t xml:space="preserve"> dystrybucyjnych OSDp</w:t>
      </w:r>
      <w:r>
        <w:t xml:space="preserve"> i planów opracowanych przez odbiorców końcowych przyłączonych do sieci o napięciu 110 kV lub wyższym, za której ruch sieciowy odpowiada OSDp, </w:t>
      </w:r>
    </w:p>
    <w:p w14:paraId="7CC8F938" w14:textId="2635291A" w:rsidR="00AC6F28" w:rsidRDefault="003616AD">
      <w:pPr>
        <w:pStyle w:val="Akapitzlist"/>
        <w:numPr>
          <w:ilvl w:val="0"/>
          <w:numId w:val="331"/>
        </w:numPr>
        <w:spacing w:line="236" w:lineRule="auto"/>
        <w:ind w:left="1418" w:hanging="425"/>
        <w:jc w:val="both"/>
      </w:pPr>
      <w:r>
        <w:t xml:space="preserve">odbiorcy końcowi przyłączeni do sieci przesyłowej. </w:t>
      </w:r>
    </w:p>
    <w:p w14:paraId="26DF85E2" w14:textId="63382AA5" w:rsidR="00E4488F" w:rsidRDefault="003616AD" w:rsidP="00AC6F28">
      <w:pPr>
        <w:spacing w:line="236" w:lineRule="auto"/>
        <w:ind w:left="993"/>
        <w:jc w:val="both"/>
      </w:pPr>
      <w:r>
        <w:t>Plany wyłączeń awaryjnych, o których mowa w pkt (1) - (3) opracowane na rok 2023 stają się planami wyłączeń awaryjnych sieciowych na rok 2023.</w:t>
      </w:r>
    </w:p>
    <w:p w14:paraId="23550F1D" w14:textId="77777777" w:rsidR="005446A5" w:rsidRDefault="003616AD">
      <w:pPr>
        <w:tabs>
          <w:tab w:val="left" w:pos="1100"/>
        </w:tabs>
        <w:spacing w:line="236" w:lineRule="auto"/>
        <w:ind w:left="1120" w:hanging="1059"/>
        <w:jc w:val="both"/>
      </w:pPr>
      <w:r>
        <w:rPr>
          <w:rFonts w:eastAsia="Times New Roman"/>
        </w:rPr>
        <w:t>IV.3.4.1.8.</w:t>
      </w:r>
      <w:r w:rsidRPr="003616AD">
        <w:t xml:space="preserve"> </w:t>
      </w:r>
      <w:r>
        <w:t xml:space="preserve">W przypadku konieczności wprowadzenia wyłączeń awaryjnych sieciowych </w:t>
      </w:r>
      <w:r w:rsidR="005446A5">
        <w:br/>
      </w:r>
      <w:r>
        <w:t xml:space="preserve">w sposób odmienny niż określony w planach wyłączeń awaryjnych sieciowych, OSP może polecić wprowadzenie tych wyłączeń, poprzez wskazanie: </w:t>
      </w:r>
    </w:p>
    <w:p w14:paraId="36EA5956" w14:textId="67BD72DE" w:rsidR="005446A5" w:rsidRDefault="003616AD">
      <w:pPr>
        <w:pStyle w:val="Akapitzlist"/>
        <w:numPr>
          <w:ilvl w:val="1"/>
          <w:numId w:val="332"/>
        </w:numPr>
        <w:tabs>
          <w:tab w:val="left" w:pos="1100"/>
        </w:tabs>
        <w:spacing w:line="236" w:lineRule="auto"/>
        <w:jc w:val="both"/>
      </w:pPr>
      <w:r>
        <w:t xml:space="preserve">wartości mocy czynnej do wyłączenia przez OSD, </w:t>
      </w:r>
    </w:p>
    <w:p w14:paraId="062973CB" w14:textId="77777777" w:rsidR="005446A5" w:rsidRDefault="003616AD">
      <w:pPr>
        <w:pStyle w:val="Akapitzlist"/>
        <w:numPr>
          <w:ilvl w:val="1"/>
          <w:numId w:val="332"/>
        </w:numPr>
        <w:tabs>
          <w:tab w:val="left" w:pos="1100"/>
        </w:tabs>
        <w:spacing w:line="236" w:lineRule="auto"/>
        <w:jc w:val="both"/>
      </w:pPr>
      <w:r>
        <w:t xml:space="preserve">obszaru sieci dystrybucyjnej, na którym należy wprowadzić wyłączenia awaryjne sieciowe, </w:t>
      </w:r>
    </w:p>
    <w:p w14:paraId="70ED686C" w14:textId="3E677E1B" w:rsidR="003616AD" w:rsidRDefault="003616AD">
      <w:pPr>
        <w:pStyle w:val="Akapitzlist"/>
        <w:numPr>
          <w:ilvl w:val="1"/>
          <w:numId w:val="332"/>
        </w:numPr>
        <w:tabs>
          <w:tab w:val="left" w:pos="1100"/>
        </w:tabs>
        <w:spacing w:line="236" w:lineRule="auto"/>
        <w:jc w:val="both"/>
      </w:pPr>
      <w:r>
        <w:t>wartości mocy czynnej do wyłączenia przez odbiorcę końcowego przyłączonego do sieci przesyłowej.</w:t>
      </w:r>
    </w:p>
    <w:p w14:paraId="1CA4DC5A" w14:textId="60002547" w:rsidR="003616AD" w:rsidRPr="003616AD" w:rsidRDefault="003616AD">
      <w:pPr>
        <w:tabs>
          <w:tab w:val="left" w:pos="1100"/>
        </w:tabs>
        <w:spacing w:line="236" w:lineRule="auto"/>
        <w:ind w:left="1120" w:hanging="1059"/>
        <w:jc w:val="both"/>
      </w:pPr>
      <w:r>
        <w:rPr>
          <w:rFonts w:eastAsia="Times New Roman"/>
        </w:rPr>
        <w:t xml:space="preserve">IV.3.4.1.9. </w:t>
      </w:r>
      <w:r>
        <w:t>Załączenia odbiorców wyłączonych w trybie awaryjnym sieciowym są realizowane wyłącznie na polecenie OSP. W szczególnych przypadkach, zwłaszcza gdy zagrożone jest bezpieczeństwo osób, OSD, jak również odbiorca ujęty w planie wyłączeń awaryjnych sieciowych, może dokonać załączenia bez wydania polecenia przez OSP, przy czym w takim przypadku podmioty te zobowiązane są niezwłocznie poinformować o tym zdarzeniu właściwe służby dyspozytorskie, z podaniem przyczyny</w:t>
      </w:r>
      <w:r w:rsidR="00636F80">
        <w:t>.</w:t>
      </w:r>
    </w:p>
    <w:p w14:paraId="72C07CE2" w14:textId="3E3D0A00" w:rsidR="00502361" w:rsidRDefault="00502361">
      <w:pPr>
        <w:tabs>
          <w:tab w:val="left" w:pos="1100"/>
        </w:tabs>
        <w:spacing w:line="236" w:lineRule="auto"/>
        <w:ind w:left="1120" w:hanging="1059"/>
        <w:jc w:val="both"/>
        <w:rPr>
          <w:rFonts w:eastAsia="Times New Roman"/>
        </w:rPr>
      </w:pPr>
    </w:p>
    <w:p w14:paraId="57DA5E7D" w14:textId="77777777" w:rsidR="005F3E67" w:rsidRDefault="005F3E67">
      <w:pPr>
        <w:tabs>
          <w:tab w:val="left" w:pos="1100"/>
        </w:tabs>
        <w:spacing w:line="236" w:lineRule="auto"/>
        <w:ind w:left="1120" w:hanging="1059"/>
        <w:jc w:val="both"/>
        <w:rPr>
          <w:rFonts w:eastAsia="Times New Roman"/>
        </w:rPr>
      </w:pPr>
    </w:p>
    <w:p w14:paraId="680F5449" w14:textId="7EA9C37C" w:rsidR="00DD6DDF" w:rsidRDefault="00DD6DDF" w:rsidP="00DD6DDF">
      <w:pPr>
        <w:tabs>
          <w:tab w:val="left" w:pos="1100"/>
        </w:tabs>
        <w:spacing w:line="236" w:lineRule="auto"/>
        <w:ind w:left="1120" w:hanging="1059"/>
        <w:jc w:val="both"/>
        <w:rPr>
          <w:rFonts w:eastAsia="Times New Roman"/>
          <w:b/>
          <w:bCs/>
        </w:rPr>
      </w:pPr>
      <w:r w:rsidRPr="00CE39FF">
        <w:rPr>
          <w:rFonts w:eastAsia="Times New Roman"/>
          <w:b/>
          <w:bCs/>
        </w:rPr>
        <w:t>IV.3.4.</w:t>
      </w:r>
      <w:r>
        <w:rPr>
          <w:rFonts w:eastAsia="Times New Roman"/>
          <w:b/>
          <w:bCs/>
        </w:rPr>
        <w:t>2</w:t>
      </w:r>
      <w:r w:rsidRPr="00CE39FF">
        <w:rPr>
          <w:rFonts w:eastAsia="Times New Roman"/>
          <w:b/>
          <w:bCs/>
        </w:rPr>
        <w:t>.</w:t>
      </w:r>
      <w:r w:rsidRPr="00CE39FF">
        <w:rPr>
          <w:rFonts w:eastAsia="Times New Roman"/>
          <w:b/>
          <w:bCs/>
        </w:rPr>
        <w:tab/>
      </w:r>
      <w:r w:rsidRPr="000D0B29">
        <w:rPr>
          <w:rFonts w:eastAsia="Times New Roman"/>
          <w:b/>
          <w:bCs/>
        </w:rPr>
        <w:t xml:space="preserve">Tryb awaryjny </w:t>
      </w:r>
      <w:r>
        <w:rPr>
          <w:rFonts w:eastAsia="Times New Roman"/>
          <w:b/>
          <w:bCs/>
        </w:rPr>
        <w:t>bilansowy</w:t>
      </w:r>
    </w:p>
    <w:p w14:paraId="51BD7A69" w14:textId="7BAE91B1" w:rsidR="00DD6DDF" w:rsidRDefault="00596703" w:rsidP="00DD6DDF">
      <w:pPr>
        <w:tabs>
          <w:tab w:val="left" w:pos="1100"/>
        </w:tabs>
        <w:spacing w:line="236" w:lineRule="auto"/>
        <w:ind w:left="1120" w:hanging="1059"/>
        <w:jc w:val="both"/>
      </w:pPr>
      <w:r>
        <w:rPr>
          <w:rFonts w:eastAsia="Times New Roman"/>
        </w:rPr>
        <w:t xml:space="preserve">IV.3.4.2.1. </w:t>
      </w:r>
      <w:r w:rsidR="00F8383F">
        <w:t xml:space="preserve">OSP może wprowadzić przerwy w dostarczaniu i poborze energii elektrycznej </w:t>
      </w:r>
      <w:r w:rsidR="00F8383F">
        <w:br/>
        <w:t xml:space="preserve">w postaci wyłączeń awaryjnych odbiorców w trybie awaryjnym bilansowym (dalej „wyłączenia awaryjne bilansowe”), po wprowadzeniu ograniczeń w dostarczaniu </w:t>
      </w:r>
      <w:r w:rsidR="00F8383F">
        <w:br/>
        <w:t>i poborze energii elektrycznej w trybie normalnym lub trybie normalnym na polecenie OSP, w przypadku braku możliwości zapewnienia zrównoważenia dostaw energii elektrycznej z zapotrzebowaniem na tę energię w KSE pomimo wcześniejszego wprowadzenia przez OSP innych środków zaradczych.</w:t>
      </w:r>
    </w:p>
    <w:p w14:paraId="73183EAA" w14:textId="7D26BE25" w:rsidR="00DF1F3C" w:rsidRDefault="00DF1F3C" w:rsidP="00DF1F3C">
      <w:pPr>
        <w:tabs>
          <w:tab w:val="left" w:pos="1100"/>
        </w:tabs>
        <w:spacing w:line="236" w:lineRule="auto"/>
        <w:ind w:left="1120" w:firstLine="14"/>
        <w:jc w:val="both"/>
      </w:pPr>
      <w:r>
        <w:t xml:space="preserve">Wprowadzenie przez OSP wyłączeń awaryjnych bilansowych możliwe jest także przed wprowadzeniem ograniczeń w dostarczaniu i poborze energii elektrycznej </w:t>
      </w:r>
      <w:r>
        <w:br/>
        <w:t xml:space="preserve">w trybie normalnym na polecenie OSP, w przypadku wystąpienia zagrożenia bezpieczeństwa dostaw energii elektrycznej w czasie uniemożliwiającym mogą być wprowadzone pomiędzy ogłoszeniem przez OSP powołanego stanu </w:t>
      </w:r>
      <w:r>
        <w:br/>
        <w:t>a obowiązywaniem stopni zasilania zgodnie z pierwszym komunikatem w tej sprawie, wydanym zgodnie z rozporządzeniem, o którym mowa w art. 11 ust. 6 ustawy Prawo energetyczne.</w:t>
      </w:r>
    </w:p>
    <w:p w14:paraId="02BD2B1B" w14:textId="1F6AC989" w:rsidR="00F8383F" w:rsidRDefault="00F8383F" w:rsidP="00DD6DDF">
      <w:pPr>
        <w:tabs>
          <w:tab w:val="left" w:pos="1100"/>
        </w:tabs>
        <w:spacing w:line="236" w:lineRule="auto"/>
        <w:ind w:left="1120" w:hanging="1059"/>
        <w:jc w:val="both"/>
      </w:pPr>
      <w:r>
        <w:rPr>
          <w:rFonts w:eastAsia="Times New Roman"/>
        </w:rPr>
        <w:t>IV.3.4.2.2.</w:t>
      </w:r>
      <w:r w:rsidR="00026CC2" w:rsidRPr="00026CC2">
        <w:t xml:space="preserve"> </w:t>
      </w:r>
      <w:r w:rsidR="00026CC2">
        <w:t xml:space="preserve">Wyłączenia awaryjne bilansowe są realizowane na polecenie OSP w stopniach B1 - B15. Stopnie B1 - B15 powinny zapewniać spadek poboru mocy czynnej, każdy </w:t>
      </w:r>
      <w:r w:rsidR="00026CC2">
        <w:br/>
        <w:t>w przedziale 3 - 4% prognozowanego zapotrzebowania na moc. Wyłączenia awaryjne bilansowe wprowadzone łącznie w stopniach od B1 do B15, powinny zapewnić zmniejszenie poboru mocy czynnej o 50% prognozowanego zapotrzebowania na moc</w:t>
      </w:r>
      <w:r w:rsidR="00814351">
        <w:t>.</w:t>
      </w:r>
    </w:p>
    <w:p w14:paraId="5EC25573" w14:textId="5A491865" w:rsidR="00814351" w:rsidRDefault="00814351" w:rsidP="00DD6DDF">
      <w:pPr>
        <w:tabs>
          <w:tab w:val="left" w:pos="1100"/>
        </w:tabs>
        <w:spacing w:line="236" w:lineRule="auto"/>
        <w:ind w:left="1120" w:hanging="1059"/>
        <w:jc w:val="both"/>
      </w:pPr>
      <w:r>
        <w:rPr>
          <w:rFonts w:eastAsia="Times New Roman"/>
        </w:rPr>
        <w:t>IV.3.4.2.3.</w:t>
      </w:r>
      <w:r w:rsidR="00311CB4" w:rsidRPr="00311CB4">
        <w:t xml:space="preserve"> </w:t>
      </w:r>
      <w:r w:rsidR="00311CB4">
        <w:t>Wyłączenia awaryjne bilansowe są realizowane poprzez wyłączenia linii o napięciu 110 kV, transformatorów 110 kV/SN lub linii i stacji SN.</w:t>
      </w:r>
    </w:p>
    <w:p w14:paraId="4139B9A0" w14:textId="0A780477" w:rsidR="00311CB4" w:rsidRDefault="00311CB4" w:rsidP="00DD6DDF">
      <w:pPr>
        <w:tabs>
          <w:tab w:val="left" w:pos="1100"/>
        </w:tabs>
        <w:spacing w:line="236" w:lineRule="auto"/>
        <w:ind w:left="1120" w:hanging="1059"/>
        <w:jc w:val="both"/>
      </w:pPr>
      <w:r>
        <w:rPr>
          <w:rFonts w:eastAsia="Times New Roman"/>
        </w:rPr>
        <w:lastRenderedPageBreak/>
        <w:t xml:space="preserve">IV.3.4.2.4. </w:t>
      </w:r>
      <w:r>
        <w:t>OSP w porozumieniu z OSDp, ustala corocznie dla każdego miesiąca, dla prognozowanego zapotrzebowania na moc w dobowych szczytach tego zapotrzebowania, dla typowych warunków pogodowych, wartości obniżenia poboru mocy czynnej w poszczególnych stopniach B.</w:t>
      </w:r>
    </w:p>
    <w:p w14:paraId="051D2193" w14:textId="77777777" w:rsidR="00311CB4" w:rsidRDefault="00311CB4" w:rsidP="00DD6DDF">
      <w:pPr>
        <w:tabs>
          <w:tab w:val="left" w:pos="1100"/>
        </w:tabs>
        <w:spacing w:line="236" w:lineRule="auto"/>
        <w:ind w:left="1120" w:hanging="1059"/>
        <w:jc w:val="both"/>
      </w:pPr>
      <w:r>
        <w:rPr>
          <w:rFonts w:eastAsia="Times New Roman"/>
        </w:rPr>
        <w:t xml:space="preserve">IV.3.4.2.5. </w:t>
      </w:r>
      <w:r>
        <w:t xml:space="preserve">Plany wyłączeń awaryjnych bilansowych określające przewidywany efekt wprowadzenia stopni od B1 do B15 opracowują: </w:t>
      </w:r>
    </w:p>
    <w:p w14:paraId="41119684" w14:textId="5929D878" w:rsidR="00311CB4" w:rsidRDefault="00311CB4">
      <w:pPr>
        <w:pStyle w:val="Akapitzlist"/>
        <w:numPr>
          <w:ilvl w:val="1"/>
          <w:numId w:val="333"/>
        </w:numPr>
        <w:spacing w:line="236" w:lineRule="auto"/>
        <w:ind w:left="1560" w:hanging="426"/>
        <w:jc w:val="both"/>
      </w:pPr>
      <w:r>
        <w:t xml:space="preserve">OSP - dla całego KSE, z uwzględnieniem planów, o których mowa w pkt (2) </w:t>
      </w:r>
      <w:r>
        <w:br/>
        <w:t xml:space="preserve">i (3), </w:t>
      </w:r>
    </w:p>
    <w:p w14:paraId="4AA0BE9B" w14:textId="356254DA" w:rsidR="00311CB4" w:rsidRDefault="00311CB4">
      <w:pPr>
        <w:pStyle w:val="Akapitzlist"/>
        <w:numPr>
          <w:ilvl w:val="1"/>
          <w:numId w:val="333"/>
        </w:numPr>
        <w:spacing w:line="236" w:lineRule="auto"/>
        <w:ind w:left="1560" w:hanging="426"/>
        <w:jc w:val="both"/>
      </w:pPr>
      <w:r>
        <w:t xml:space="preserve">OSDp - z uwzględnieniem planów opracowanych przez OSDn zlokalizowanych w tych obszarach i planów opracowanych przez odbiorców końcowych przyłączonych do sieci o napięciu 110 kV lub wyższym, za której ruch sieciowy odpowiada OSDp, </w:t>
      </w:r>
    </w:p>
    <w:p w14:paraId="5B69D567" w14:textId="23E78025" w:rsidR="00311CB4" w:rsidRDefault="00311CB4">
      <w:pPr>
        <w:pStyle w:val="Akapitzlist"/>
        <w:numPr>
          <w:ilvl w:val="1"/>
          <w:numId w:val="333"/>
        </w:numPr>
        <w:spacing w:line="236" w:lineRule="auto"/>
        <w:ind w:left="1560" w:hanging="426"/>
        <w:jc w:val="both"/>
      </w:pPr>
      <w:r>
        <w:t xml:space="preserve">odbiorcy przyłączeni do sieci przesyłowej. </w:t>
      </w:r>
    </w:p>
    <w:p w14:paraId="395006D2" w14:textId="67EFCC89" w:rsidR="00311CB4" w:rsidRDefault="00311CB4" w:rsidP="00404BD2">
      <w:pPr>
        <w:spacing w:line="236" w:lineRule="auto"/>
        <w:ind w:left="1120" w:firstLine="14"/>
        <w:jc w:val="both"/>
      </w:pPr>
      <w:r>
        <w:t>Plany wyłączeń awaryjnych bilansowych na rok 2023 są opracowywane po raz pierwszy niezwłocznie po dacie wejścia w życie obowiązku ich opracowania. Do tego czasu, w przypadku konieczności wprowadzenia wyłączeń awaryjnych bilansowych przyjmuje się, że podstawą dla każdej narastająco grupy trzech stopni B (B1 - B3, B4 - B6, …, B13 - B15) jest odpowiedni stopień A, określony w planie wyłączeń awaryjnych sieciowych obowiązującym na rok 2023.</w:t>
      </w:r>
    </w:p>
    <w:p w14:paraId="75869223" w14:textId="352BC9E5" w:rsidR="002A7DBC" w:rsidRDefault="002A7DBC" w:rsidP="00834FCE">
      <w:pPr>
        <w:spacing w:line="236" w:lineRule="auto"/>
        <w:ind w:left="1134" w:hanging="1120"/>
        <w:jc w:val="both"/>
      </w:pPr>
      <w:r>
        <w:rPr>
          <w:rFonts w:eastAsia="Times New Roman"/>
        </w:rPr>
        <w:t>IV.3.4.2.</w:t>
      </w:r>
      <w:r w:rsidR="009A3FF9">
        <w:rPr>
          <w:rFonts w:eastAsia="Times New Roman"/>
        </w:rPr>
        <w:t>6</w:t>
      </w:r>
      <w:r w:rsidR="00834FCE">
        <w:rPr>
          <w:rFonts w:eastAsia="Times New Roman"/>
        </w:rPr>
        <w:t xml:space="preserve">. </w:t>
      </w:r>
      <w:r w:rsidR="00834FCE">
        <w:t xml:space="preserve">OSP wydaje OSDp polecenie wprowadzenia wyłączeń awaryjnych bilansowych </w:t>
      </w:r>
      <w:r w:rsidR="002A36EC">
        <w:br/>
      </w:r>
      <w:r w:rsidR="00834FCE">
        <w:t>z wyprzedzeniem co najmniej 4 godzin. W przypadkach spowodowanych nagłymi, awaryjnymi wyłączeniami jednostek wytwórczych ujętych w TCM opracowanym na podstawie art. 11 ust. 4 lit. c) oraz art. 23 ust. 4 lit c) NC ER, czas ten może ulec skróceniu do 2 godzin.</w:t>
      </w:r>
    </w:p>
    <w:p w14:paraId="6BED1CC6" w14:textId="508EEEA8" w:rsidR="002A36EC" w:rsidRDefault="002A36EC" w:rsidP="00834FCE">
      <w:pPr>
        <w:spacing w:line="236" w:lineRule="auto"/>
        <w:ind w:left="1134" w:hanging="1120"/>
        <w:jc w:val="both"/>
      </w:pPr>
      <w:r>
        <w:rPr>
          <w:rFonts w:eastAsia="Times New Roman"/>
        </w:rPr>
        <w:t xml:space="preserve">IV.3.4.2.7. </w:t>
      </w:r>
      <w:r>
        <w:t xml:space="preserve">Polecenie wprowadzenia wyłączeń awaryjnych bilansowych wydaje OSP wskazując dany stopień B lub ich grupę dla całego KSE oraz czas obowiązywania. </w:t>
      </w:r>
    </w:p>
    <w:p w14:paraId="1666862A" w14:textId="4368C115" w:rsidR="00A76E28" w:rsidRDefault="00A76E28" w:rsidP="00834FCE">
      <w:pPr>
        <w:spacing w:line="236" w:lineRule="auto"/>
        <w:ind w:left="1134" w:hanging="1120"/>
        <w:jc w:val="both"/>
      </w:pPr>
      <w:r>
        <w:rPr>
          <w:rFonts w:eastAsia="Times New Roman"/>
        </w:rPr>
        <w:t xml:space="preserve">IV.3.4.2.8. </w:t>
      </w:r>
      <w:r>
        <w:t>Wyłączenia awaryjne bilansowe powinny być wprowadzane rotacyjnie (rotacja oznacza zastąpienie danego stopnia B innym stopniem B lub grupy stopni B inną grupą stopni B), przy czym wyłączenie awaryjne bilansowe w danym stopniu B powinno trwać nie dłużej niż 4 godziny.</w:t>
      </w:r>
    </w:p>
    <w:p w14:paraId="18C777C6" w14:textId="6B9EF511" w:rsidR="00A76E28" w:rsidRDefault="00A76E28" w:rsidP="00834FCE">
      <w:pPr>
        <w:spacing w:line="236" w:lineRule="auto"/>
        <w:ind w:left="1134" w:hanging="1120"/>
        <w:jc w:val="both"/>
      </w:pPr>
      <w:r>
        <w:rPr>
          <w:rFonts w:eastAsia="Times New Roman"/>
        </w:rPr>
        <w:t xml:space="preserve">IV.3.4.2.9. </w:t>
      </w:r>
      <w:r>
        <w:t>W przypadku zastosowania rotacji wyłączeń awaryjnych bilansowych, należy prowadzić załączenia i wyłączenia odbiorców w taki sposób, aby zminimalizować efekt skokowych zmian obciążenia.</w:t>
      </w:r>
    </w:p>
    <w:p w14:paraId="4C2C89DB" w14:textId="6E608B81" w:rsidR="00A76E28" w:rsidRDefault="00A76E28" w:rsidP="005C41C9">
      <w:pPr>
        <w:spacing w:line="236" w:lineRule="auto"/>
        <w:ind w:left="1276" w:hanging="1262"/>
        <w:jc w:val="both"/>
      </w:pPr>
      <w:r>
        <w:rPr>
          <w:rFonts w:eastAsia="Times New Roman"/>
        </w:rPr>
        <w:t xml:space="preserve">IV.3.4.2.10. </w:t>
      </w:r>
      <w:r>
        <w:t>Załączenia odbiorców wyłączonych w trybie awaryjnym bilansowym są realizowane bez zgody OSP, zgodnie z wydanym poleceniem, o którym mowa w pkt IV.3.4.2.7.</w:t>
      </w:r>
    </w:p>
    <w:p w14:paraId="08D4C6BB" w14:textId="77777777" w:rsidR="00A2709A" w:rsidRDefault="00A2709A" w:rsidP="005C41C9">
      <w:pPr>
        <w:spacing w:line="236" w:lineRule="auto"/>
        <w:ind w:left="1276" w:hanging="1262"/>
        <w:jc w:val="both"/>
        <w:rPr>
          <w:rFonts w:eastAsia="Times New Roman"/>
        </w:rPr>
      </w:pPr>
    </w:p>
    <w:p w14:paraId="291AA1C7" w14:textId="77777777" w:rsidR="00572BA3" w:rsidRDefault="00572BA3">
      <w:pPr>
        <w:spacing w:line="200" w:lineRule="exact"/>
        <w:rPr>
          <w:rFonts w:eastAsia="Times New Roman"/>
        </w:rPr>
      </w:pPr>
    </w:p>
    <w:p w14:paraId="7DBD2801" w14:textId="77777777" w:rsidR="00572BA3" w:rsidRDefault="00572BA3" w:rsidP="0002082D">
      <w:pPr>
        <w:tabs>
          <w:tab w:val="left" w:pos="1100"/>
        </w:tabs>
        <w:spacing w:line="0" w:lineRule="atLeast"/>
        <w:rPr>
          <w:rFonts w:eastAsia="Times New Roman"/>
          <w:b/>
        </w:rPr>
      </w:pPr>
      <w:r>
        <w:rPr>
          <w:rFonts w:eastAsia="Times New Roman"/>
          <w:b/>
        </w:rPr>
        <w:t>IV.3.5.</w:t>
      </w:r>
      <w:r>
        <w:rPr>
          <w:rFonts w:eastAsia="Times New Roman"/>
        </w:rPr>
        <w:tab/>
      </w:r>
      <w:r>
        <w:rPr>
          <w:rFonts w:eastAsia="Times New Roman"/>
          <w:b/>
        </w:rPr>
        <w:t>Tryb automatyczny</w:t>
      </w:r>
    </w:p>
    <w:p w14:paraId="5CB4B0F6" w14:textId="77777777" w:rsidR="00572BA3" w:rsidRDefault="00572BA3">
      <w:pPr>
        <w:spacing w:line="127" w:lineRule="exact"/>
        <w:rPr>
          <w:rFonts w:eastAsia="Times New Roman"/>
        </w:rPr>
      </w:pPr>
    </w:p>
    <w:p w14:paraId="460BD93F" w14:textId="77777777" w:rsidR="00F10047" w:rsidRPr="00444077" w:rsidRDefault="0002082D">
      <w:pPr>
        <w:pStyle w:val="Akapitzlist"/>
        <w:numPr>
          <w:ilvl w:val="0"/>
          <w:numId w:val="335"/>
        </w:numPr>
        <w:spacing w:before="90" w:line="268" w:lineRule="auto"/>
        <w:ind w:left="1276" w:right="60" w:hanging="1276"/>
        <w:jc w:val="both"/>
        <w:rPr>
          <w:color w:val="000000" w:themeColor="text1"/>
          <w:sz w:val="20"/>
        </w:rPr>
      </w:pPr>
      <w:r w:rsidRPr="00444077">
        <w:rPr>
          <w:color w:val="000000" w:themeColor="text1"/>
          <w:w w:val="105"/>
          <w:szCs w:val="24"/>
        </w:rPr>
        <w:t>Wyłączenia odbiorców w trybie automatycznym realizowane są przez układy SCO, w przypadku obniżenia się częstotliwości do nastawionej na tych układach wartości kryterialnej.</w:t>
      </w:r>
      <w:r w:rsidR="00F10047" w:rsidRPr="00444077">
        <w:rPr>
          <w:color w:val="000000" w:themeColor="text1"/>
          <w:w w:val="105"/>
          <w:szCs w:val="24"/>
        </w:rPr>
        <w:t xml:space="preserve"> </w:t>
      </w:r>
    </w:p>
    <w:p w14:paraId="696F0B1B" w14:textId="1B342ADC" w:rsidR="00302A42" w:rsidRPr="00444077" w:rsidRDefault="007E33A9">
      <w:pPr>
        <w:pStyle w:val="Akapitzlist"/>
        <w:widowControl w:val="0"/>
        <w:numPr>
          <w:ilvl w:val="0"/>
          <w:numId w:val="335"/>
        </w:numPr>
        <w:autoSpaceDE w:val="0"/>
        <w:autoSpaceDN w:val="0"/>
        <w:spacing w:before="102" w:line="259" w:lineRule="auto"/>
        <w:ind w:left="1276" w:right="60" w:hanging="1276"/>
        <w:jc w:val="both"/>
        <w:rPr>
          <w:rFonts w:cs="Times New Roman"/>
          <w:color w:val="000000" w:themeColor="text1"/>
          <w:szCs w:val="24"/>
        </w:rPr>
      </w:pPr>
      <w:r w:rsidRPr="00444077">
        <w:rPr>
          <w:rFonts w:cs="Times New Roman"/>
          <w:color w:val="000000" w:themeColor="text1"/>
          <w:w w:val="105"/>
          <w:szCs w:val="24"/>
        </w:rPr>
        <w:t xml:space="preserve">Układ SCO instaluje </w:t>
      </w:r>
      <w:r w:rsidR="002F2A4D">
        <w:rPr>
          <w:rFonts w:cs="Times New Roman"/>
          <w:color w:val="000000" w:themeColor="text1"/>
          <w:w w:val="105"/>
          <w:szCs w:val="24"/>
        </w:rPr>
        <w:t>OSDn</w:t>
      </w:r>
      <w:r w:rsidRPr="00444077">
        <w:rPr>
          <w:rFonts w:cs="Times New Roman"/>
          <w:color w:val="000000" w:themeColor="text1"/>
          <w:w w:val="105"/>
          <w:szCs w:val="24"/>
        </w:rPr>
        <w:t xml:space="preserve"> oraz odbiorca zobowiązany do instalacji takiego układu zgodnie z przepisami rozporządzenia w sprawie szczegółowych warunków funkcjonowania systemu elektroenergetycznego, wydanego na podstawie ustawy Prawo energetyczne.</w:t>
      </w:r>
      <w:r w:rsidR="00302A42" w:rsidRPr="00444077">
        <w:rPr>
          <w:rFonts w:cs="Times New Roman"/>
          <w:color w:val="000000" w:themeColor="text1"/>
          <w:w w:val="105"/>
          <w:szCs w:val="24"/>
        </w:rPr>
        <w:t xml:space="preserve"> </w:t>
      </w:r>
    </w:p>
    <w:p w14:paraId="6B85FC3A" w14:textId="2167C258" w:rsidR="00302A42" w:rsidRPr="00444077" w:rsidRDefault="00302A42">
      <w:pPr>
        <w:pStyle w:val="Akapitzlist"/>
        <w:widowControl w:val="0"/>
        <w:numPr>
          <w:ilvl w:val="0"/>
          <w:numId w:val="335"/>
        </w:numPr>
        <w:autoSpaceDE w:val="0"/>
        <w:autoSpaceDN w:val="0"/>
        <w:spacing w:before="102" w:line="259" w:lineRule="auto"/>
        <w:ind w:left="1276" w:right="60" w:hanging="1276"/>
        <w:jc w:val="both"/>
        <w:rPr>
          <w:rFonts w:cs="Times New Roman"/>
          <w:color w:val="000000" w:themeColor="text1"/>
          <w:szCs w:val="24"/>
        </w:rPr>
      </w:pPr>
      <w:r w:rsidRPr="00444077">
        <w:rPr>
          <w:rFonts w:cs="Times New Roman"/>
          <w:color w:val="000000" w:themeColor="text1"/>
          <w:w w:val="105"/>
          <w:szCs w:val="24"/>
        </w:rPr>
        <w:t>Odbiorca przyłączony do sieci SN podlega stosowaniu układu SCO</w:t>
      </w:r>
      <w:r w:rsidR="00373738">
        <w:rPr>
          <w:rFonts w:cs="Times New Roman"/>
          <w:color w:val="000000" w:themeColor="text1"/>
          <w:w w:val="105"/>
          <w:szCs w:val="24"/>
        </w:rPr>
        <w:t>,</w:t>
      </w:r>
      <w:r w:rsidRPr="00444077">
        <w:rPr>
          <w:rFonts w:cs="Times New Roman"/>
          <w:color w:val="000000" w:themeColor="text1"/>
          <w:w w:val="105"/>
          <w:szCs w:val="24"/>
        </w:rPr>
        <w:t xml:space="preserve"> </w:t>
      </w:r>
      <w:r w:rsidR="00555C67">
        <w:rPr>
          <w:rFonts w:cs="Times New Roman"/>
          <w:color w:val="000000" w:themeColor="text1"/>
          <w:w w:val="105"/>
          <w:szCs w:val="24"/>
        </w:rPr>
        <w:t>OSDn</w:t>
      </w:r>
      <w:r w:rsidRPr="00444077">
        <w:rPr>
          <w:rFonts w:cs="Times New Roman"/>
          <w:color w:val="000000" w:themeColor="text1"/>
          <w:w w:val="105"/>
          <w:szCs w:val="24"/>
        </w:rPr>
        <w:t xml:space="preserve"> do którego sieci jest</w:t>
      </w:r>
      <w:r w:rsidRPr="00444077">
        <w:rPr>
          <w:rFonts w:cs="Times New Roman"/>
          <w:color w:val="000000" w:themeColor="text1"/>
          <w:spacing w:val="42"/>
          <w:w w:val="105"/>
          <w:szCs w:val="24"/>
        </w:rPr>
        <w:t xml:space="preserve"> </w:t>
      </w:r>
      <w:r w:rsidRPr="00444077">
        <w:rPr>
          <w:rFonts w:cs="Times New Roman"/>
          <w:color w:val="000000" w:themeColor="text1"/>
          <w:w w:val="105"/>
          <w:szCs w:val="24"/>
        </w:rPr>
        <w:t>przyłączony.</w:t>
      </w:r>
    </w:p>
    <w:p w14:paraId="689A3EE7" w14:textId="5FD375DD" w:rsidR="00F10047" w:rsidRPr="00444077" w:rsidRDefault="00B51C5E">
      <w:pPr>
        <w:pStyle w:val="Akapitzlist"/>
        <w:numPr>
          <w:ilvl w:val="0"/>
          <w:numId w:val="335"/>
        </w:numPr>
        <w:spacing w:before="90" w:line="268" w:lineRule="auto"/>
        <w:ind w:left="1276" w:right="60" w:hanging="1276"/>
        <w:jc w:val="both"/>
        <w:rPr>
          <w:rFonts w:cs="Times New Roman"/>
          <w:color w:val="000000" w:themeColor="text1"/>
          <w:szCs w:val="24"/>
        </w:rPr>
      </w:pPr>
      <w:r w:rsidRPr="00444077">
        <w:rPr>
          <w:rFonts w:cs="Times New Roman"/>
          <w:color w:val="000000" w:themeColor="text1"/>
          <w:w w:val="105"/>
          <w:szCs w:val="24"/>
        </w:rPr>
        <w:lastRenderedPageBreak/>
        <w:t>OSD</w:t>
      </w:r>
      <w:r w:rsidR="00DE6849">
        <w:rPr>
          <w:rFonts w:cs="Times New Roman"/>
          <w:color w:val="000000" w:themeColor="text1"/>
          <w:w w:val="105"/>
          <w:szCs w:val="24"/>
        </w:rPr>
        <w:t xml:space="preserve"> inny niż OSDp</w:t>
      </w:r>
      <w:r w:rsidRPr="00444077">
        <w:rPr>
          <w:rFonts w:cs="Times New Roman"/>
          <w:color w:val="000000" w:themeColor="text1"/>
          <w:w w:val="105"/>
          <w:szCs w:val="24"/>
        </w:rPr>
        <w:t xml:space="preserve"> połączony z siecią SN i nN </w:t>
      </w:r>
      <w:r w:rsidR="00B11C99">
        <w:rPr>
          <w:rFonts w:cs="Times New Roman"/>
          <w:color w:val="000000" w:themeColor="text1"/>
          <w:w w:val="105"/>
          <w:szCs w:val="24"/>
        </w:rPr>
        <w:t>O</w:t>
      </w:r>
      <w:r w:rsidR="000F2FA2">
        <w:rPr>
          <w:rFonts w:cs="Times New Roman"/>
          <w:color w:val="000000" w:themeColor="text1"/>
          <w:w w:val="105"/>
          <w:szCs w:val="24"/>
        </w:rPr>
        <w:t>SDn</w:t>
      </w:r>
      <w:r w:rsidR="00D80682">
        <w:rPr>
          <w:rFonts w:cs="Times New Roman"/>
          <w:color w:val="000000" w:themeColor="text1"/>
          <w:w w:val="105"/>
          <w:szCs w:val="24"/>
        </w:rPr>
        <w:t>,</w:t>
      </w:r>
      <w:r w:rsidRPr="00444077">
        <w:rPr>
          <w:rFonts w:cs="Times New Roman"/>
          <w:color w:val="000000" w:themeColor="text1"/>
          <w:w w:val="105"/>
          <w:szCs w:val="24"/>
        </w:rPr>
        <w:t xml:space="preserve"> może podlegać stosowaniu układu SCO zainstalowanego przez </w:t>
      </w:r>
      <w:r w:rsidR="00B11C99">
        <w:rPr>
          <w:rFonts w:cs="Times New Roman"/>
          <w:color w:val="000000" w:themeColor="text1"/>
          <w:w w:val="105"/>
          <w:szCs w:val="24"/>
        </w:rPr>
        <w:t>OSDn</w:t>
      </w:r>
      <w:r w:rsidRPr="00444077">
        <w:rPr>
          <w:rFonts w:cs="Times New Roman"/>
          <w:color w:val="000000" w:themeColor="text1"/>
          <w:w w:val="105"/>
          <w:szCs w:val="24"/>
        </w:rPr>
        <w:t xml:space="preserve">, zgodnie </w:t>
      </w:r>
      <w:r w:rsidR="00B11C99">
        <w:rPr>
          <w:rFonts w:cs="Times New Roman"/>
          <w:color w:val="000000" w:themeColor="text1"/>
          <w:w w:val="105"/>
          <w:szCs w:val="24"/>
        </w:rPr>
        <w:br/>
      </w:r>
      <w:r w:rsidRPr="00444077">
        <w:rPr>
          <w:rFonts w:cs="Times New Roman"/>
          <w:color w:val="000000" w:themeColor="text1"/>
          <w:w w:val="105"/>
          <w:szCs w:val="24"/>
        </w:rPr>
        <w:t xml:space="preserve">z postanowieniami umowy zawartej pomiędzy </w:t>
      </w:r>
      <w:r w:rsidR="00B11C99">
        <w:rPr>
          <w:rFonts w:cs="Times New Roman"/>
          <w:color w:val="000000" w:themeColor="text1"/>
          <w:w w:val="105"/>
          <w:szCs w:val="24"/>
        </w:rPr>
        <w:t xml:space="preserve">OSDn </w:t>
      </w:r>
      <w:r w:rsidRPr="00444077">
        <w:rPr>
          <w:rFonts w:cs="Times New Roman"/>
          <w:color w:val="000000" w:themeColor="text1"/>
          <w:w w:val="105"/>
          <w:szCs w:val="24"/>
        </w:rPr>
        <w:t>oraz</w:t>
      </w:r>
      <w:r w:rsidRPr="00444077">
        <w:rPr>
          <w:rFonts w:cs="Times New Roman"/>
          <w:color w:val="000000" w:themeColor="text1"/>
          <w:spacing w:val="7"/>
          <w:w w:val="105"/>
          <w:szCs w:val="24"/>
        </w:rPr>
        <w:t xml:space="preserve"> </w:t>
      </w:r>
      <w:r w:rsidRPr="00444077">
        <w:rPr>
          <w:rFonts w:cs="Times New Roman"/>
          <w:color w:val="000000" w:themeColor="text1"/>
          <w:w w:val="105"/>
          <w:szCs w:val="24"/>
        </w:rPr>
        <w:t>OSD</w:t>
      </w:r>
      <w:r w:rsidR="00807473">
        <w:rPr>
          <w:rFonts w:cs="Times New Roman"/>
          <w:color w:val="000000" w:themeColor="text1"/>
          <w:w w:val="105"/>
          <w:szCs w:val="24"/>
        </w:rPr>
        <w:t xml:space="preserve"> innym niż OSDp</w:t>
      </w:r>
      <w:r w:rsidRPr="00444077">
        <w:rPr>
          <w:rFonts w:cs="Times New Roman"/>
          <w:color w:val="000000" w:themeColor="text1"/>
          <w:w w:val="105"/>
          <w:szCs w:val="24"/>
        </w:rPr>
        <w:t>.</w:t>
      </w:r>
    </w:p>
    <w:p w14:paraId="36FBADDA" w14:textId="3B2C39B0" w:rsidR="00B51C5E" w:rsidRPr="00444077" w:rsidRDefault="00B51C5E">
      <w:pPr>
        <w:pStyle w:val="Akapitzlist"/>
        <w:widowControl w:val="0"/>
        <w:numPr>
          <w:ilvl w:val="0"/>
          <w:numId w:val="335"/>
        </w:numPr>
        <w:autoSpaceDE w:val="0"/>
        <w:autoSpaceDN w:val="0"/>
        <w:spacing w:before="105" w:line="266" w:lineRule="auto"/>
        <w:ind w:left="1276" w:right="60" w:hanging="1276"/>
        <w:jc w:val="both"/>
        <w:rPr>
          <w:rFonts w:cs="Times New Roman"/>
          <w:color w:val="000000" w:themeColor="text1"/>
          <w:szCs w:val="24"/>
        </w:rPr>
      </w:pPr>
      <w:r w:rsidRPr="00444077">
        <w:rPr>
          <w:rFonts w:cs="Times New Roman"/>
          <w:color w:val="000000" w:themeColor="text1"/>
          <w:w w:val="105"/>
          <w:szCs w:val="24"/>
        </w:rPr>
        <w:t>Czas zadziałani</w:t>
      </w:r>
      <w:r w:rsidR="00124F1B">
        <w:rPr>
          <w:rFonts w:cs="Times New Roman"/>
          <w:color w:val="000000" w:themeColor="text1"/>
          <w:w w:val="105"/>
          <w:szCs w:val="24"/>
        </w:rPr>
        <w:t>a</w:t>
      </w:r>
      <w:r w:rsidRPr="00444077">
        <w:rPr>
          <w:rFonts w:cs="Times New Roman"/>
          <w:color w:val="000000" w:themeColor="text1"/>
          <w:w w:val="105"/>
          <w:szCs w:val="24"/>
        </w:rPr>
        <w:t xml:space="preserve"> układu SCO powinien być nie dłuższy niż 150 ms.</w:t>
      </w:r>
    </w:p>
    <w:p w14:paraId="4E131E7E" w14:textId="77777777" w:rsidR="00947BEF" w:rsidRPr="00444077" w:rsidRDefault="00947BEF">
      <w:pPr>
        <w:pStyle w:val="Akapitzlist"/>
        <w:widowControl w:val="0"/>
        <w:numPr>
          <w:ilvl w:val="0"/>
          <w:numId w:val="335"/>
        </w:numPr>
        <w:autoSpaceDE w:val="0"/>
        <w:autoSpaceDN w:val="0"/>
        <w:spacing w:before="108"/>
        <w:ind w:left="1276" w:right="60" w:hanging="1276"/>
        <w:jc w:val="both"/>
        <w:rPr>
          <w:rFonts w:cs="Times New Roman"/>
          <w:color w:val="000000" w:themeColor="text1"/>
          <w:szCs w:val="24"/>
        </w:rPr>
      </w:pPr>
      <w:r w:rsidRPr="00444077">
        <w:rPr>
          <w:rFonts w:cs="Times New Roman"/>
          <w:color w:val="000000" w:themeColor="text1"/>
          <w:w w:val="105"/>
          <w:szCs w:val="24"/>
        </w:rPr>
        <w:t>Przekaźnik SCO, stosowany w układach SCO,</w:t>
      </w:r>
      <w:r w:rsidRPr="00444077">
        <w:rPr>
          <w:rFonts w:cs="Times New Roman"/>
          <w:color w:val="000000" w:themeColor="text1"/>
          <w:spacing w:val="25"/>
          <w:w w:val="105"/>
          <w:szCs w:val="24"/>
        </w:rPr>
        <w:t xml:space="preserve"> </w:t>
      </w:r>
      <w:r w:rsidRPr="00444077">
        <w:rPr>
          <w:rFonts w:cs="Times New Roman"/>
          <w:color w:val="000000" w:themeColor="text1"/>
          <w:w w:val="105"/>
          <w:szCs w:val="24"/>
        </w:rPr>
        <w:t>powinien:</w:t>
      </w:r>
    </w:p>
    <w:p w14:paraId="4E85A968" w14:textId="56D4F554" w:rsidR="00947BEF" w:rsidRPr="00444077" w:rsidRDefault="00947BEF">
      <w:pPr>
        <w:pStyle w:val="Akapitzlist"/>
        <w:widowControl w:val="0"/>
        <w:numPr>
          <w:ilvl w:val="4"/>
          <w:numId w:val="334"/>
        </w:numPr>
        <w:autoSpaceDE w:val="0"/>
        <w:autoSpaceDN w:val="0"/>
        <w:spacing w:before="145" w:line="266" w:lineRule="auto"/>
        <w:ind w:left="1701" w:right="60" w:hanging="425"/>
        <w:jc w:val="both"/>
        <w:rPr>
          <w:rFonts w:cs="Times New Roman"/>
          <w:color w:val="000000" w:themeColor="text1"/>
          <w:szCs w:val="24"/>
        </w:rPr>
      </w:pPr>
      <w:r w:rsidRPr="00444077">
        <w:rPr>
          <w:rFonts w:cs="Times New Roman"/>
          <w:color w:val="000000" w:themeColor="text1"/>
          <w:w w:val="105"/>
          <w:szCs w:val="24"/>
        </w:rPr>
        <w:t>umożliwiać nastawienie wartości częstotliwości z zakresu od 47,00 do 50,00 Hz ze zmianą skokową co 0,05</w:t>
      </w:r>
      <w:r w:rsidRPr="00444077">
        <w:rPr>
          <w:rFonts w:cs="Times New Roman"/>
          <w:color w:val="000000" w:themeColor="text1"/>
          <w:spacing w:val="18"/>
          <w:w w:val="105"/>
          <w:szCs w:val="24"/>
        </w:rPr>
        <w:t xml:space="preserve"> </w:t>
      </w:r>
      <w:r w:rsidRPr="00444077">
        <w:rPr>
          <w:rFonts w:cs="Times New Roman"/>
          <w:color w:val="000000" w:themeColor="text1"/>
          <w:w w:val="105"/>
          <w:szCs w:val="24"/>
        </w:rPr>
        <w:t>Hz;</w:t>
      </w:r>
    </w:p>
    <w:p w14:paraId="78C0C841" w14:textId="7BC2AEAB" w:rsidR="00947BEF" w:rsidRPr="006F232A" w:rsidRDefault="00947BEF">
      <w:pPr>
        <w:pStyle w:val="Akapitzlist"/>
        <w:widowControl w:val="0"/>
        <w:numPr>
          <w:ilvl w:val="0"/>
          <w:numId w:val="340"/>
        </w:numPr>
        <w:tabs>
          <w:tab w:val="left" w:pos="1276"/>
          <w:tab w:val="left" w:pos="2892"/>
        </w:tabs>
        <w:autoSpaceDE w:val="0"/>
        <w:autoSpaceDN w:val="0"/>
        <w:spacing w:before="9" w:line="273" w:lineRule="auto"/>
        <w:ind w:left="1701" w:right="60" w:hanging="425"/>
        <w:jc w:val="both"/>
        <w:rPr>
          <w:rFonts w:cs="Times New Roman"/>
          <w:color w:val="000000" w:themeColor="text1"/>
          <w:szCs w:val="24"/>
        </w:rPr>
      </w:pPr>
      <w:r w:rsidRPr="006F232A">
        <w:rPr>
          <w:rFonts w:cs="Times New Roman"/>
          <w:color w:val="000000" w:themeColor="text1"/>
          <w:w w:val="105"/>
          <w:szCs w:val="24"/>
        </w:rPr>
        <w:t xml:space="preserve">umożliwiać nastawienie zwłoki czasowej w zakresie od </w:t>
      </w:r>
      <w:r w:rsidRPr="006F232A">
        <w:rPr>
          <w:rFonts w:cs="Times New Roman"/>
          <w:color w:val="000000" w:themeColor="text1"/>
          <w:spacing w:val="2"/>
          <w:w w:val="105"/>
          <w:szCs w:val="24"/>
        </w:rPr>
        <w:t xml:space="preserve">0,05 </w:t>
      </w:r>
      <w:r w:rsidRPr="006F232A">
        <w:rPr>
          <w:rFonts w:cs="Times New Roman"/>
          <w:color w:val="000000" w:themeColor="text1"/>
          <w:w w:val="105"/>
          <w:szCs w:val="24"/>
        </w:rPr>
        <w:t>do 1 s ze zmianą skokową co 0,05 s,</w:t>
      </w:r>
      <w:r w:rsidR="00DE0E5B">
        <w:rPr>
          <w:rFonts w:cs="Times New Roman"/>
          <w:color w:val="000000" w:themeColor="text1"/>
          <w:w w:val="105"/>
          <w:szCs w:val="24"/>
        </w:rPr>
        <w:t xml:space="preserve"> </w:t>
      </w:r>
      <w:r w:rsidRPr="006F232A">
        <w:rPr>
          <w:rFonts w:cs="Times New Roman"/>
          <w:color w:val="000000" w:themeColor="text1"/>
          <w:w w:val="105"/>
          <w:szCs w:val="24"/>
        </w:rPr>
        <w:t>jeżeli zastosowanie zwłoki czasowej jest konieczne do prawidłowego działania tego przekaźnika;</w:t>
      </w:r>
    </w:p>
    <w:p w14:paraId="16CF5EC6" w14:textId="77777777" w:rsidR="00947BEF" w:rsidRPr="006F232A" w:rsidRDefault="00947BEF">
      <w:pPr>
        <w:pStyle w:val="Akapitzlist"/>
        <w:widowControl w:val="0"/>
        <w:numPr>
          <w:ilvl w:val="0"/>
          <w:numId w:val="340"/>
        </w:numPr>
        <w:tabs>
          <w:tab w:val="left" w:pos="1276"/>
          <w:tab w:val="left" w:pos="2893"/>
        </w:tabs>
        <w:autoSpaceDE w:val="0"/>
        <w:autoSpaceDN w:val="0"/>
        <w:spacing w:before="2" w:line="271" w:lineRule="auto"/>
        <w:ind w:left="1701" w:right="60" w:hanging="425"/>
        <w:jc w:val="both"/>
        <w:rPr>
          <w:rFonts w:cs="Times New Roman"/>
          <w:color w:val="000000" w:themeColor="text1"/>
          <w:szCs w:val="24"/>
        </w:rPr>
      </w:pPr>
      <w:r w:rsidRPr="006F232A">
        <w:rPr>
          <w:rFonts w:cs="Times New Roman"/>
          <w:color w:val="000000" w:themeColor="text1"/>
          <w:w w:val="105"/>
          <w:szCs w:val="24"/>
        </w:rPr>
        <w:t>zapewniać dotrzymanie czasu własnego przekaźnika na poziomie nie większym niż 100 ms;</w:t>
      </w:r>
    </w:p>
    <w:p w14:paraId="2C73A0D5" w14:textId="77777777" w:rsidR="00947BEF" w:rsidRPr="006F232A" w:rsidRDefault="00947BEF">
      <w:pPr>
        <w:pStyle w:val="Akapitzlist"/>
        <w:widowControl w:val="0"/>
        <w:numPr>
          <w:ilvl w:val="0"/>
          <w:numId w:val="340"/>
        </w:numPr>
        <w:tabs>
          <w:tab w:val="left" w:pos="1276"/>
          <w:tab w:val="left" w:pos="2893"/>
        </w:tabs>
        <w:autoSpaceDE w:val="0"/>
        <w:autoSpaceDN w:val="0"/>
        <w:spacing w:line="229" w:lineRule="exact"/>
        <w:ind w:left="1701" w:right="60" w:hanging="425"/>
        <w:jc w:val="both"/>
        <w:rPr>
          <w:rFonts w:cs="Times New Roman"/>
          <w:color w:val="000000" w:themeColor="text1"/>
          <w:szCs w:val="24"/>
        </w:rPr>
      </w:pPr>
      <w:r w:rsidRPr="006F232A">
        <w:rPr>
          <w:rFonts w:cs="Times New Roman"/>
          <w:color w:val="000000" w:themeColor="text1"/>
          <w:w w:val="105"/>
          <w:szCs w:val="24"/>
        </w:rPr>
        <w:t>zapewniać poprawną pracę w zakresie od 0,5 do 1,1</w:t>
      </w:r>
      <w:r w:rsidRPr="006F232A">
        <w:rPr>
          <w:rFonts w:cs="Times New Roman"/>
          <w:color w:val="000000" w:themeColor="text1"/>
          <w:spacing w:val="24"/>
          <w:w w:val="105"/>
          <w:szCs w:val="24"/>
        </w:rPr>
        <w:t xml:space="preserve"> </w:t>
      </w:r>
      <w:r w:rsidRPr="006F232A">
        <w:rPr>
          <w:rFonts w:cs="Times New Roman"/>
          <w:color w:val="000000" w:themeColor="text1"/>
          <w:w w:val="105"/>
          <w:szCs w:val="24"/>
        </w:rPr>
        <w:t>Un;</w:t>
      </w:r>
    </w:p>
    <w:p w14:paraId="6AEDC91E" w14:textId="00147021" w:rsidR="00947BEF" w:rsidRPr="006F232A" w:rsidRDefault="00947BEF">
      <w:pPr>
        <w:pStyle w:val="Akapitzlist"/>
        <w:widowControl w:val="0"/>
        <w:numPr>
          <w:ilvl w:val="0"/>
          <w:numId w:val="340"/>
        </w:numPr>
        <w:tabs>
          <w:tab w:val="left" w:pos="1276"/>
          <w:tab w:val="left" w:pos="2893"/>
        </w:tabs>
        <w:autoSpaceDE w:val="0"/>
        <w:autoSpaceDN w:val="0"/>
        <w:spacing w:before="34"/>
        <w:ind w:left="1701" w:right="60" w:hanging="425"/>
        <w:jc w:val="both"/>
        <w:rPr>
          <w:rFonts w:cs="Times New Roman"/>
          <w:color w:val="000000" w:themeColor="text1"/>
          <w:szCs w:val="24"/>
        </w:rPr>
      </w:pPr>
      <w:r w:rsidRPr="006F232A">
        <w:rPr>
          <w:rFonts w:cs="Times New Roman"/>
          <w:color w:val="000000" w:themeColor="text1"/>
          <w:w w:val="105"/>
          <w:szCs w:val="24"/>
        </w:rPr>
        <w:t xml:space="preserve">zapewniać dokładność pomiaru częstotliwości nie mniejszą niż </w:t>
      </w:r>
      <w:r w:rsidRPr="006F232A">
        <w:rPr>
          <w:rFonts w:cs="Times New Roman"/>
          <w:color w:val="000000" w:themeColor="text1"/>
          <w:spacing w:val="5"/>
          <w:w w:val="105"/>
          <w:szCs w:val="24"/>
        </w:rPr>
        <w:t>1</w:t>
      </w:r>
      <w:r w:rsidR="00DE0E5B">
        <w:rPr>
          <w:rFonts w:cs="Times New Roman"/>
          <w:color w:val="000000" w:themeColor="text1"/>
          <w:spacing w:val="5"/>
          <w:w w:val="105"/>
          <w:szCs w:val="24"/>
        </w:rPr>
        <w:t xml:space="preserve">0 </w:t>
      </w:r>
      <w:r w:rsidRPr="006F232A">
        <w:rPr>
          <w:rFonts w:cs="Times New Roman"/>
          <w:color w:val="000000" w:themeColor="text1"/>
          <w:spacing w:val="3"/>
          <w:w w:val="105"/>
          <w:szCs w:val="24"/>
        </w:rPr>
        <w:t>mHz;</w:t>
      </w:r>
    </w:p>
    <w:p w14:paraId="3F497783" w14:textId="77777777" w:rsidR="00947BEF" w:rsidRPr="006F232A" w:rsidRDefault="00947BEF">
      <w:pPr>
        <w:pStyle w:val="Akapitzlist"/>
        <w:widowControl w:val="0"/>
        <w:numPr>
          <w:ilvl w:val="0"/>
          <w:numId w:val="340"/>
        </w:numPr>
        <w:tabs>
          <w:tab w:val="left" w:pos="1276"/>
          <w:tab w:val="left" w:pos="2898"/>
        </w:tabs>
        <w:autoSpaceDE w:val="0"/>
        <w:autoSpaceDN w:val="0"/>
        <w:spacing w:before="34" w:line="273" w:lineRule="auto"/>
        <w:ind w:left="1701" w:right="60" w:hanging="425"/>
        <w:jc w:val="both"/>
        <w:rPr>
          <w:rFonts w:cs="Times New Roman"/>
          <w:color w:val="000000" w:themeColor="text1"/>
          <w:szCs w:val="24"/>
        </w:rPr>
      </w:pPr>
      <w:r w:rsidRPr="006F232A">
        <w:rPr>
          <w:rFonts w:cs="Times New Roman"/>
          <w:color w:val="000000" w:themeColor="text1"/>
          <w:w w:val="105"/>
          <w:szCs w:val="24"/>
        </w:rPr>
        <w:t>zapewniać identyfikację kierunku przepływu mocy czynnej i mieć możliwość nastawiania lub blokowania jego zadziałania w zależności od nastawionego kierunku przepływu mocy czynnej w miejscu instalacji</w:t>
      </w:r>
      <w:r w:rsidRPr="006F232A">
        <w:rPr>
          <w:rFonts w:cs="Times New Roman"/>
          <w:color w:val="000000" w:themeColor="text1"/>
          <w:spacing w:val="11"/>
          <w:w w:val="105"/>
          <w:szCs w:val="24"/>
        </w:rPr>
        <w:t xml:space="preserve"> </w:t>
      </w:r>
      <w:r w:rsidRPr="006F232A">
        <w:rPr>
          <w:rFonts w:cs="Times New Roman"/>
          <w:color w:val="000000" w:themeColor="text1"/>
          <w:w w:val="105"/>
          <w:szCs w:val="24"/>
        </w:rPr>
        <w:t>wyłącznika;</w:t>
      </w:r>
    </w:p>
    <w:p w14:paraId="723C5E78" w14:textId="466D68C6" w:rsidR="00B51C5E" w:rsidRPr="006F232A" w:rsidRDefault="00947BEF">
      <w:pPr>
        <w:pStyle w:val="Akapitzlist"/>
        <w:numPr>
          <w:ilvl w:val="0"/>
          <w:numId w:val="340"/>
        </w:numPr>
        <w:tabs>
          <w:tab w:val="left" w:pos="1276"/>
        </w:tabs>
        <w:spacing w:before="90" w:line="268" w:lineRule="auto"/>
        <w:ind w:left="1701" w:right="60" w:hanging="425"/>
        <w:jc w:val="both"/>
        <w:rPr>
          <w:rFonts w:cs="Times New Roman"/>
          <w:color w:val="000000" w:themeColor="text1"/>
          <w:w w:val="105"/>
          <w:szCs w:val="24"/>
        </w:rPr>
      </w:pPr>
      <w:r w:rsidRPr="006F232A">
        <w:rPr>
          <w:rFonts w:cs="Times New Roman"/>
          <w:color w:val="000000" w:themeColor="text1"/>
          <w:w w:val="105"/>
          <w:szCs w:val="24"/>
        </w:rPr>
        <w:t>zapewniać możliwość zastosowania blokady napięciowej przy obniżonej amplitudzie napięcia poniżej wartości zadanej, przy czym aktywacja zdolności następuje w uzgodnionych z OSP</w:t>
      </w:r>
      <w:r w:rsidRPr="006F232A">
        <w:rPr>
          <w:rFonts w:cs="Times New Roman"/>
          <w:color w:val="000000" w:themeColor="text1"/>
          <w:spacing w:val="-12"/>
          <w:w w:val="105"/>
          <w:szCs w:val="24"/>
        </w:rPr>
        <w:t xml:space="preserve"> </w:t>
      </w:r>
      <w:r w:rsidRPr="006F232A">
        <w:rPr>
          <w:rFonts w:cs="Times New Roman"/>
          <w:color w:val="000000" w:themeColor="text1"/>
          <w:w w:val="105"/>
          <w:szCs w:val="24"/>
        </w:rPr>
        <w:t>przypadkach.</w:t>
      </w:r>
    </w:p>
    <w:p w14:paraId="2EB96DDF" w14:textId="3B3FF75F" w:rsidR="00947BEF" w:rsidRPr="00444077" w:rsidRDefault="00947BEF">
      <w:pPr>
        <w:pStyle w:val="Akapitzlist"/>
        <w:widowControl w:val="0"/>
        <w:numPr>
          <w:ilvl w:val="2"/>
          <w:numId w:val="336"/>
        </w:numPr>
        <w:autoSpaceDE w:val="0"/>
        <w:autoSpaceDN w:val="0"/>
        <w:spacing w:before="94" w:line="271" w:lineRule="auto"/>
        <w:ind w:left="1276" w:right="60" w:hanging="1276"/>
        <w:jc w:val="both"/>
        <w:rPr>
          <w:rFonts w:cs="Times New Roman"/>
          <w:color w:val="000000" w:themeColor="text1"/>
          <w:szCs w:val="24"/>
        </w:rPr>
      </w:pPr>
      <w:r w:rsidRPr="00444077">
        <w:rPr>
          <w:rFonts w:cs="Times New Roman"/>
          <w:color w:val="000000" w:themeColor="text1"/>
          <w:w w:val="105"/>
          <w:szCs w:val="24"/>
        </w:rPr>
        <w:t xml:space="preserve">Testy układu SCO przeprowadzane są przez jego właściciela co najmniej raz na pięć lat lub w terminie jednego roku od modernizacji tego układu, uwzględniając wymagania techniczne określone w pkt IV.3.5.5. i IV.3.5.6. oraz zgodnie </w:t>
      </w:r>
      <w:r w:rsidR="007A4E41">
        <w:rPr>
          <w:rFonts w:cs="Times New Roman"/>
          <w:color w:val="000000" w:themeColor="text1"/>
          <w:w w:val="105"/>
          <w:szCs w:val="24"/>
        </w:rPr>
        <w:t xml:space="preserve">z </w:t>
      </w:r>
      <w:r w:rsidRPr="00444077">
        <w:rPr>
          <w:rFonts w:cs="Times New Roman"/>
          <w:color w:val="000000" w:themeColor="text1"/>
          <w:w w:val="105"/>
          <w:szCs w:val="24"/>
        </w:rPr>
        <w:t>TCM opracowanym na podstawie NC</w:t>
      </w:r>
      <w:r w:rsidRPr="00444077">
        <w:rPr>
          <w:rFonts w:cs="Times New Roman"/>
          <w:color w:val="000000" w:themeColor="text1"/>
          <w:spacing w:val="-9"/>
          <w:w w:val="105"/>
          <w:szCs w:val="24"/>
        </w:rPr>
        <w:t xml:space="preserve"> </w:t>
      </w:r>
      <w:r w:rsidRPr="00444077">
        <w:rPr>
          <w:rFonts w:cs="Times New Roman"/>
          <w:color w:val="000000" w:themeColor="text1"/>
          <w:w w:val="105"/>
          <w:szCs w:val="24"/>
        </w:rPr>
        <w:t>ER.</w:t>
      </w:r>
    </w:p>
    <w:p w14:paraId="2C57E7E0" w14:textId="77777777" w:rsidR="001D66F6" w:rsidRPr="00444077" w:rsidRDefault="001D66F6">
      <w:pPr>
        <w:pStyle w:val="Akapitzlist"/>
        <w:widowControl w:val="0"/>
        <w:numPr>
          <w:ilvl w:val="2"/>
          <w:numId w:val="336"/>
        </w:numPr>
        <w:autoSpaceDE w:val="0"/>
        <w:autoSpaceDN w:val="0"/>
        <w:spacing w:before="97" w:line="264" w:lineRule="auto"/>
        <w:ind w:left="1276" w:right="60" w:hanging="1276"/>
        <w:jc w:val="both"/>
        <w:rPr>
          <w:rFonts w:cs="Times New Roman"/>
          <w:color w:val="000000" w:themeColor="text1"/>
          <w:szCs w:val="24"/>
        </w:rPr>
      </w:pPr>
      <w:r w:rsidRPr="00444077">
        <w:rPr>
          <w:rFonts w:cs="Times New Roman"/>
          <w:color w:val="000000" w:themeColor="text1"/>
          <w:w w:val="105"/>
          <w:szCs w:val="24"/>
        </w:rPr>
        <w:t>OSP, w terminie do dnia 31 marca każdego roku, przekazuje wartości mocy czynnej wyłączanej przez układy</w:t>
      </w:r>
      <w:r w:rsidRPr="00444077">
        <w:rPr>
          <w:rFonts w:cs="Times New Roman"/>
          <w:color w:val="000000" w:themeColor="text1"/>
          <w:spacing w:val="-10"/>
          <w:w w:val="105"/>
          <w:szCs w:val="24"/>
        </w:rPr>
        <w:t xml:space="preserve"> </w:t>
      </w:r>
      <w:r w:rsidRPr="00444077">
        <w:rPr>
          <w:rFonts w:cs="Times New Roman"/>
          <w:color w:val="000000" w:themeColor="text1"/>
          <w:w w:val="105"/>
          <w:szCs w:val="24"/>
        </w:rPr>
        <w:t>SCO:</w:t>
      </w:r>
    </w:p>
    <w:p w14:paraId="43674B6D" w14:textId="77777777" w:rsidR="001D66F6" w:rsidRPr="00444077" w:rsidRDefault="001D66F6">
      <w:pPr>
        <w:pStyle w:val="Akapitzlist"/>
        <w:widowControl w:val="0"/>
        <w:numPr>
          <w:ilvl w:val="0"/>
          <w:numId w:val="337"/>
        </w:numPr>
        <w:autoSpaceDE w:val="0"/>
        <w:autoSpaceDN w:val="0"/>
        <w:spacing w:before="127"/>
        <w:ind w:left="1701" w:right="60" w:hanging="425"/>
        <w:jc w:val="both"/>
        <w:rPr>
          <w:rFonts w:cs="Times New Roman"/>
          <w:color w:val="000000" w:themeColor="text1"/>
          <w:szCs w:val="24"/>
        </w:rPr>
      </w:pPr>
      <w:r w:rsidRPr="00444077">
        <w:rPr>
          <w:rFonts w:cs="Times New Roman"/>
          <w:color w:val="000000" w:themeColor="text1"/>
          <w:w w:val="105"/>
          <w:szCs w:val="24"/>
        </w:rPr>
        <w:t>odbiorcom przyłączonym do sieci</w:t>
      </w:r>
      <w:r w:rsidRPr="00444077">
        <w:rPr>
          <w:rFonts w:cs="Times New Roman"/>
          <w:color w:val="000000" w:themeColor="text1"/>
          <w:spacing w:val="15"/>
          <w:w w:val="105"/>
          <w:szCs w:val="24"/>
        </w:rPr>
        <w:t xml:space="preserve"> </w:t>
      </w:r>
      <w:r w:rsidRPr="00444077">
        <w:rPr>
          <w:rFonts w:cs="Times New Roman"/>
          <w:color w:val="000000" w:themeColor="text1"/>
          <w:w w:val="105"/>
          <w:szCs w:val="24"/>
        </w:rPr>
        <w:t>przesyłowej;</w:t>
      </w:r>
    </w:p>
    <w:p w14:paraId="6CC56046" w14:textId="6274FFEE" w:rsidR="001D66F6" w:rsidRPr="00444077" w:rsidRDefault="008857A6">
      <w:pPr>
        <w:pStyle w:val="Akapitzlist"/>
        <w:widowControl w:val="0"/>
        <w:numPr>
          <w:ilvl w:val="0"/>
          <w:numId w:val="337"/>
        </w:numPr>
        <w:autoSpaceDE w:val="0"/>
        <w:autoSpaceDN w:val="0"/>
        <w:spacing w:before="29"/>
        <w:ind w:left="1701" w:right="60" w:hanging="425"/>
        <w:jc w:val="both"/>
        <w:rPr>
          <w:rFonts w:cs="Times New Roman"/>
          <w:color w:val="000000" w:themeColor="text1"/>
          <w:szCs w:val="24"/>
        </w:rPr>
      </w:pPr>
      <w:r>
        <w:rPr>
          <w:rFonts w:cs="Times New Roman"/>
          <w:color w:val="000000" w:themeColor="text1"/>
          <w:w w:val="105"/>
          <w:szCs w:val="24"/>
        </w:rPr>
        <w:t>OSDp</w:t>
      </w:r>
      <w:r w:rsidR="001D66F6" w:rsidRPr="00444077">
        <w:rPr>
          <w:rFonts w:cs="Times New Roman"/>
          <w:color w:val="000000" w:themeColor="text1"/>
          <w:w w:val="105"/>
          <w:szCs w:val="24"/>
        </w:rPr>
        <w:t>.</w:t>
      </w:r>
    </w:p>
    <w:p w14:paraId="6B0B48CD" w14:textId="176F5584" w:rsidR="001D66F6" w:rsidRPr="00444077" w:rsidRDefault="001D66F6" w:rsidP="00BD226D">
      <w:pPr>
        <w:spacing w:before="150" w:line="273" w:lineRule="auto"/>
        <w:ind w:left="1276" w:right="60"/>
        <w:jc w:val="both"/>
        <w:rPr>
          <w:rFonts w:cs="Times New Roman"/>
          <w:color w:val="000000" w:themeColor="text1"/>
          <w:w w:val="105"/>
          <w:szCs w:val="24"/>
        </w:rPr>
      </w:pPr>
      <w:r w:rsidRPr="00444077">
        <w:rPr>
          <w:rFonts w:cs="Times New Roman"/>
          <w:color w:val="000000" w:themeColor="text1"/>
          <w:w w:val="105"/>
          <w:szCs w:val="24"/>
        </w:rPr>
        <w:t xml:space="preserve">Wartości   mocy   czynnej    wyłączanej    przez   układy    SCO   są   wyznaczane    zgodnie z załącznikiem do NC </w:t>
      </w:r>
      <w:r w:rsidRPr="00444077">
        <w:rPr>
          <w:rFonts w:cs="Times New Roman"/>
          <w:color w:val="000000" w:themeColor="text1"/>
          <w:spacing w:val="-6"/>
          <w:w w:val="105"/>
          <w:szCs w:val="24"/>
        </w:rPr>
        <w:t xml:space="preserve">ER, </w:t>
      </w:r>
      <w:r w:rsidRPr="00444077">
        <w:rPr>
          <w:rFonts w:cs="Times New Roman"/>
          <w:color w:val="000000" w:themeColor="text1"/>
          <w:w w:val="105"/>
          <w:szCs w:val="24"/>
        </w:rPr>
        <w:t>dla poszczególnych stopni SCO (poziomów obowiązkowego odłączenia odbioru przy niskiej częstotliwości w rozumieniu NC ER) w odniesieniu do zapotrzebowania netto KSE.</w:t>
      </w:r>
    </w:p>
    <w:p w14:paraId="777AF81A" w14:textId="77777777" w:rsidR="001D66F6" w:rsidRPr="00444077" w:rsidRDefault="001D66F6" w:rsidP="00BD226D">
      <w:pPr>
        <w:pStyle w:val="Tekstpodstawowy"/>
        <w:spacing w:before="92" w:line="261" w:lineRule="auto"/>
        <w:ind w:left="1276" w:right="60"/>
        <w:rPr>
          <w:color w:val="000000" w:themeColor="text1"/>
          <w:szCs w:val="24"/>
        </w:rPr>
      </w:pPr>
      <w:r w:rsidRPr="00444077">
        <w:rPr>
          <w:color w:val="000000" w:themeColor="text1"/>
          <w:szCs w:val="24"/>
        </w:rPr>
        <w:t>Przez zapotrzebowanie netto KSE rozumie się sumę generacji mocy czynnej jednostek wytwórczych na obszarze działania OSP (w tym generację mocy czynnej autoproducentów), powiększoną o</w:t>
      </w:r>
      <w:r w:rsidRPr="00444077">
        <w:rPr>
          <w:color w:val="000000" w:themeColor="text1"/>
          <w:spacing w:val="-17"/>
          <w:szCs w:val="24"/>
        </w:rPr>
        <w:t xml:space="preserve"> </w:t>
      </w:r>
      <w:r w:rsidRPr="00444077">
        <w:rPr>
          <w:color w:val="000000" w:themeColor="text1"/>
          <w:szCs w:val="24"/>
        </w:rPr>
        <w:t>wartość</w:t>
      </w:r>
      <w:r w:rsidRPr="00444077">
        <w:rPr>
          <w:color w:val="000000" w:themeColor="text1"/>
          <w:spacing w:val="-4"/>
          <w:szCs w:val="24"/>
        </w:rPr>
        <w:t xml:space="preserve"> </w:t>
      </w:r>
      <w:r w:rsidRPr="00444077">
        <w:rPr>
          <w:color w:val="000000" w:themeColor="text1"/>
          <w:szCs w:val="24"/>
        </w:rPr>
        <w:t>importu</w:t>
      </w:r>
      <w:r w:rsidRPr="00444077">
        <w:rPr>
          <w:color w:val="000000" w:themeColor="text1"/>
          <w:spacing w:val="-5"/>
          <w:szCs w:val="24"/>
        </w:rPr>
        <w:t xml:space="preserve"> </w:t>
      </w:r>
      <w:r w:rsidRPr="00444077">
        <w:rPr>
          <w:color w:val="000000" w:themeColor="text1"/>
          <w:szCs w:val="24"/>
        </w:rPr>
        <w:t>oraz</w:t>
      </w:r>
      <w:r w:rsidRPr="00444077">
        <w:rPr>
          <w:color w:val="000000" w:themeColor="text1"/>
          <w:spacing w:val="-12"/>
          <w:szCs w:val="24"/>
        </w:rPr>
        <w:t xml:space="preserve"> </w:t>
      </w:r>
      <w:r w:rsidRPr="00444077">
        <w:rPr>
          <w:color w:val="000000" w:themeColor="text1"/>
          <w:szCs w:val="24"/>
        </w:rPr>
        <w:t>pomniejszoną</w:t>
      </w:r>
      <w:r w:rsidRPr="00444077">
        <w:rPr>
          <w:color w:val="000000" w:themeColor="text1"/>
          <w:spacing w:val="-10"/>
          <w:szCs w:val="24"/>
        </w:rPr>
        <w:t xml:space="preserve"> </w:t>
      </w:r>
      <w:r w:rsidRPr="00444077">
        <w:rPr>
          <w:color w:val="000000" w:themeColor="text1"/>
          <w:szCs w:val="24"/>
        </w:rPr>
        <w:t>o</w:t>
      </w:r>
      <w:r w:rsidRPr="00444077">
        <w:rPr>
          <w:color w:val="000000" w:themeColor="text1"/>
          <w:spacing w:val="-21"/>
          <w:szCs w:val="24"/>
        </w:rPr>
        <w:t xml:space="preserve"> </w:t>
      </w:r>
      <w:r w:rsidRPr="00444077">
        <w:rPr>
          <w:color w:val="000000" w:themeColor="text1"/>
          <w:szCs w:val="24"/>
        </w:rPr>
        <w:t>wartość</w:t>
      </w:r>
      <w:r w:rsidRPr="00444077">
        <w:rPr>
          <w:color w:val="000000" w:themeColor="text1"/>
          <w:spacing w:val="-8"/>
          <w:szCs w:val="24"/>
        </w:rPr>
        <w:t xml:space="preserve"> </w:t>
      </w:r>
      <w:r w:rsidRPr="00444077">
        <w:rPr>
          <w:color w:val="000000" w:themeColor="text1"/>
          <w:szCs w:val="24"/>
        </w:rPr>
        <w:t>eksportu,</w:t>
      </w:r>
      <w:r w:rsidRPr="00444077">
        <w:rPr>
          <w:color w:val="000000" w:themeColor="text1"/>
          <w:spacing w:val="-6"/>
          <w:szCs w:val="24"/>
        </w:rPr>
        <w:t xml:space="preserve"> </w:t>
      </w:r>
      <w:r w:rsidRPr="00444077">
        <w:rPr>
          <w:color w:val="000000" w:themeColor="text1"/>
          <w:szCs w:val="24"/>
        </w:rPr>
        <w:t>mocy</w:t>
      </w:r>
      <w:r w:rsidRPr="00444077">
        <w:rPr>
          <w:color w:val="000000" w:themeColor="text1"/>
          <w:spacing w:val="-1"/>
          <w:szCs w:val="24"/>
        </w:rPr>
        <w:t xml:space="preserve"> </w:t>
      </w:r>
      <w:r w:rsidRPr="00444077">
        <w:rPr>
          <w:color w:val="000000" w:themeColor="text1"/>
          <w:szCs w:val="24"/>
        </w:rPr>
        <w:t>pobieranej</w:t>
      </w:r>
      <w:r w:rsidRPr="00444077">
        <w:rPr>
          <w:color w:val="000000" w:themeColor="text1"/>
          <w:spacing w:val="-1"/>
          <w:szCs w:val="24"/>
        </w:rPr>
        <w:t xml:space="preserve"> </w:t>
      </w:r>
      <w:r w:rsidRPr="00444077">
        <w:rPr>
          <w:color w:val="000000" w:themeColor="text1"/>
          <w:szCs w:val="24"/>
        </w:rPr>
        <w:t>przez magazyny energii elektrycznej i mocy pobieranej przez elektrownie szczytowo - pompowe, przy czym wielkość ta nie obejmuje mocy potrzeb własnych jednostek wytwórczych oraz potrzeb ogólnych</w:t>
      </w:r>
      <w:r w:rsidRPr="00444077">
        <w:rPr>
          <w:color w:val="000000" w:themeColor="text1"/>
          <w:spacing w:val="24"/>
          <w:szCs w:val="24"/>
        </w:rPr>
        <w:t xml:space="preserve"> </w:t>
      </w:r>
      <w:r w:rsidRPr="00444077">
        <w:rPr>
          <w:color w:val="000000" w:themeColor="text1"/>
          <w:szCs w:val="24"/>
        </w:rPr>
        <w:t>elektrowni.</w:t>
      </w:r>
    </w:p>
    <w:p w14:paraId="73C782B6" w14:textId="721C9BE6" w:rsidR="001D66F6" w:rsidRPr="00444077" w:rsidRDefault="0059665C">
      <w:pPr>
        <w:pStyle w:val="Tekstpodstawowy"/>
        <w:numPr>
          <w:ilvl w:val="2"/>
          <w:numId w:val="336"/>
        </w:numPr>
        <w:spacing w:before="112" w:line="259" w:lineRule="auto"/>
        <w:ind w:left="1276" w:right="60" w:hanging="1276"/>
        <w:rPr>
          <w:color w:val="000000" w:themeColor="text1"/>
          <w:szCs w:val="24"/>
        </w:rPr>
      </w:pPr>
      <w:r>
        <w:rPr>
          <w:color w:val="000000" w:themeColor="text1"/>
          <w:szCs w:val="24"/>
          <w:lang w:val="pl-PL"/>
        </w:rPr>
        <w:lastRenderedPageBreak/>
        <w:t xml:space="preserve">OSDp </w:t>
      </w:r>
      <w:r w:rsidR="001D66F6" w:rsidRPr="00444077">
        <w:rPr>
          <w:color w:val="000000" w:themeColor="text1"/>
          <w:szCs w:val="24"/>
        </w:rPr>
        <w:t xml:space="preserve">  na podstawie danych przekazanych przez OSP, o których mowa w pkt IV.3.5.8., wyznacza wartości mocy czynnej wyłączanej przez układy SCO na swoim obszarze działania, uwzględniając:</w:t>
      </w:r>
    </w:p>
    <w:p w14:paraId="47EE7681" w14:textId="3A2487D8" w:rsidR="001D66F6" w:rsidRPr="00444077" w:rsidRDefault="001D66F6">
      <w:pPr>
        <w:pStyle w:val="Akapitzlist"/>
        <w:widowControl w:val="0"/>
        <w:numPr>
          <w:ilvl w:val="1"/>
          <w:numId w:val="47"/>
        </w:numPr>
        <w:autoSpaceDE w:val="0"/>
        <w:autoSpaceDN w:val="0"/>
        <w:spacing w:before="116" w:line="266" w:lineRule="auto"/>
        <w:ind w:left="1560" w:right="60" w:hanging="284"/>
        <w:jc w:val="both"/>
        <w:rPr>
          <w:rFonts w:cs="Times New Roman"/>
          <w:color w:val="000000" w:themeColor="text1"/>
          <w:szCs w:val="24"/>
        </w:rPr>
      </w:pPr>
      <w:r w:rsidRPr="00444077">
        <w:rPr>
          <w:rFonts w:cs="Times New Roman"/>
          <w:color w:val="000000" w:themeColor="text1"/>
          <w:szCs w:val="24"/>
        </w:rPr>
        <w:t xml:space="preserve">odbiorców, o których mowa w pkt IV.3.5.2. przyłączonych do sieci </w:t>
      </w:r>
      <w:r w:rsidR="0059665C">
        <w:rPr>
          <w:rFonts w:cs="Times New Roman"/>
          <w:color w:val="000000" w:themeColor="text1"/>
          <w:szCs w:val="24"/>
        </w:rPr>
        <w:t>OSDp</w:t>
      </w:r>
      <w:r w:rsidRPr="00444077">
        <w:rPr>
          <w:rFonts w:cs="Times New Roman"/>
          <w:color w:val="000000" w:themeColor="text1"/>
          <w:szCs w:val="24"/>
        </w:rPr>
        <w:t>;</w:t>
      </w:r>
    </w:p>
    <w:p w14:paraId="22450C68" w14:textId="65C270D3" w:rsidR="001D66F6" w:rsidRPr="00444077" w:rsidRDefault="001D66F6">
      <w:pPr>
        <w:pStyle w:val="Akapitzlist"/>
        <w:widowControl w:val="0"/>
        <w:numPr>
          <w:ilvl w:val="1"/>
          <w:numId w:val="47"/>
        </w:numPr>
        <w:autoSpaceDE w:val="0"/>
        <w:autoSpaceDN w:val="0"/>
        <w:spacing w:line="234" w:lineRule="exact"/>
        <w:ind w:left="1560" w:right="60" w:hanging="284"/>
        <w:jc w:val="both"/>
        <w:rPr>
          <w:rFonts w:cs="Times New Roman"/>
          <w:color w:val="000000" w:themeColor="text1"/>
          <w:szCs w:val="24"/>
        </w:rPr>
      </w:pPr>
      <w:r w:rsidRPr="00444077">
        <w:rPr>
          <w:rFonts w:cs="Times New Roman"/>
          <w:color w:val="000000" w:themeColor="text1"/>
          <w:szCs w:val="24"/>
        </w:rPr>
        <w:t>OSDn przyłączon</w:t>
      </w:r>
      <w:r w:rsidR="00082DB6">
        <w:rPr>
          <w:rFonts w:cs="Times New Roman"/>
          <w:color w:val="000000" w:themeColor="text1"/>
          <w:szCs w:val="24"/>
        </w:rPr>
        <w:t>ego</w:t>
      </w:r>
      <w:r w:rsidRPr="00444077">
        <w:rPr>
          <w:rFonts w:cs="Times New Roman"/>
          <w:color w:val="000000" w:themeColor="text1"/>
          <w:szCs w:val="24"/>
        </w:rPr>
        <w:t xml:space="preserve"> do sieci </w:t>
      </w:r>
      <w:r w:rsidR="00CE4581">
        <w:rPr>
          <w:rFonts w:cs="Times New Roman"/>
          <w:color w:val="000000" w:themeColor="text1"/>
          <w:szCs w:val="24"/>
        </w:rPr>
        <w:t>OSDp</w:t>
      </w:r>
      <w:r w:rsidRPr="00444077">
        <w:rPr>
          <w:rFonts w:cs="Times New Roman"/>
          <w:color w:val="000000" w:themeColor="text1"/>
          <w:szCs w:val="24"/>
        </w:rPr>
        <w:t>.</w:t>
      </w:r>
    </w:p>
    <w:p w14:paraId="060C6215" w14:textId="3A707A09" w:rsidR="00C8527D" w:rsidRPr="00444077" w:rsidRDefault="00262747">
      <w:pPr>
        <w:pStyle w:val="Tekstpodstawowy"/>
        <w:numPr>
          <w:ilvl w:val="2"/>
          <w:numId w:val="338"/>
        </w:numPr>
        <w:spacing w:before="139" w:line="256" w:lineRule="auto"/>
        <w:ind w:left="1276" w:right="60" w:hanging="1276"/>
        <w:rPr>
          <w:color w:val="000000" w:themeColor="text1"/>
          <w:szCs w:val="24"/>
        </w:rPr>
      </w:pPr>
      <w:r>
        <w:rPr>
          <w:color w:val="000000" w:themeColor="text1"/>
          <w:szCs w:val="24"/>
          <w:lang w:val="pl-PL"/>
        </w:rPr>
        <w:t>OSD</w:t>
      </w:r>
      <w:r w:rsidR="004F4964">
        <w:rPr>
          <w:color w:val="000000" w:themeColor="text1"/>
          <w:szCs w:val="24"/>
          <w:lang w:val="pl-PL"/>
        </w:rPr>
        <w:t xml:space="preserve"> inny niż OSDp</w:t>
      </w:r>
      <w:r>
        <w:rPr>
          <w:color w:val="000000" w:themeColor="text1"/>
          <w:szCs w:val="24"/>
          <w:lang w:val="pl-PL"/>
        </w:rPr>
        <w:t xml:space="preserve"> i </w:t>
      </w:r>
      <w:r w:rsidR="00C8527D" w:rsidRPr="00444077">
        <w:rPr>
          <w:color w:val="000000" w:themeColor="text1"/>
          <w:szCs w:val="24"/>
          <w:lang w:val="pl-PL"/>
        </w:rPr>
        <w:t>O</w:t>
      </w:r>
      <w:r w:rsidR="00835239">
        <w:rPr>
          <w:color w:val="000000" w:themeColor="text1"/>
          <w:szCs w:val="24"/>
          <w:lang w:val="pl-PL"/>
        </w:rPr>
        <w:t>dbiorca</w:t>
      </w:r>
      <w:r w:rsidR="00C8527D" w:rsidRPr="00444077">
        <w:rPr>
          <w:color w:val="000000" w:themeColor="text1"/>
          <w:szCs w:val="24"/>
        </w:rPr>
        <w:t>, o którym mowa w pkt IV.3.5.2,</w:t>
      </w:r>
      <w:r>
        <w:rPr>
          <w:color w:val="000000" w:themeColor="text1"/>
          <w:szCs w:val="24"/>
          <w:lang w:val="pl-PL"/>
        </w:rPr>
        <w:t xml:space="preserve"> przyłączony do sieci OSDn,</w:t>
      </w:r>
      <w:r w:rsidR="00C8527D" w:rsidRPr="00444077">
        <w:rPr>
          <w:color w:val="000000" w:themeColor="text1"/>
          <w:szCs w:val="24"/>
        </w:rPr>
        <w:t xml:space="preserve"> przekazuje </w:t>
      </w:r>
      <w:r w:rsidR="00480CE4">
        <w:rPr>
          <w:color w:val="000000" w:themeColor="text1"/>
          <w:szCs w:val="24"/>
          <w:lang w:val="pl-PL"/>
        </w:rPr>
        <w:t>OSDn</w:t>
      </w:r>
      <w:r>
        <w:rPr>
          <w:color w:val="000000" w:themeColor="text1"/>
          <w:szCs w:val="24"/>
          <w:lang w:val="pl-PL"/>
        </w:rPr>
        <w:t xml:space="preserve"> </w:t>
      </w:r>
      <w:r w:rsidR="00C8527D" w:rsidRPr="00444077">
        <w:rPr>
          <w:color w:val="000000" w:themeColor="text1"/>
          <w:szCs w:val="24"/>
        </w:rPr>
        <w:t xml:space="preserve">informacje o zainstalowanym układzie SCO </w:t>
      </w:r>
      <w:r w:rsidR="001F08F4">
        <w:rPr>
          <w:color w:val="000000" w:themeColor="text1"/>
          <w:szCs w:val="24"/>
        </w:rPr>
        <w:br/>
      </w:r>
      <w:r w:rsidR="00C8527D" w:rsidRPr="00444077">
        <w:rPr>
          <w:color w:val="000000" w:themeColor="text1"/>
          <w:szCs w:val="24"/>
        </w:rPr>
        <w:t>i wielkościach mocy czynnej wyłączanej przez ten</w:t>
      </w:r>
      <w:r w:rsidR="00C8527D" w:rsidRPr="00444077">
        <w:rPr>
          <w:color w:val="000000" w:themeColor="text1"/>
          <w:spacing w:val="44"/>
          <w:szCs w:val="24"/>
        </w:rPr>
        <w:t xml:space="preserve"> </w:t>
      </w:r>
      <w:r w:rsidR="00C8527D" w:rsidRPr="00444077">
        <w:rPr>
          <w:color w:val="000000" w:themeColor="text1"/>
          <w:szCs w:val="24"/>
        </w:rPr>
        <w:t>układ.</w:t>
      </w:r>
    </w:p>
    <w:p w14:paraId="36615340" w14:textId="1B7C45AC" w:rsidR="001F37BD" w:rsidRPr="00444077" w:rsidRDefault="005B277B">
      <w:pPr>
        <w:pStyle w:val="Tekstpodstawowy"/>
        <w:numPr>
          <w:ilvl w:val="2"/>
          <w:numId w:val="338"/>
        </w:numPr>
        <w:spacing w:before="127" w:line="259" w:lineRule="auto"/>
        <w:ind w:left="1276" w:right="60" w:hanging="1276"/>
        <w:rPr>
          <w:color w:val="000000" w:themeColor="text1"/>
          <w:szCs w:val="24"/>
        </w:rPr>
      </w:pPr>
      <w:r>
        <w:rPr>
          <w:color w:val="000000" w:themeColor="text1"/>
          <w:szCs w:val="24"/>
          <w:lang w:val="pl-PL"/>
        </w:rPr>
        <w:t xml:space="preserve">OSDn </w:t>
      </w:r>
      <w:r w:rsidR="001F37BD" w:rsidRPr="00444077">
        <w:rPr>
          <w:color w:val="000000" w:themeColor="text1"/>
          <w:szCs w:val="24"/>
        </w:rPr>
        <w:t xml:space="preserve">powinien zapewniać możliwość wyłączania przez układy SCO zainstalowane w jego sieci, uwzględniając odbiorców, o których mowa w pkt IV.3.5.3., przyłączonych do sieci </w:t>
      </w:r>
      <w:r>
        <w:rPr>
          <w:color w:val="000000" w:themeColor="text1"/>
          <w:szCs w:val="24"/>
          <w:lang w:val="pl-PL"/>
        </w:rPr>
        <w:t>OSDn</w:t>
      </w:r>
      <w:r w:rsidR="001F37BD" w:rsidRPr="00444077">
        <w:rPr>
          <w:color w:val="000000" w:themeColor="text1"/>
          <w:szCs w:val="24"/>
        </w:rPr>
        <w:t xml:space="preserve">, 45% zapotrzebowania netto </w:t>
      </w:r>
      <w:r>
        <w:rPr>
          <w:color w:val="000000" w:themeColor="text1"/>
          <w:szCs w:val="24"/>
          <w:lang w:val="pl-PL"/>
        </w:rPr>
        <w:t>OSDn</w:t>
      </w:r>
      <w:r w:rsidR="001F37BD" w:rsidRPr="00444077">
        <w:rPr>
          <w:color w:val="000000" w:themeColor="text1"/>
          <w:szCs w:val="24"/>
        </w:rPr>
        <w:t xml:space="preserve">, </w:t>
      </w:r>
      <w:r w:rsidR="002F1090">
        <w:rPr>
          <w:color w:val="000000" w:themeColor="text1"/>
          <w:szCs w:val="24"/>
        </w:rPr>
        <w:br/>
      </w:r>
      <w:r w:rsidR="001F37BD" w:rsidRPr="00444077">
        <w:rPr>
          <w:color w:val="000000" w:themeColor="text1"/>
          <w:szCs w:val="24"/>
        </w:rPr>
        <w:t>w każdej chwili czasu, zgodnie z zasadą możliwie równomiernego rozkładu mocy wyłączanej w obszarze jego sieci.</w:t>
      </w:r>
    </w:p>
    <w:p w14:paraId="4EC39983" w14:textId="67E977CA" w:rsidR="001F37BD" w:rsidRPr="00444077" w:rsidRDefault="001F37BD" w:rsidP="00C21F14">
      <w:pPr>
        <w:pStyle w:val="Tekstpodstawowy"/>
        <w:tabs>
          <w:tab w:val="clear" w:pos="4536"/>
        </w:tabs>
        <w:spacing w:before="119" w:line="259" w:lineRule="auto"/>
        <w:ind w:left="1276" w:right="60"/>
        <w:rPr>
          <w:color w:val="000000" w:themeColor="text1"/>
          <w:szCs w:val="24"/>
        </w:rPr>
      </w:pPr>
      <w:r w:rsidRPr="00444077">
        <w:rPr>
          <w:color w:val="000000" w:themeColor="text1"/>
          <w:szCs w:val="24"/>
        </w:rPr>
        <w:t xml:space="preserve">Przez zapotrzebowanie netto </w:t>
      </w:r>
      <w:r w:rsidR="00AF0BB2">
        <w:rPr>
          <w:color w:val="000000" w:themeColor="text1"/>
          <w:szCs w:val="24"/>
          <w:lang w:val="pl-PL"/>
        </w:rPr>
        <w:t>OSDn</w:t>
      </w:r>
      <w:r w:rsidRPr="00444077">
        <w:rPr>
          <w:color w:val="000000" w:themeColor="text1"/>
          <w:szCs w:val="24"/>
        </w:rPr>
        <w:t xml:space="preserve"> rozumie się sumę generacji mocy czynnej jednostek wytwórczych na obszarze działania </w:t>
      </w:r>
      <w:r w:rsidR="00DC2FA0">
        <w:rPr>
          <w:color w:val="000000" w:themeColor="text1"/>
          <w:szCs w:val="24"/>
          <w:lang w:val="pl-PL"/>
        </w:rPr>
        <w:t>OSDn</w:t>
      </w:r>
      <w:r w:rsidRPr="00444077">
        <w:rPr>
          <w:color w:val="000000" w:themeColor="text1"/>
          <w:szCs w:val="24"/>
        </w:rPr>
        <w:t xml:space="preserve"> (w tym generację mocy czynnej  autoproducentów), powiększoną  o saldo  wymiany  mocy  czynnej z OSP, uwzględniającą saldo wymiany  mocy  czynnej  z innymi  OSDp  oraz pomniejszoną o wartość mocy pobieranej przez magazyny energii elektrycznej i mocy pobieranej przez elektrownie szczytowo - pompowe, przy czym wielkość ta nie obejmuje mocy potrzeb własnych jednostek wytwórczych oraz potrzeb ogólnych</w:t>
      </w:r>
      <w:r w:rsidRPr="00444077">
        <w:rPr>
          <w:color w:val="000000" w:themeColor="text1"/>
          <w:spacing w:val="16"/>
          <w:szCs w:val="24"/>
        </w:rPr>
        <w:t xml:space="preserve"> </w:t>
      </w:r>
      <w:r w:rsidRPr="00444077">
        <w:rPr>
          <w:color w:val="000000" w:themeColor="text1"/>
          <w:szCs w:val="24"/>
        </w:rPr>
        <w:t>elektrowni.</w:t>
      </w:r>
    </w:p>
    <w:p w14:paraId="335B5DD6" w14:textId="77777777" w:rsidR="00D75E8E" w:rsidRPr="00444077" w:rsidRDefault="00D75E8E">
      <w:pPr>
        <w:pStyle w:val="Akapitzlist"/>
        <w:widowControl w:val="0"/>
        <w:numPr>
          <w:ilvl w:val="2"/>
          <w:numId w:val="339"/>
        </w:numPr>
        <w:autoSpaceDE w:val="0"/>
        <w:autoSpaceDN w:val="0"/>
        <w:spacing w:before="125" w:line="261" w:lineRule="auto"/>
        <w:ind w:left="1276" w:right="60" w:hanging="1276"/>
        <w:jc w:val="both"/>
        <w:rPr>
          <w:rFonts w:cs="Times New Roman"/>
          <w:color w:val="000000" w:themeColor="text1"/>
          <w:szCs w:val="24"/>
        </w:rPr>
      </w:pPr>
      <w:r w:rsidRPr="00444077">
        <w:rPr>
          <w:rFonts w:cs="Times New Roman"/>
          <w:color w:val="000000" w:themeColor="text1"/>
          <w:szCs w:val="24"/>
        </w:rPr>
        <w:t>Odbiorca, o którym mowa w pkt IV.3.5.2. powinien zapewnić w każdej chwili czasu, możliwość wyłączania przez układy SCO zainstalowane w jego instalacji odbiorczej, 45% mocy czynnej pobieranej z tej</w:t>
      </w:r>
      <w:r w:rsidRPr="00444077">
        <w:rPr>
          <w:rFonts w:cs="Times New Roman"/>
          <w:color w:val="000000" w:themeColor="text1"/>
          <w:spacing w:val="44"/>
          <w:szCs w:val="24"/>
        </w:rPr>
        <w:t xml:space="preserve"> </w:t>
      </w:r>
      <w:r w:rsidRPr="00444077">
        <w:rPr>
          <w:rFonts w:cs="Times New Roman"/>
          <w:color w:val="000000" w:themeColor="text1"/>
          <w:szCs w:val="24"/>
        </w:rPr>
        <w:t>sieci.</w:t>
      </w:r>
    </w:p>
    <w:p w14:paraId="11C5C90D" w14:textId="74C2722C" w:rsidR="00FA5374" w:rsidRPr="00444077" w:rsidRDefault="00FA5374">
      <w:pPr>
        <w:pStyle w:val="Akapitzlist"/>
        <w:widowControl w:val="0"/>
        <w:numPr>
          <w:ilvl w:val="2"/>
          <w:numId w:val="339"/>
        </w:numPr>
        <w:autoSpaceDE w:val="0"/>
        <w:autoSpaceDN w:val="0"/>
        <w:spacing w:before="114" w:line="261" w:lineRule="auto"/>
        <w:ind w:left="1276" w:right="60" w:hanging="1276"/>
        <w:jc w:val="both"/>
        <w:rPr>
          <w:rFonts w:cs="Times New Roman"/>
          <w:color w:val="000000" w:themeColor="text1"/>
          <w:szCs w:val="24"/>
        </w:rPr>
      </w:pPr>
      <w:r w:rsidRPr="00444077">
        <w:rPr>
          <w:rFonts w:cs="Times New Roman"/>
          <w:color w:val="000000" w:themeColor="text1"/>
          <w:szCs w:val="24"/>
        </w:rPr>
        <w:t>Postanowień pkt IV.3.5.12. nie stosuje się w odniesieniu do odbiorcy posiadającego jednostki wytwórcze, którego produkcja pokrywa co najmniej 50% jego zapotrzebowania na energię elektryczną w roku poprzedzającym obowiązek określony w pkt IV.3.5.14. W</w:t>
      </w:r>
      <w:r w:rsidRPr="00444077">
        <w:rPr>
          <w:rFonts w:cs="Times New Roman"/>
          <w:color w:val="000000" w:themeColor="text1"/>
          <w:spacing w:val="-22"/>
          <w:szCs w:val="24"/>
        </w:rPr>
        <w:t xml:space="preserve"> </w:t>
      </w:r>
      <w:r w:rsidRPr="00444077">
        <w:rPr>
          <w:rFonts w:cs="Times New Roman"/>
          <w:color w:val="000000" w:themeColor="text1"/>
          <w:szCs w:val="24"/>
        </w:rPr>
        <w:t>tym</w:t>
      </w:r>
      <w:r w:rsidRPr="00444077">
        <w:rPr>
          <w:rFonts w:cs="Times New Roman"/>
          <w:color w:val="000000" w:themeColor="text1"/>
          <w:spacing w:val="-15"/>
          <w:szCs w:val="24"/>
        </w:rPr>
        <w:t xml:space="preserve"> </w:t>
      </w:r>
      <w:r w:rsidRPr="00444077">
        <w:rPr>
          <w:rFonts w:cs="Times New Roman"/>
          <w:color w:val="000000" w:themeColor="text1"/>
          <w:szCs w:val="24"/>
        </w:rPr>
        <w:t>przypadku</w:t>
      </w:r>
      <w:r w:rsidRPr="00444077">
        <w:rPr>
          <w:rFonts w:cs="Times New Roman"/>
          <w:color w:val="000000" w:themeColor="text1"/>
          <w:spacing w:val="-1"/>
          <w:szCs w:val="24"/>
        </w:rPr>
        <w:t xml:space="preserve"> </w:t>
      </w:r>
      <w:r w:rsidRPr="00444077">
        <w:rPr>
          <w:rFonts w:cs="Times New Roman"/>
          <w:color w:val="000000" w:themeColor="text1"/>
          <w:szCs w:val="24"/>
        </w:rPr>
        <w:t>wartości</w:t>
      </w:r>
      <w:r w:rsidRPr="00444077">
        <w:rPr>
          <w:rFonts w:cs="Times New Roman"/>
          <w:color w:val="000000" w:themeColor="text1"/>
          <w:spacing w:val="-3"/>
          <w:szCs w:val="24"/>
        </w:rPr>
        <w:t xml:space="preserve"> </w:t>
      </w:r>
      <w:r w:rsidRPr="00444077">
        <w:rPr>
          <w:rFonts w:cs="Times New Roman"/>
          <w:color w:val="000000" w:themeColor="text1"/>
          <w:szCs w:val="24"/>
        </w:rPr>
        <w:t>mocy</w:t>
      </w:r>
      <w:r w:rsidRPr="00444077">
        <w:rPr>
          <w:rFonts w:cs="Times New Roman"/>
          <w:color w:val="000000" w:themeColor="text1"/>
          <w:spacing w:val="-11"/>
          <w:szCs w:val="24"/>
        </w:rPr>
        <w:t xml:space="preserve"> </w:t>
      </w:r>
      <w:r w:rsidRPr="00444077">
        <w:rPr>
          <w:rFonts w:cs="Times New Roman"/>
          <w:color w:val="000000" w:themeColor="text1"/>
          <w:szCs w:val="24"/>
        </w:rPr>
        <w:t>czynnej</w:t>
      </w:r>
      <w:r w:rsidRPr="00444077">
        <w:rPr>
          <w:rFonts w:cs="Times New Roman"/>
          <w:color w:val="000000" w:themeColor="text1"/>
          <w:spacing w:val="-7"/>
          <w:szCs w:val="24"/>
        </w:rPr>
        <w:t xml:space="preserve"> </w:t>
      </w:r>
      <w:r w:rsidRPr="00444077">
        <w:rPr>
          <w:rFonts w:cs="Times New Roman"/>
          <w:color w:val="000000" w:themeColor="text1"/>
          <w:szCs w:val="24"/>
        </w:rPr>
        <w:t>wyłączanej</w:t>
      </w:r>
      <w:r w:rsidRPr="00444077">
        <w:rPr>
          <w:rFonts w:cs="Times New Roman"/>
          <w:color w:val="000000" w:themeColor="text1"/>
          <w:spacing w:val="-7"/>
          <w:szCs w:val="24"/>
        </w:rPr>
        <w:t xml:space="preserve"> </w:t>
      </w:r>
      <w:r w:rsidRPr="00444077">
        <w:rPr>
          <w:rFonts w:cs="Times New Roman"/>
          <w:color w:val="000000" w:themeColor="text1"/>
          <w:szCs w:val="24"/>
        </w:rPr>
        <w:t>przez</w:t>
      </w:r>
      <w:r w:rsidRPr="00444077">
        <w:rPr>
          <w:rFonts w:cs="Times New Roman"/>
          <w:color w:val="000000" w:themeColor="text1"/>
          <w:spacing w:val="-11"/>
          <w:szCs w:val="24"/>
        </w:rPr>
        <w:t xml:space="preserve"> </w:t>
      </w:r>
      <w:r w:rsidRPr="00444077">
        <w:rPr>
          <w:rFonts w:cs="Times New Roman"/>
          <w:color w:val="000000" w:themeColor="text1"/>
          <w:szCs w:val="24"/>
        </w:rPr>
        <w:t>układ</w:t>
      </w:r>
      <w:r w:rsidRPr="00444077">
        <w:rPr>
          <w:rFonts w:cs="Times New Roman"/>
          <w:color w:val="000000" w:themeColor="text1"/>
          <w:spacing w:val="-9"/>
          <w:szCs w:val="24"/>
        </w:rPr>
        <w:t xml:space="preserve"> </w:t>
      </w:r>
      <w:r w:rsidRPr="00444077">
        <w:rPr>
          <w:rFonts w:cs="Times New Roman"/>
          <w:color w:val="000000" w:themeColor="text1"/>
          <w:szCs w:val="24"/>
        </w:rPr>
        <w:t>SCO,</w:t>
      </w:r>
      <w:r w:rsidRPr="00444077">
        <w:rPr>
          <w:rFonts w:cs="Times New Roman"/>
          <w:color w:val="000000" w:themeColor="text1"/>
          <w:spacing w:val="-20"/>
          <w:szCs w:val="24"/>
        </w:rPr>
        <w:t xml:space="preserve"> </w:t>
      </w:r>
      <w:r w:rsidRPr="00444077">
        <w:rPr>
          <w:rFonts w:cs="Times New Roman"/>
          <w:color w:val="000000" w:themeColor="text1"/>
          <w:szCs w:val="24"/>
        </w:rPr>
        <w:t>odpowiednio</w:t>
      </w:r>
      <w:r w:rsidRPr="00444077">
        <w:rPr>
          <w:rFonts w:cs="Times New Roman"/>
          <w:color w:val="000000" w:themeColor="text1"/>
          <w:spacing w:val="-4"/>
          <w:szCs w:val="24"/>
        </w:rPr>
        <w:t xml:space="preserve"> </w:t>
      </w:r>
      <w:r w:rsidRPr="00444077">
        <w:rPr>
          <w:rFonts w:cs="Times New Roman"/>
          <w:color w:val="000000" w:themeColor="text1"/>
          <w:szCs w:val="24"/>
        </w:rPr>
        <w:t xml:space="preserve">odbiorca albo </w:t>
      </w:r>
      <w:r w:rsidR="009D445E">
        <w:rPr>
          <w:rFonts w:cs="Times New Roman"/>
          <w:color w:val="000000" w:themeColor="text1"/>
          <w:szCs w:val="24"/>
        </w:rPr>
        <w:t>OSDn za pośrednictwem OSDp</w:t>
      </w:r>
      <w:r w:rsidRPr="00444077">
        <w:rPr>
          <w:rFonts w:cs="Times New Roman"/>
          <w:color w:val="000000" w:themeColor="text1"/>
          <w:szCs w:val="24"/>
        </w:rPr>
        <w:t xml:space="preserve">, </w:t>
      </w:r>
      <w:r w:rsidR="008D2C20">
        <w:rPr>
          <w:rFonts w:cs="Times New Roman"/>
          <w:color w:val="000000" w:themeColor="text1"/>
          <w:szCs w:val="24"/>
        </w:rPr>
        <w:t xml:space="preserve">do którego sieci przyłączony jest taki odbiorca, </w:t>
      </w:r>
      <w:r w:rsidRPr="00444077">
        <w:rPr>
          <w:rFonts w:cs="Times New Roman"/>
          <w:color w:val="000000" w:themeColor="text1"/>
          <w:szCs w:val="24"/>
        </w:rPr>
        <w:t>zobowiązany jest uzgodnić z OSP indywidualnie, biorąc pod uwagę ograniczenia techniczne odbiorcy oraz zastosowane technologie urządzeń, instalacji i sieci.</w:t>
      </w:r>
      <w:r w:rsidR="008D2C20">
        <w:rPr>
          <w:rFonts w:cs="Times New Roman"/>
          <w:color w:val="000000" w:themeColor="text1"/>
          <w:szCs w:val="24"/>
        </w:rPr>
        <w:t xml:space="preserve"> </w:t>
      </w:r>
      <w:r w:rsidRPr="00444077">
        <w:rPr>
          <w:rFonts w:cs="Times New Roman"/>
          <w:color w:val="000000" w:themeColor="text1"/>
          <w:szCs w:val="24"/>
        </w:rPr>
        <w:t xml:space="preserve">W przypadku nieuzgodnienia z OSP wartości mocy czynnej wyłączanej przez układ SCO, odpowiednio odbiorca albo </w:t>
      </w:r>
      <w:r w:rsidR="003B4B93">
        <w:rPr>
          <w:rFonts w:cs="Times New Roman"/>
          <w:color w:val="000000" w:themeColor="text1"/>
          <w:szCs w:val="24"/>
        </w:rPr>
        <w:t>OSDn za pośrednictwem OSDp</w:t>
      </w:r>
      <w:r w:rsidRPr="00444077">
        <w:rPr>
          <w:rFonts w:cs="Times New Roman"/>
          <w:color w:val="000000" w:themeColor="text1"/>
          <w:szCs w:val="24"/>
        </w:rPr>
        <w:t xml:space="preserve">, </w:t>
      </w:r>
      <w:r w:rsidR="00081880">
        <w:rPr>
          <w:rFonts w:cs="Times New Roman"/>
          <w:color w:val="000000" w:themeColor="text1"/>
          <w:szCs w:val="24"/>
        </w:rPr>
        <w:t xml:space="preserve">do którego sieci przyłączony jest taki odbiorca, </w:t>
      </w:r>
      <w:r w:rsidRPr="00444077">
        <w:rPr>
          <w:rFonts w:cs="Times New Roman"/>
          <w:color w:val="000000" w:themeColor="text1"/>
          <w:szCs w:val="24"/>
        </w:rPr>
        <w:t>zobowiązany jest do przedłożenia OSP opinii niezależnej firmy eksperckiej, w której zostaną określone, w przypadku takiego odbiorcy, rekomendowane wartości mocy czynnej wyłączanej przez układ</w:t>
      </w:r>
      <w:r w:rsidRPr="00444077">
        <w:rPr>
          <w:rFonts w:cs="Times New Roman"/>
          <w:color w:val="000000" w:themeColor="text1"/>
          <w:spacing w:val="-5"/>
          <w:szCs w:val="24"/>
        </w:rPr>
        <w:t xml:space="preserve"> </w:t>
      </w:r>
      <w:r w:rsidRPr="00444077">
        <w:rPr>
          <w:rFonts w:cs="Times New Roman"/>
          <w:color w:val="000000" w:themeColor="text1"/>
          <w:szCs w:val="24"/>
        </w:rPr>
        <w:t>SCO.</w:t>
      </w:r>
    </w:p>
    <w:p w14:paraId="4A192AC9" w14:textId="6E633C0B" w:rsidR="00FA5374" w:rsidRPr="00444077" w:rsidRDefault="00FA5374">
      <w:pPr>
        <w:pStyle w:val="Akapitzlist"/>
        <w:widowControl w:val="0"/>
        <w:numPr>
          <w:ilvl w:val="2"/>
          <w:numId w:val="339"/>
        </w:numPr>
        <w:autoSpaceDE w:val="0"/>
        <w:autoSpaceDN w:val="0"/>
        <w:spacing w:before="108" w:line="259" w:lineRule="auto"/>
        <w:ind w:left="1276" w:right="60" w:hanging="1276"/>
        <w:jc w:val="both"/>
        <w:rPr>
          <w:rFonts w:cs="Times New Roman"/>
          <w:color w:val="000000" w:themeColor="text1"/>
          <w:szCs w:val="24"/>
        </w:rPr>
      </w:pPr>
      <w:r w:rsidRPr="00444077">
        <w:rPr>
          <w:rFonts w:cs="Times New Roman"/>
          <w:color w:val="000000" w:themeColor="text1"/>
          <w:szCs w:val="24"/>
        </w:rPr>
        <w:t>OSD</w:t>
      </w:r>
      <w:r w:rsidR="00D36ED3">
        <w:rPr>
          <w:rFonts w:cs="Times New Roman"/>
          <w:color w:val="000000" w:themeColor="text1"/>
          <w:szCs w:val="24"/>
        </w:rPr>
        <w:t>n, OSD</w:t>
      </w:r>
      <w:r w:rsidR="002C6C99">
        <w:rPr>
          <w:rFonts w:cs="Times New Roman"/>
          <w:color w:val="000000" w:themeColor="text1"/>
          <w:szCs w:val="24"/>
        </w:rPr>
        <w:t xml:space="preserve"> inni niż OSDp</w:t>
      </w:r>
      <w:r w:rsidRPr="00444077">
        <w:rPr>
          <w:rFonts w:cs="Times New Roman"/>
          <w:color w:val="000000" w:themeColor="text1"/>
          <w:spacing w:val="-3"/>
          <w:szCs w:val="24"/>
        </w:rPr>
        <w:t xml:space="preserve"> </w:t>
      </w:r>
      <w:r w:rsidRPr="00444077">
        <w:rPr>
          <w:rFonts w:cs="Times New Roman"/>
          <w:color w:val="000000" w:themeColor="text1"/>
          <w:szCs w:val="24"/>
        </w:rPr>
        <w:t>i</w:t>
      </w:r>
      <w:r w:rsidRPr="00444077">
        <w:rPr>
          <w:rFonts w:cs="Times New Roman"/>
          <w:color w:val="000000" w:themeColor="text1"/>
          <w:spacing w:val="-14"/>
          <w:szCs w:val="24"/>
        </w:rPr>
        <w:t xml:space="preserve"> </w:t>
      </w:r>
      <w:r w:rsidRPr="00444077">
        <w:rPr>
          <w:rFonts w:cs="Times New Roman"/>
          <w:color w:val="000000" w:themeColor="text1"/>
          <w:szCs w:val="24"/>
        </w:rPr>
        <w:t>odbiorcy,</w:t>
      </w:r>
      <w:r w:rsidRPr="00444077">
        <w:rPr>
          <w:rFonts w:cs="Times New Roman"/>
          <w:color w:val="000000" w:themeColor="text1"/>
          <w:spacing w:val="-6"/>
          <w:szCs w:val="24"/>
        </w:rPr>
        <w:t xml:space="preserve"> </w:t>
      </w:r>
      <w:r w:rsidRPr="00444077">
        <w:rPr>
          <w:rFonts w:cs="Times New Roman"/>
          <w:color w:val="000000" w:themeColor="text1"/>
          <w:szCs w:val="24"/>
        </w:rPr>
        <w:t>o</w:t>
      </w:r>
      <w:r w:rsidRPr="00444077">
        <w:rPr>
          <w:rFonts w:cs="Times New Roman"/>
          <w:color w:val="000000" w:themeColor="text1"/>
          <w:spacing w:val="-16"/>
          <w:szCs w:val="24"/>
        </w:rPr>
        <w:t xml:space="preserve"> </w:t>
      </w:r>
      <w:r w:rsidRPr="00444077">
        <w:rPr>
          <w:rFonts w:cs="Times New Roman"/>
          <w:color w:val="000000" w:themeColor="text1"/>
          <w:szCs w:val="24"/>
        </w:rPr>
        <w:t>których</w:t>
      </w:r>
      <w:r w:rsidRPr="00444077">
        <w:rPr>
          <w:rFonts w:cs="Times New Roman"/>
          <w:color w:val="000000" w:themeColor="text1"/>
          <w:spacing w:val="2"/>
          <w:szCs w:val="24"/>
        </w:rPr>
        <w:t xml:space="preserve"> </w:t>
      </w:r>
      <w:r w:rsidRPr="00444077">
        <w:rPr>
          <w:rFonts w:cs="Times New Roman"/>
          <w:color w:val="000000" w:themeColor="text1"/>
          <w:szCs w:val="24"/>
        </w:rPr>
        <w:t>mowa</w:t>
      </w:r>
      <w:r w:rsidRPr="00444077">
        <w:rPr>
          <w:rFonts w:cs="Times New Roman"/>
          <w:color w:val="000000" w:themeColor="text1"/>
          <w:spacing w:val="-6"/>
          <w:szCs w:val="24"/>
        </w:rPr>
        <w:t xml:space="preserve"> </w:t>
      </w:r>
      <w:r w:rsidRPr="00444077">
        <w:rPr>
          <w:rFonts w:cs="Times New Roman"/>
          <w:color w:val="000000" w:themeColor="text1"/>
          <w:szCs w:val="24"/>
        </w:rPr>
        <w:t>w</w:t>
      </w:r>
      <w:r w:rsidRPr="00444077">
        <w:rPr>
          <w:rFonts w:cs="Times New Roman"/>
          <w:color w:val="000000" w:themeColor="text1"/>
          <w:spacing w:val="-8"/>
          <w:szCs w:val="24"/>
        </w:rPr>
        <w:t xml:space="preserve"> </w:t>
      </w:r>
      <w:r w:rsidRPr="00444077">
        <w:rPr>
          <w:rFonts w:cs="Times New Roman"/>
          <w:color w:val="000000" w:themeColor="text1"/>
          <w:szCs w:val="24"/>
        </w:rPr>
        <w:t>pkt</w:t>
      </w:r>
      <w:r w:rsidRPr="00444077">
        <w:rPr>
          <w:rFonts w:cs="Times New Roman"/>
          <w:color w:val="000000" w:themeColor="text1"/>
          <w:spacing w:val="-4"/>
          <w:szCs w:val="24"/>
        </w:rPr>
        <w:t xml:space="preserve"> </w:t>
      </w:r>
      <w:r w:rsidRPr="00444077">
        <w:rPr>
          <w:rFonts w:cs="Times New Roman"/>
          <w:color w:val="000000" w:themeColor="text1"/>
          <w:szCs w:val="24"/>
        </w:rPr>
        <w:t>IV.3.5.2.,</w:t>
      </w:r>
      <w:r w:rsidRPr="00444077">
        <w:rPr>
          <w:rFonts w:cs="Times New Roman"/>
          <w:color w:val="000000" w:themeColor="text1"/>
          <w:spacing w:val="-8"/>
          <w:szCs w:val="24"/>
        </w:rPr>
        <w:t xml:space="preserve"> </w:t>
      </w:r>
      <w:r w:rsidRPr="00444077">
        <w:rPr>
          <w:rFonts w:cs="Times New Roman"/>
          <w:color w:val="000000" w:themeColor="text1"/>
          <w:szCs w:val="24"/>
        </w:rPr>
        <w:t>do</w:t>
      </w:r>
      <w:r w:rsidRPr="00444077">
        <w:rPr>
          <w:rFonts w:cs="Times New Roman"/>
          <w:color w:val="000000" w:themeColor="text1"/>
          <w:spacing w:val="-15"/>
          <w:szCs w:val="24"/>
        </w:rPr>
        <w:t xml:space="preserve"> </w:t>
      </w:r>
      <w:r w:rsidRPr="00444077">
        <w:rPr>
          <w:rFonts w:cs="Times New Roman"/>
          <w:color w:val="000000" w:themeColor="text1"/>
          <w:szCs w:val="24"/>
        </w:rPr>
        <w:t>dnia</w:t>
      </w:r>
      <w:r w:rsidRPr="00444077">
        <w:rPr>
          <w:rFonts w:cs="Times New Roman"/>
          <w:color w:val="000000" w:themeColor="text1"/>
          <w:spacing w:val="-12"/>
          <w:szCs w:val="24"/>
        </w:rPr>
        <w:t xml:space="preserve"> </w:t>
      </w:r>
      <w:r w:rsidR="00FA0048">
        <w:rPr>
          <w:rFonts w:cs="Times New Roman"/>
          <w:color w:val="000000" w:themeColor="text1"/>
          <w:spacing w:val="-12"/>
          <w:szCs w:val="24"/>
        </w:rPr>
        <w:br/>
      </w:r>
      <w:r w:rsidRPr="00444077">
        <w:rPr>
          <w:rFonts w:cs="Times New Roman"/>
          <w:color w:val="000000" w:themeColor="text1"/>
          <w:szCs w:val="24"/>
        </w:rPr>
        <w:t>15</w:t>
      </w:r>
      <w:r w:rsidRPr="00444077">
        <w:rPr>
          <w:rFonts w:cs="Times New Roman"/>
          <w:color w:val="000000" w:themeColor="text1"/>
          <w:spacing w:val="-11"/>
          <w:szCs w:val="24"/>
        </w:rPr>
        <w:t xml:space="preserve"> </w:t>
      </w:r>
      <w:r w:rsidRPr="00444077">
        <w:rPr>
          <w:rFonts w:cs="Times New Roman"/>
          <w:color w:val="000000" w:themeColor="text1"/>
          <w:szCs w:val="24"/>
        </w:rPr>
        <w:t>września każdego</w:t>
      </w:r>
      <w:r w:rsidRPr="00444077">
        <w:rPr>
          <w:rFonts w:cs="Times New Roman"/>
          <w:color w:val="000000" w:themeColor="text1"/>
          <w:spacing w:val="-2"/>
          <w:szCs w:val="24"/>
        </w:rPr>
        <w:t xml:space="preserve"> </w:t>
      </w:r>
      <w:r w:rsidRPr="00444077">
        <w:rPr>
          <w:rFonts w:cs="Times New Roman"/>
          <w:color w:val="000000" w:themeColor="text1"/>
          <w:szCs w:val="24"/>
        </w:rPr>
        <w:t>roku</w:t>
      </w:r>
      <w:r w:rsidRPr="00444077">
        <w:rPr>
          <w:rFonts w:cs="Times New Roman"/>
          <w:color w:val="000000" w:themeColor="text1"/>
          <w:spacing w:val="-9"/>
          <w:szCs w:val="24"/>
        </w:rPr>
        <w:t xml:space="preserve"> </w:t>
      </w:r>
      <w:r w:rsidRPr="00444077">
        <w:rPr>
          <w:rFonts w:cs="Times New Roman"/>
          <w:color w:val="000000" w:themeColor="text1"/>
          <w:szCs w:val="24"/>
        </w:rPr>
        <w:t xml:space="preserve">realizują obowiązki, o których mowa w pkt IV.3.5.9. - IV.3.5.13. oraz informują </w:t>
      </w:r>
      <w:r w:rsidR="002C6C99">
        <w:rPr>
          <w:rFonts w:cs="Times New Roman"/>
          <w:color w:val="000000" w:themeColor="text1"/>
          <w:szCs w:val="24"/>
        </w:rPr>
        <w:t>OSDp</w:t>
      </w:r>
      <w:r w:rsidRPr="00444077">
        <w:rPr>
          <w:rFonts w:cs="Times New Roman"/>
          <w:color w:val="000000" w:themeColor="text1"/>
          <w:szCs w:val="24"/>
        </w:rPr>
        <w:t>, o wdrożeniu nastaw i wartości mocy czynnej wyłączanej przez układy</w:t>
      </w:r>
      <w:r w:rsidRPr="00444077">
        <w:rPr>
          <w:rFonts w:cs="Times New Roman"/>
          <w:color w:val="000000" w:themeColor="text1"/>
          <w:spacing w:val="44"/>
          <w:szCs w:val="24"/>
        </w:rPr>
        <w:t xml:space="preserve"> </w:t>
      </w:r>
      <w:r w:rsidRPr="00444077">
        <w:rPr>
          <w:rFonts w:cs="Times New Roman"/>
          <w:color w:val="000000" w:themeColor="text1"/>
          <w:szCs w:val="24"/>
        </w:rPr>
        <w:t>SCO.</w:t>
      </w:r>
    </w:p>
    <w:p w14:paraId="4C200551" w14:textId="279E11FE" w:rsidR="00FA5374" w:rsidRPr="00444077" w:rsidRDefault="00FA5374">
      <w:pPr>
        <w:pStyle w:val="Akapitzlist"/>
        <w:widowControl w:val="0"/>
        <w:numPr>
          <w:ilvl w:val="2"/>
          <w:numId w:val="339"/>
        </w:numPr>
        <w:autoSpaceDE w:val="0"/>
        <w:autoSpaceDN w:val="0"/>
        <w:spacing w:before="91" w:line="259" w:lineRule="auto"/>
        <w:ind w:left="1276" w:right="60" w:hanging="1276"/>
        <w:jc w:val="both"/>
        <w:rPr>
          <w:rFonts w:cs="Times New Roman"/>
          <w:color w:val="000000" w:themeColor="text1"/>
          <w:szCs w:val="24"/>
        </w:rPr>
      </w:pPr>
      <w:r w:rsidRPr="00444077">
        <w:rPr>
          <w:rFonts w:cs="Times New Roman"/>
          <w:color w:val="000000" w:themeColor="text1"/>
          <w:szCs w:val="24"/>
        </w:rPr>
        <w:t xml:space="preserve">Na podstawie informacji przekazanych zgodnie z pkt IV.3.5.14., </w:t>
      </w:r>
      <w:r w:rsidR="00D72AC6">
        <w:rPr>
          <w:rFonts w:cs="Times New Roman"/>
          <w:color w:val="000000" w:themeColor="text1"/>
          <w:szCs w:val="24"/>
        </w:rPr>
        <w:t>OSDn</w:t>
      </w:r>
      <w:r w:rsidRPr="00444077">
        <w:rPr>
          <w:rFonts w:cs="Times New Roman"/>
          <w:color w:val="000000" w:themeColor="text1"/>
          <w:szCs w:val="24"/>
        </w:rPr>
        <w:t xml:space="preserve"> w stosunku do odbiorców przyłączonych do jego sieci, opracowuje plan wyłączeń wskutek zastosowania układu SCO, uwzględniając parametry określone w załączniku </w:t>
      </w:r>
      <w:r w:rsidR="00D72AC6">
        <w:rPr>
          <w:rFonts w:cs="Times New Roman"/>
          <w:color w:val="000000" w:themeColor="text1"/>
          <w:szCs w:val="24"/>
        </w:rPr>
        <w:br/>
      </w:r>
      <w:r w:rsidRPr="00444077">
        <w:rPr>
          <w:rFonts w:cs="Times New Roman"/>
          <w:color w:val="000000" w:themeColor="text1"/>
          <w:szCs w:val="24"/>
        </w:rPr>
        <w:lastRenderedPageBreak/>
        <w:t>do NC</w:t>
      </w:r>
      <w:r w:rsidRPr="00444077">
        <w:rPr>
          <w:rFonts w:cs="Times New Roman"/>
          <w:color w:val="000000" w:themeColor="text1"/>
          <w:spacing w:val="-22"/>
          <w:szCs w:val="24"/>
        </w:rPr>
        <w:t xml:space="preserve"> </w:t>
      </w:r>
      <w:r w:rsidRPr="00444077">
        <w:rPr>
          <w:rFonts w:cs="Times New Roman"/>
          <w:color w:val="000000" w:themeColor="text1"/>
          <w:szCs w:val="24"/>
        </w:rPr>
        <w:t>ER.</w:t>
      </w:r>
    </w:p>
    <w:p w14:paraId="0378DAB5" w14:textId="291DD2E0" w:rsidR="00FA5374" w:rsidRPr="00444077" w:rsidRDefault="000C685E" w:rsidP="00583114">
      <w:pPr>
        <w:pStyle w:val="Tekstpodstawowy"/>
        <w:tabs>
          <w:tab w:val="clear" w:pos="4536"/>
        </w:tabs>
        <w:spacing w:before="113" w:line="259" w:lineRule="auto"/>
        <w:ind w:left="1276" w:right="60"/>
        <w:rPr>
          <w:color w:val="000000" w:themeColor="text1"/>
          <w:szCs w:val="24"/>
        </w:rPr>
      </w:pPr>
      <w:r>
        <w:rPr>
          <w:color w:val="000000" w:themeColor="text1"/>
          <w:szCs w:val="24"/>
          <w:lang w:val="pl-PL"/>
        </w:rPr>
        <w:t xml:space="preserve">OSDn </w:t>
      </w:r>
      <w:r w:rsidR="00FA5374" w:rsidRPr="00444077">
        <w:rPr>
          <w:color w:val="000000" w:themeColor="text1"/>
          <w:szCs w:val="24"/>
        </w:rPr>
        <w:t>przekazuje opracowany plan wyłączeń wskutek zastosowania układu SCO, OSD</w:t>
      </w:r>
      <w:r>
        <w:rPr>
          <w:color w:val="000000" w:themeColor="text1"/>
          <w:szCs w:val="24"/>
          <w:lang w:val="pl-PL"/>
        </w:rPr>
        <w:t xml:space="preserve"> innym niż OSDp</w:t>
      </w:r>
      <w:r w:rsidR="00FA5374" w:rsidRPr="00444077">
        <w:rPr>
          <w:color w:val="000000" w:themeColor="text1"/>
          <w:szCs w:val="24"/>
        </w:rPr>
        <w:t xml:space="preserve"> i odbiorcom przyłączonym do sieci </w:t>
      </w:r>
      <w:r>
        <w:rPr>
          <w:color w:val="000000" w:themeColor="text1"/>
          <w:szCs w:val="24"/>
          <w:lang w:val="pl-PL"/>
        </w:rPr>
        <w:t>OSDn</w:t>
      </w:r>
      <w:r w:rsidR="00FA5374" w:rsidRPr="00444077">
        <w:rPr>
          <w:color w:val="000000" w:themeColor="text1"/>
          <w:szCs w:val="24"/>
        </w:rPr>
        <w:t>, ujętych w tym</w:t>
      </w:r>
      <w:r w:rsidR="00FA5374" w:rsidRPr="00444077">
        <w:rPr>
          <w:color w:val="000000" w:themeColor="text1"/>
          <w:spacing w:val="14"/>
          <w:szCs w:val="24"/>
        </w:rPr>
        <w:t xml:space="preserve"> </w:t>
      </w:r>
      <w:r w:rsidR="00FA5374" w:rsidRPr="00444077">
        <w:rPr>
          <w:color w:val="000000" w:themeColor="text1"/>
          <w:szCs w:val="24"/>
        </w:rPr>
        <w:t>planie.</w:t>
      </w:r>
    </w:p>
    <w:p w14:paraId="74C798BE" w14:textId="77777777" w:rsidR="006A4B53" w:rsidRPr="00444077" w:rsidRDefault="006A4B53">
      <w:pPr>
        <w:pStyle w:val="Akapitzlist"/>
        <w:widowControl w:val="0"/>
        <w:numPr>
          <w:ilvl w:val="2"/>
          <w:numId w:val="339"/>
        </w:numPr>
        <w:autoSpaceDE w:val="0"/>
        <w:autoSpaceDN w:val="0"/>
        <w:spacing w:before="112" w:line="259" w:lineRule="auto"/>
        <w:ind w:left="1276" w:right="60" w:hanging="1276"/>
        <w:jc w:val="both"/>
        <w:rPr>
          <w:rFonts w:cs="Times New Roman"/>
          <w:color w:val="000000" w:themeColor="text1"/>
          <w:szCs w:val="24"/>
        </w:rPr>
      </w:pPr>
      <w:r w:rsidRPr="00444077">
        <w:rPr>
          <w:rFonts w:cs="Times New Roman"/>
          <w:color w:val="000000" w:themeColor="text1"/>
          <w:szCs w:val="24"/>
        </w:rPr>
        <w:t>Przy stosowaniu układów SCO należy stosować zasadę, o której mowa w NC ER, tj. minimalizowania odłączania jednostek wytwórczych, w szczególności tych, które zapewniają inercję.</w:t>
      </w:r>
    </w:p>
    <w:p w14:paraId="61D0C741" w14:textId="77777777" w:rsidR="00444077" w:rsidRPr="00444077" w:rsidRDefault="00444077">
      <w:pPr>
        <w:pStyle w:val="Akapitzlist"/>
        <w:widowControl w:val="0"/>
        <w:numPr>
          <w:ilvl w:val="2"/>
          <w:numId w:val="339"/>
        </w:numPr>
        <w:autoSpaceDE w:val="0"/>
        <w:autoSpaceDN w:val="0"/>
        <w:spacing w:before="104" w:line="259" w:lineRule="auto"/>
        <w:ind w:left="1276" w:right="60" w:hanging="1276"/>
        <w:jc w:val="both"/>
        <w:rPr>
          <w:rFonts w:cs="Times New Roman"/>
          <w:color w:val="000000" w:themeColor="text1"/>
          <w:szCs w:val="24"/>
        </w:rPr>
      </w:pPr>
      <w:r w:rsidRPr="00444077">
        <w:rPr>
          <w:rFonts w:cs="Times New Roman"/>
          <w:color w:val="000000" w:themeColor="text1"/>
          <w:szCs w:val="24"/>
        </w:rPr>
        <w:t>Załączenie odbiorcy wyłączonego wskutek zadziałania układu SCO odbywa się wyłącznie na polecenie</w:t>
      </w:r>
      <w:r w:rsidRPr="00444077">
        <w:rPr>
          <w:rFonts w:cs="Times New Roman"/>
          <w:color w:val="000000" w:themeColor="text1"/>
          <w:spacing w:val="13"/>
          <w:szCs w:val="24"/>
        </w:rPr>
        <w:t xml:space="preserve"> </w:t>
      </w:r>
      <w:r w:rsidRPr="00444077">
        <w:rPr>
          <w:rFonts w:cs="Times New Roman"/>
          <w:color w:val="000000" w:themeColor="text1"/>
          <w:szCs w:val="24"/>
        </w:rPr>
        <w:t>OSP.</w:t>
      </w:r>
    </w:p>
    <w:p w14:paraId="5FDEC0B8" w14:textId="2557A0FB" w:rsidR="00C8527D" w:rsidRPr="00444077" w:rsidRDefault="000276D8">
      <w:pPr>
        <w:pStyle w:val="Tekstpodstawowy"/>
        <w:numPr>
          <w:ilvl w:val="2"/>
          <w:numId w:val="339"/>
        </w:numPr>
        <w:spacing w:before="139" w:line="256" w:lineRule="auto"/>
        <w:ind w:left="1276" w:right="60" w:hanging="1276"/>
        <w:rPr>
          <w:color w:val="000000" w:themeColor="text1"/>
          <w:szCs w:val="24"/>
        </w:rPr>
      </w:pPr>
      <w:r>
        <w:rPr>
          <w:color w:val="000000" w:themeColor="text1"/>
          <w:szCs w:val="24"/>
          <w:lang w:val="pl-PL"/>
        </w:rPr>
        <w:t xml:space="preserve">OSDn </w:t>
      </w:r>
      <w:r w:rsidR="00444077" w:rsidRPr="00444077">
        <w:rPr>
          <w:color w:val="000000" w:themeColor="text1"/>
          <w:szCs w:val="24"/>
        </w:rPr>
        <w:t>w odniesieniu do odbiorców przyłączonych do jego sieci może dokonać kontroli spełnienia wymagań dotyczących układów SCO, a w przypadku zadziałania układu SCO, ustala przyczynę i zakres zadziałania tego</w:t>
      </w:r>
      <w:r w:rsidR="00444077" w:rsidRPr="00444077">
        <w:rPr>
          <w:color w:val="000000" w:themeColor="text1"/>
          <w:spacing w:val="17"/>
          <w:szCs w:val="24"/>
        </w:rPr>
        <w:t xml:space="preserve"> </w:t>
      </w:r>
      <w:r w:rsidR="00444077" w:rsidRPr="00444077">
        <w:rPr>
          <w:color w:val="000000" w:themeColor="text1"/>
          <w:szCs w:val="24"/>
        </w:rPr>
        <w:t>układu.</w:t>
      </w:r>
    </w:p>
    <w:p w14:paraId="260370CF" w14:textId="77777777" w:rsidR="003B78AD" w:rsidRPr="00444077" w:rsidRDefault="003B78AD" w:rsidP="0002082D">
      <w:pPr>
        <w:spacing w:before="90" w:line="268" w:lineRule="auto"/>
        <w:ind w:left="1276" w:right="60" w:hanging="1276"/>
        <w:jc w:val="both"/>
        <w:rPr>
          <w:color w:val="000000" w:themeColor="text1"/>
          <w:w w:val="105"/>
          <w:szCs w:val="24"/>
        </w:rPr>
      </w:pPr>
    </w:p>
    <w:p w14:paraId="30B07E47" w14:textId="77777777" w:rsidR="00572BA3" w:rsidRPr="00BF157A" w:rsidRDefault="007075FA" w:rsidP="00E54158">
      <w:pPr>
        <w:pStyle w:val="Nagwek1"/>
        <w:ind w:left="567" w:hanging="567"/>
        <w:jc w:val="both"/>
      </w:pPr>
      <w:bookmarkStart w:id="43" w:name="_Toc141963890"/>
      <w:r w:rsidRPr="00BF157A">
        <w:t xml:space="preserve">V. </w:t>
      </w:r>
      <w:r w:rsidR="00E54158">
        <w:t xml:space="preserve">   </w:t>
      </w:r>
      <w:r w:rsidR="00572BA3" w:rsidRPr="00BF157A">
        <w:t xml:space="preserve">WSPÓŁPRACA </w:t>
      </w:r>
      <w:r w:rsidR="00931D38" w:rsidRPr="00BF157A">
        <w:t>OSDn</w:t>
      </w:r>
      <w:r w:rsidR="00572BA3" w:rsidRPr="00BF157A">
        <w:t xml:space="preserve"> Z INNYMI OPERATORAMI I PRZEKAZYWANIE INFORMACJI</w:t>
      </w:r>
      <w:r w:rsidRPr="00BF157A">
        <w:t xml:space="preserve"> </w:t>
      </w:r>
      <w:r w:rsidR="00572BA3" w:rsidRPr="00BF157A">
        <w:t xml:space="preserve">POMIĘDZY OPERATORAMI ORAZ OPERATORAMI </w:t>
      </w:r>
      <w:r w:rsidR="00E54158">
        <w:br/>
      </w:r>
      <w:r w:rsidR="00572BA3" w:rsidRPr="00BF157A">
        <w:t>A UŻYTKOWNIKAMI SYSTEMU</w:t>
      </w:r>
      <w:bookmarkEnd w:id="43"/>
    </w:p>
    <w:p w14:paraId="78CBCFE9" w14:textId="77777777" w:rsidR="00A339D1" w:rsidRDefault="00A339D1">
      <w:pPr>
        <w:numPr>
          <w:ilvl w:val="0"/>
          <w:numId w:val="261"/>
        </w:numPr>
        <w:spacing w:line="0" w:lineRule="atLeast"/>
        <w:ind w:left="1134" w:hanging="1134"/>
        <w:rPr>
          <w:rFonts w:eastAsia="Times New Roman"/>
        </w:rPr>
      </w:pPr>
      <w:r>
        <w:rPr>
          <w:rFonts w:eastAsia="Times New Roman"/>
        </w:rPr>
        <w:t>OSDn współpracuje z następującymi operatorami:</w:t>
      </w:r>
    </w:p>
    <w:p w14:paraId="3DF40379" w14:textId="77777777" w:rsidR="00A339D1" w:rsidRPr="00FA49B5" w:rsidRDefault="00A339D1">
      <w:pPr>
        <w:numPr>
          <w:ilvl w:val="0"/>
          <w:numId w:val="262"/>
        </w:numPr>
        <w:spacing w:line="0" w:lineRule="atLeast"/>
        <w:ind w:left="1134" w:hanging="425"/>
        <w:rPr>
          <w:rFonts w:eastAsia="Times New Roman"/>
          <w:color w:val="000000"/>
        </w:rPr>
      </w:pPr>
      <w:r w:rsidRPr="00FA49B5">
        <w:rPr>
          <w:rFonts w:eastAsia="Times New Roman"/>
          <w:color w:val="000000"/>
        </w:rPr>
        <w:t>operatorem systemu przesyłowego,</w:t>
      </w:r>
    </w:p>
    <w:p w14:paraId="55360D1A" w14:textId="77777777" w:rsidR="00A339D1" w:rsidRPr="00FA49B5" w:rsidRDefault="00A339D1">
      <w:pPr>
        <w:numPr>
          <w:ilvl w:val="0"/>
          <w:numId w:val="262"/>
        </w:numPr>
        <w:spacing w:line="0" w:lineRule="atLeast"/>
        <w:ind w:left="1134" w:hanging="425"/>
        <w:rPr>
          <w:rFonts w:eastAsia="Times New Roman"/>
          <w:color w:val="000000"/>
        </w:rPr>
      </w:pPr>
      <w:r w:rsidRPr="00FA49B5">
        <w:rPr>
          <w:rFonts w:eastAsia="Times New Roman"/>
          <w:color w:val="000000"/>
        </w:rPr>
        <w:t>operatorami systemów dystrybucyjnych,</w:t>
      </w:r>
    </w:p>
    <w:p w14:paraId="15A1779D" w14:textId="77777777" w:rsidR="00A339D1" w:rsidRPr="00FA49B5" w:rsidRDefault="00A339D1">
      <w:pPr>
        <w:numPr>
          <w:ilvl w:val="0"/>
          <w:numId w:val="262"/>
        </w:numPr>
        <w:spacing w:line="0" w:lineRule="atLeast"/>
        <w:ind w:left="1134" w:hanging="425"/>
        <w:rPr>
          <w:rFonts w:eastAsia="Times New Roman"/>
          <w:color w:val="000000"/>
        </w:rPr>
      </w:pPr>
      <w:r w:rsidRPr="00FA49B5">
        <w:rPr>
          <w:rFonts w:eastAsia="Times New Roman"/>
          <w:color w:val="000000"/>
        </w:rPr>
        <w:t>operatorami handlowo-technicznymi,</w:t>
      </w:r>
    </w:p>
    <w:p w14:paraId="6E767B5A" w14:textId="77777777" w:rsidR="00A339D1" w:rsidRPr="00FA49B5" w:rsidRDefault="00A339D1">
      <w:pPr>
        <w:numPr>
          <w:ilvl w:val="0"/>
          <w:numId w:val="262"/>
        </w:numPr>
        <w:spacing w:line="0" w:lineRule="atLeast"/>
        <w:ind w:left="1134" w:hanging="425"/>
        <w:rPr>
          <w:rFonts w:eastAsia="Times New Roman"/>
          <w:color w:val="000000"/>
        </w:rPr>
      </w:pPr>
      <w:r w:rsidRPr="00FA49B5">
        <w:rPr>
          <w:rFonts w:eastAsia="Times New Roman"/>
          <w:color w:val="000000"/>
        </w:rPr>
        <w:t>operatorami handlowymi,</w:t>
      </w:r>
    </w:p>
    <w:p w14:paraId="52672A2C" w14:textId="77777777" w:rsidR="00A339D1" w:rsidRPr="00FA49B5" w:rsidRDefault="00A339D1">
      <w:pPr>
        <w:numPr>
          <w:ilvl w:val="0"/>
          <w:numId w:val="262"/>
        </w:numPr>
        <w:spacing w:line="0" w:lineRule="atLeast"/>
        <w:ind w:left="1134" w:hanging="425"/>
        <w:rPr>
          <w:rFonts w:eastAsia="Times New Roman"/>
          <w:color w:val="000000"/>
        </w:rPr>
      </w:pPr>
      <w:r w:rsidRPr="00FA49B5">
        <w:rPr>
          <w:rFonts w:eastAsia="Times New Roman"/>
          <w:color w:val="000000"/>
        </w:rPr>
        <w:t>operatorami pomiarów,</w:t>
      </w:r>
    </w:p>
    <w:p w14:paraId="5AC9CB33" w14:textId="77777777" w:rsidR="00A339D1" w:rsidRPr="00FA49B5" w:rsidRDefault="00A339D1" w:rsidP="00673DD7">
      <w:pPr>
        <w:spacing w:line="0" w:lineRule="atLeast"/>
        <w:ind w:left="2127" w:hanging="1418"/>
        <w:rPr>
          <w:rFonts w:eastAsia="Times New Roman"/>
          <w:color w:val="000000"/>
        </w:rPr>
      </w:pPr>
      <w:r w:rsidRPr="00FA49B5">
        <w:rPr>
          <w:rFonts w:eastAsia="Times New Roman"/>
          <w:color w:val="000000"/>
        </w:rPr>
        <w:t>oraz innymi użytkownikami systemu, w tym odbiorcami i wytwórcami</w:t>
      </w:r>
    </w:p>
    <w:p w14:paraId="0A854EFA" w14:textId="77777777" w:rsidR="00A339D1" w:rsidRDefault="00A339D1">
      <w:pPr>
        <w:numPr>
          <w:ilvl w:val="0"/>
          <w:numId w:val="261"/>
        </w:numPr>
        <w:ind w:left="709" w:hanging="709"/>
        <w:jc w:val="both"/>
        <w:rPr>
          <w:rFonts w:eastAsia="Times New Roman"/>
        </w:rPr>
      </w:pPr>
      <w:r>
        <w:rPr>
          <w:rFonts w:eastAsia="Times New Roman"/>
        </w:rPr>
        <w:t xml:space="preserve">Zasady i zakres współpracy OSDn z operatorem systemu przesyłowego są określone </w:t>
      </w:r>
      <w:r w:rsidR="00EB79A1">
        <w:rPr>
          <w:rFonts w:eastAsia="Times New Roman"/>
        </w:rPr>
        <w:br/>
      </w:r>
      <w:r>
        <w:rPr>
          <w:rFonts w:eastAsia="Times New Roman"/>
        </w:rPr>
        <w:t>w niniejszej IRiESD, IRiESD OSDp, IRiESP oraz umowie</w:t>
      </w:r>
      <w:r w:rsidR="00EB79A1">
        <w:rPr>
          <w:rFonts w:eastAsia="Times New Roman"/>
        </w:rPr>
        <w:t xml:space="preserve"> </w:t>
      </w:r>
      <w:r>
        <w:rPr>
          <w:rFonts w:eastAsia="Times New Roman"/>
        </w:rPr>
        <w:t>o świadczenie usług przesyłania</w:t>
      </w:r>
      <w:r w:rsidR="00EB79A1">
        <w:rPr>
          <w:rFonts w:eastAsia="Times New Roman"/>
        </w:rPr>
        <w:t>.</w:t>
      </w:r>
    </w:p>
    <w:p w14:paraId="3733926E" w14:textId="77777777" w:rsidR="00EB79A1" w:rsidRDefault="00EB79A1">
      <w:pPr>
        <w:numPr>
          <w:ilvl w:val="0"/>
          <w:numId w:val="261"/>
        </w:numPr>
        <w:ind w:left="709" w:hanging="709"/>
        <w:jc w:val="both"/>
        <w:rPr>
          <w:rFonts w:eastAsia="Times New Roman"/>
        </w:rPr>
      </w:pPr>
      <w:r>
        <w:rPr>
          <w:rFonts w:eastAsia="Times New Roman"/>
        </w:rPr>
        <w:t>Operator systemu dystrybucyjnego, którego sieć dystrybucyjna nie posiada bezpośrednich połączeń z siecią przesyłową, realizuje określone w prawie energetycznym, IRiESP, IRiESD OSDp oraz niniejszej IRiESD obowiązki w zakresie współpracy z operatorem systemu przesyłowego lub systemu połączonego za pośrednictwem operatora systemu dystrybucyjnego, z którego siecią jest połączony, który jednocześnie posiada bezpośrednie połączenie z siecią przesyłową</w:t>
      </w:r>
    </w:p>
    <w:p w14:paraId="508555FC" w14:textId="77777777" w:rsidR="00572BA3" w:rsidRDefault="00572BA3">
      <w:pPr>
        <w:numPr>
          <w:ilvl w:val="0"/>
          <w:numId w:val="261"/>
        </w:numPr>
        <w:spacing w:line="237" w:lineRule="auto"/>
        <w:ind w:left="709" w:hanging="709"/>
        <w:jc w:val="both"/>
        <w:rPr>
          <w:rFonts w:eastAsia="Times New Roman"/>
        </w:rPr>
      </w:pPr>
      <w:r>
        <w:rPr>
          <w:rFonts w:eastAsia="Times New Roman"/>
        </w:rPr>
        <w:t xml:space="preserve">Zasady i zakres współpracy </w:t>
      </w:r>
      <w:r w:rsidR="005828EB">
        <w:rPr>
          <w:rFonts w:eastAsia="Times New Roman"/>
        </w:rPr>
        <w:t>OSDn</w:t>
      </w:r>
      <w:r>
        <w:rPr>
          <w:rFonts w:eastAsia="Times New Roman"/>
        </w:rPr>
        <w:t xml:space="preserve"> z </w:t>
      </w:r>
      <w:r w:rsidR="005828EB">
        <w:rPr>
          <w:rFonts w:eastAsia="Times New Roman"/>
        </w:rPr>
        <w:t xml:space="preserve">innym </w:t>
      </w:r>
      <w:r>
        <w:rPr>
          <w:rFonts w:eastAsia="Times New Roman"/>
        </w:rPr>
        <w:t>operatorem systemu dystrybucyjnego którego sieć dystrybucyjna nie posiada bezpośrednich połączeń z siecią przesyłową, są określone w niniejszej IRiESD</w:t>
      </w:r>
      <w:r w:rsidR="005828EB">
        <w:rPr>
          <w:rFonts w:eastAsia="Times New Roman"/>
        </w:rPr>
        <w:t>, IRiESD OSDp</w:t>
      </w:r>
      <w:r>
        <w:rPr>
          <w:rFonts w:eastAsia="Times New Roman"/>
        </w:rPr>
        <w:t xml:space="preserve"> i IRiESP oraz instrukcjach współpracy ruchowej </w:t>
      </w:r>
      <w:r w:rsidR="00EB79A1">
        <w:rPr>
          <w:rFonts w:eastAsia="Times New Roman"/>
        </w:rPr>
        <w:br/>
      </w:r>
      <w:r>
        <w:rPr>
          <w:rFonts w:eastAsia="Times New Roman"/>
        </w:rPr>
        <w:t xml:space="preserve">i w stosownych umowach zawartych pomiędzy </w:t>
      </w:r>
      <w:r w:rsidR="005828EB">
        <w:rPr>
          <w:rFonts w:eastAsia="Times New Roman"/>
        </w:rPr>
        <w:t>OSDn</w:t>
      </w:r>
      <w:r>
        <w:rPr>
          <w:rFonts w:eastAsia="Times New Roman"/>
        </w:rPr>
        <w:t xml:space="preserve"> i </w:t>
      </w:r>
      <w:r w:rsidR="005828EB">
        <w:rPr>
          <w:rFonts w:eastAsia="Times New Roman"/>
        </w:rPr>
        <w:t>innym operatorem systemu dystrybucyjnego którego sieć dystrybucyjna nie posiada bezpośrednich połączeń z siecią przesyłową.</w:t>
      </w:r>
    </w:p>
    <w:p w14:paraId="1331EE28" w14:textId="77777777" w:rsidR="00572BA3" w:rsidRDefault="00572BA3">
      <w:pPr>
        <w:numPr>
          <w:ilvl w:val="0"/>
          <w:numId w:val="261"/>
        </w:numPr>
        <w:spacing w:line="236" w:lineRule="auto"/>
        <w:ind w:left="709" w:hanging="709"/>
        <w:jc w:val="both"/>
        <w:rPr>
          <w:rFonts w:eastAsia="Times New Roman"/>
        </w:rPr>
      </w:pPr>
      <w:r>
        <w:rPr>
          <w:rFonts w:eastAsia="Times New Roman"/>
        </w:rPr>
        <w:t xml:space="preserve">Szczegółowe zasady współpracy pomiędzy operatorami systemów dystrybucyjnych oraz pomiędzy operatorami a użytkownikami systemu są określone w rozdziałach II, III, IV </w:t>
      </w:r>
      <w:r w:rsidR="00EB79A1">
        <w:rPr>
          <w:rFonts w:eastAsia="Times New Roman"/>
        </w:rPr>
        <w:br/>
      </w:r>
      <w:r>
        <w:rPr>
          <w:rFonts w:eastAsia="Times New Roman"/>
        </w:rPr>
        <w:t>i VI.</w:t>
      </w:r>
    </w:p>
    <w:p w14:paraId="7D8A380A" w14:textId="77777777" w:rsidR="00572BA3" w:rsidRDefault="00572BA3">
      <w:pPr>
        <w:numPr>
          <w:ilvl w:val="0"/>
          <w:numId w:val="261"/>
        </w:numPr>
        <w:spacing w:line="237" w:lineRule="auto"/>
        <w:ind w:left="709" w:hanging="709"/>
        <w:jc w:val="both"/>
        <w:rPr>
          <w:rFonts w:eastAsia="Times New Roman"/>
        </w:rPr>
      </w:pPr>
      <w:r>
        <w:rPr>
          <w:rFonts w:eastAsia="Times New Roman"/>
        </w:rPr>
        <w:t xml:space="preserve">Operatorzy handlowo-technicznymi oraz operatorzy handlowi są zobowiązani do zawarcia stosownej umowy z operatorem systemu przesyłowego oraz </w:t>
      </w:r>
      <w:r w:rsidR="00777FF8">
        <w:rPr>
          <w:rFonts w:eastAsia="Times New Roman"/>
        </w:rPr>
        <w:br/>
      </w:r>
      <w:r>
        <w:rPr>
          <w:rFonts w:eastAsia="Times New Roman"/>
        </w:rPr>
        <w:t>z właściwymi operatorami systemu dystrybucyjnego, jeżeli ich działalność dotyczy podmiotów przyłączonych do sieci dystrybucyjnej.</w:t>
      </w:r>
    </w:p>
    <w:p w14:paraId="5670AB69" w14:textId="77777777" w:rsidR="00A2709A" w:rsidRDefault="00A2709A" w:rsidP="00A2709A">
      <w:pPr>
        <w:spacing w:line="236" w:lineRule="auto"/>
        <w:jc w:val="both"/>
        <w:rPr>
          <w:rFonts w:eastAsia="Times New Roman"/>
        </w:rPr>
      </w:pPr>
    </w:p>
    <w:p w14:paraId="2871FB32" w14:textId="77777777" w:rsidR="006D0C72" w:rsidRDefault="006D0C72" w:rsidP="006D0C72">
      <w:pPr>
        <w:pStyle w:val="Nagwek1"/>
      </w:pPr>
      <w:bookmarkStart w:id="44" w:name="_Toc141963891"/>
      <w:r>
        <w:lastRenderedPageBreak/>
        <w:t>VI. PROWADZENIE RUCHU SIECI DYSTRYBUCYJNEJ OSDn</w:t>
      </w:r>
      <w:bookmarkEnd w:id="44"/>
    </w:p>
    <w:p w14:paraId="37BE7CD0" w14:textId="77777777" w:rsidR="00572BA3" w:rsidRDefault="006D0C72" w:rsidP="006D0C72">
      <w:pPr>
        <w:pStyle w:val="Nagwek2"/>
      </w:pPr>
      <w:bookmarkStart w:id="45" w:name="_Toc141963892"/>
      <w:r>
        <w:t>VI.1. OBOWIĄZKI OSDn</w:t>
      </w:r>
      <w:bookmarkEnd w:id="45"/>
    </w:p>
    <w:p w14:paraId="21C714A0" w14:textId="77777777" w:rsidR="00572BA3" w:rsidRDefault="00673DD7">
      <w:pPr>
        <w:numPr>
          <w:ilvl w:val="0"/>
          <w:numId w:val="263"/>
        </w:numPr>
        <w:spacing w:line="234" w:lineRule="auto"/>
        <w:ind w:left="851" w:hanging="851"/>
        <w:jc w:val="both"/>
        <w:rPr>
          <w:rFonts w:eastAsia="Times New Roman"/>
        </w:rPr>
      </w:pPr>
      <w:r>
        <w:rPr>
          <w:rFonts w:eastAsia="Times New Roman"/>
        </w:rPr>
        <w:t xml:space="preserve">  </w:t>
      </w:r>
      <w:r w:rsidR="00572BA3">
        <w:rPr>
          <w:rFonts w:eastAsia="Times New Roman"/>
        </w:rPr>
        <w:t xml:space="preserve">W zakresie prowadzenia ruchu </w:t>
      </w:r>
      <w:r w:rsidR="00DC1AA1">
        <w:rPr>
          <w:rFonts w:eastAsia="Times New Roman"/>
        </w:rPr>
        <w:t>OSDn</w:t>
      </w:r>
      <w:r w:rsidR="00572BA3">
        <w:rPr>
          <w:rFonts w:eastAsia="Times New Roman"/>
        </w:rPr>
        <w:t xml:space="preserve"> na obszarze kierowanej sieci dystrybucyjnej </w:t>
      </w:r>
      <w:r w:rsidR="00DC1AA1">
        <w:rPr>
          <w:rFonts w:eastAsia="Times New Roman"/>
        </w:rPr>
        <w:t>OSDn</w:t>
      </w:r>
      <w:r w:rsidR="00572BA3">
        <w:rPr>
          <w:rFonts w:eastAsia="Times New Roman"/>
        </w:rPr>
        <w:t xml:space="preserve"> w szczególności:</w:t>
      </w:r>
    </w:p>
    <w:p w14:paraId="6D6F0887" w14:textId="77777777" w:rsidR="00572BA3" w:rsidRDefault="00572BA3">
      <w:pPr>
        <w:numPr>
          <w:ilvl w:val="0"/>
          <w:numId w:val="93"/>
        </w:numPr>
        <w:tabs>
          <w:tab w:val="clear" w:pos="1626"/>
        </w:tabs>
        <w:spacing w:line="236" w:lineRule="auto"/>
        <w:ind w:left="1418" w:hanging="284"/>
        <w:jc w:val="both"/>
        <w:rPr>
          <w:rFonts w:eastAsia="Times New Roman"/>
        </w:rPr>
      </w:pPr>
      <w:r>
        <w:rPr>
          <w:rFonts w:eastAsia="Times New Roman"/>
        </w:rPr>
        <w:t xml:space="preserve">planuje pracę sieci dystrybucyjnej </w:t>
      </w:r>
      <w:r w:rsidR="004C19C7">
        <w:rPr>
          <w:rFonts w:eastAsia="Times New Roman"/>
        </w:rPr>
        <w:t>OSDn</w:t>
      </w:r>
      <w:r>
        <w:rPr>
          <w:rFonts w:eastAsia="Times New Roman"/>
        </w:rPr>
        <w:t>, w tym opracowuje: programy pracy sieci, plany wyłączeń oraz planuje i kieruje operacjami łączeniowymi,</w:t>
      </w:r>
    </w:p>
    <w:p w14:paraId="57A70B0B" w14:textId="77777777" w:rsidR="00572BA3" w:rsidRDefault="00572BA3">
      <w:pPr>
        <w:numPr>
          <w:ilvl w:val="0"/>
          <w:numId w:val="93"/>
        </w:numPr>
        <w:tabs>
          <w:tab w:val="clear" w:pos="1626"/>
        </w:tabs>
        <w:spacing w:line="237" w:lineRule="auto"/>
        <w:ind w:left="1418" w:hanging="284"/>
        <w:jc w:val="both"/>
        <w:rPr>
          <w:rFonts w:eastAsia="Times New Roman"/>
        </w:rPr>
      </w:pPr>
      <w:r>
        <w:rPr>
          <w:rFonts w:eastAsia="Times New Roman"/>
        </w:rPr>
        <w:t xml:space="preserve">planuje i kieruje pracą jednostek wytwórczych przyłączonych do sieci dystrybucyjnej </w:t>
      </w:r>
      <w:r w:rsidR="004C19C7">
        <w:rPr>
          <w:rFonts w:eastAsia="Times New Roman"/>
        </w:rPr>
        <w:t>OSDn</w:t>
      </w:r>
      <w:r>
        <w:rPr>
          <w:rFonts w:eastAsia="Times New Roman"/>
        </w:rPr>
        <w:t>, innych niż JWCD oraz JWCK, w tym planuje techniczne możliwości pokrycia zapotrzebowania w ramach sporządzania koordynacyjnych planów produkcji energii elektrycznej,</w:t>
      </w:r>
    </w:p>
    <w:p w14:paraId="3E5F8355" w14:textId="77777777" w:rsidR="00572BA3" w:rsidRDefault="00572BA3">
      <w:pPr>
        <w:numPr>
          <w:ilvl w:val="0"/>
          <w:numId w:val="93"/>
        </w:numPr>
        <w:tabs>
          <w:tab w:val="clear" w:pos="1626"/>
        </w:tabs>
        <w:spacing w:line="234" w:lineRule="auto"/>
        <w:ind w:left="1418" w:hanging="284"/>
        <w:jc w:val="both"/>
        <w:rPr>
          <w:rFonts w:eastAsia="Times New Roman"/>
        </w:rPr>
      </w:pPr>
      <w:r>
        <w:rPr>
          <w:rFonts w:eastAsia="Times New Roman"/>
        </w:rPr>
        <w:t>monitoruje pracę sieci dystrybucyjnej oraz zapobiega wystąpieniu zagrożeniom dostaw energii elektrycznej,</w:t>
      </w:r>
    </w:p>
    <w:p w14:paraId="713E21A7" w14:textId="77777777" w:rsidR="00572BA3" w:rsidRDefault="00572BA3">
      <w:pPr>
        <w:numPr>
          <w:ilvl w:val="0"/>
          <w:numId w:val="93"/>
        </w:numPr>
        <w:tabs>
          <w:tab w:val="clear" w:pos="1626"/>
        </w:tabs>
        <w:spacing w:line="0" w:lineRule="atLeast"/>
        <w:ind w:left="1418" w:hanging="284"/>
        <w:jc w:val="both"/>
        <w:rPr>
          <w:rFonts w:eastAsia="Times New Roman"/>
        </w:rPr>
      </w:pPr>
      <w:r>
        <w:rPr>
          <w:rFonts w:eastAsia="Times New Roman"/>
        </w:rPr>
        <w:t>prowadzi działania sterownicze, o których mowa w pkt.VI.2,</w:t>
      </w:r>
    </w:p>
    <w:p w14:paraId="779DF256" w14:textId="77777777" w:rsidR="00572BA3" w:rsidRPr="00FA49B5" w:rsidRDefault="00572BA3">
      <w:pPr>
        <w:numPr>
          <w:ilvl w:val="0"/>
          <w:numId w:val="93"/>
        </w:numPr>
        <w:tabs>
          <w:tab w:val="clear" w:pos="1626"/>
        </w:tabs>
        <w:spacing w:line="236" w:lineRule="auto"/>
        <w:ind w:left="1418" w:hanging="284"/>
        <w:jc w:val="both"/>
        <w:rPr>
          <w:rFonts w:eastAsia="Times New Roman"/>
          <w:color w:val="000000"/>
        </w:rPr>
      </w:pPr>
      <w:r>
        <w:rPr>
          <w:rFonts w:eastAsia="Times New Roman"/>
        </w:rPr>
        <w:t xml:space="preserve">opracowuje bilanse mocy i energii elektrycznej uwzględniając zawarte umowy sprzedaży energii elektrycznej, umowy o świadczenie usług dystrybucji lub </w:t>
      </w:r>
      <w:r w:rsidRPr="00FA49B5">
        <w:rPr>
          <w:rFonts w:eastAsia="Times New Roman"/>
          <w:color w:val="000000"/>
        </w:rPr>
        <w:t>przesyłania oraz umowy kompleksowe,</w:t>
      </w:r>
    </w:p>
    <w:p w14:paraId="0166B206" w14:textId="77777777" w:rsidR="00572BA3" w:rsidRDefault="00572BA3">
      <w:pPr>
        <w:numPr>
          <w:ilvl w:val="0"/>
          <w:numId w:val="94"/>
        </w:numPr>
        <w:tabs>
          <w:tab w:val="clear" w:pos="1626"/>
        </w:tabs>
        <w:spacing w:line="0" w:lineRule="atLeast"/>
        <w:ind w:left="1418" w:hanging="284"/>
        <w:jc w:val="both"/>
        <w:rPr>
          <w:rFonts w:eastAsia="Times New Roman"/>
        </w:rPr>
      </w:pPr>
      <w:r w:rsidRPr="00FA49B5">
        <w:rPr>
          <w:rFonts w:eastAsia="Times New Roman"/>
          <w:color w:val="000000"/>
        </w:rPr>
        <w:t>zapewnia</w:t>
      </w:r>
      <w:r w:rsidR="007C1A13" w:rsidRPr="00FA49B5">
        <w:rPr>
          <w:rFonts w:eastAsia="Times New Roman"/>
          <w:color w:val="000000"/>
        </w:rPr>
        <w:t xml:space="preserve"> </w:t>
      </w:r>
      <w:r w:rsidRPr="00FA49B5">
        <w:rPr>
          <w:rFonts w:eastAsia="Times New Roman"/>
          <w:color w:val="000000"/>
        </w:rPr>
        <w:t>utrzymanie</w:t>
      </w:r>
      <w:r w:rsidR="007C1A13" w:rsidRPr="00FA49B5">
        <w:rPr>
          <w:rFonts w:eastAsia="Times New Roman"/>
          <w:color w:val="000000"/>
        </w:rPr>
        <w:t xml:space="preserve"> </w:t>
      </w:r>
      <w:r w:rsidRPr="00FA49B5">
        <w:rPr>
          <w:rFonts w:eastAsia="Times New Roman"/>
          <w:color w:val="000000"/>
        </w:rPr>
        <w:t>odpowiedniego</w:t>
      </w:r>
      <w:r w:rsidR="007C1A13" w:rsidRPr="00FA49B5">
        <w:rPr>
          <w:rFonts w:eastAsia="Times New Roman"/>
          <w:color w:val="000000"/>
        </w:rPr>
        <w:t xml:space="preserve"> </w:t>
      </w:r>
      <w:r w:rsidRPr="00FA49B5">
        <w:rPr>
          <w:rFonts w:eastAsia="Times New Roman"/>
          <w:color w:val="000000"/>
        </w:rPr>
        <w:t>poziomu</w:t>
      </w:r>
      <w:r w:rsidR="007C1A13" w:rsidRPr="00FA49B5">
        <w:rPr>
          <w:rFonts w:eastAsia="Times New Roman"/>
          <w:color w:val="000000"/>
        </w:rPr>
        <w:t xml:space="preserve"> </w:t>
      </w:r>
      <w:r w:rsidRPr="00FA49B5">
        <w:rPr>
          <w:rFonts w:eastAsia="Times New Roman"/>
          <w:color w:val="000000"/>
        </w:rPr>
        <w:t>i</w:t>
      </w:r>
      <w:r w:rsidR="007C1A13" w:rsidRPr="00FA49B5">
        <w:rPr>
          <w:rFonts w:eastAsia="Times New Roman"/>
          <w:color w:val="000000"/>
        </w:rPr>
        <w:t xml:space="preserve"> </w:t>
      </w:r>
      <w:r w:rsidRPr="00FA49B5">
        <w:rPr>
          <w:rFonts w:eastAsia="Times New Roman"/>
          <w:color w:val="000000"/>
        </w:rPr>
        <w:t>struktury</w:t>
      </w:r>
      <w:r w:rsidR="007C1A13" w:rsidRPr="00FA49B5">
        <w:rPr>
          <w:rFonts w:eastAsia="Times New Roman"/>
          <w:color w:val="000000"/>
        </w:rPr>
        <w:t xml:space="preserve"> </w:t>
      </w:r>
      <w:r w:rsidRPr="00FA49B5">
        <w:rPr>
          <w:rFonts w:eastAsia="Times New Roman"/>
          <w:color w:val="000000"/>
        </w:rPr>
        <w:t>rezerw</w:t>
      </w:r>
      <w:r w:rsidR="007C1A13" w:rsidRPr="00FA49B5">
        <w:rPr>
          <w:rFonts w:eastAsia="Times New Roman"/>
          <w:color w:val="000000"/>
        </w:rPr>
        <w:t xml:space="preserve"> </w:t>
      </w:r>
      <w:r w:rsidRPr="00FA49B5">
        <w:rPr>
          <w:rFonts w:eastAsia="Times New Roman"/>
          <w:color w:val="000000"/>
        </w:rPr>
        <w:t>mocy</w:t>
      </w:r>
      <w:r w:rsidR="007C1A13" w:rsidRPr="00FA49B5">
        <w:rPr>
          <w:rFonts w:eastAsia="Times New Roman"/>
          <w:color w:val="000000"/>
        </w:rPr>
        <w:t xml:space="preserve"> </w:t>
      </w:r>
      <w:r w:rsidR="007C1A13" w:rsidRPr="00FA49B5">
        <w:rPr>
          <w:rFonts w:eastAsia="Times New Roman"/>
          <w:color w:val="000000"/>
        </w:rPr>
        <w:br/>
      </w:r>
      <w:r w:rsidRPr="00FA49B5">
        <w:rPr>
          <w:rFonts w:eastAsia="Times New Roman"/>
          <w:color w:val="000000"/>
        </w:rPr>
        <w:t>i regulacyjnych</w:t>
      </w:r>
      <w:r>
        <w:rPr>
          <w:rFonts w:eastAsia="Times New Roman"/>
        </w:rPr>
        <w:t xml:space="preserve"> usług systemowych, w celu dotrzymania standardowych parametrów jakościowych energii elektrycznej, w zakresie wynikającym </w:t>
      </w:r>
      <w:r w:rsidR="00941658">
        <w:rPr>
          <w:rFonts w:eastAsia="Times New Roman"/>
        </w:rPr>
        <w:br/>
      </w:r>
      <w:r>
        <w:rPr>
          <w:rFonts w:eastAsia="Times New Roman"/>
        </w:rPr>
        <w:t>z umowy zawartej z operatorem systemu przesyłowego,</w:t>
      </w:r>
    </w:p>
    <w:p w14:paraId="5BC84F7E" w14:textId="77777777" w:rsidR="00572BA3" w:rsidRDefault="00572BA3">
      <w:pPr>
        <w:numPr>
          <w:ilvl w:val="0"/>
          <w:numId w:val="94"/>
        </w:numPr>
        <w:tabs>
          <w:tab w:val="clear" w:pos="1626"/>
        </w:tabs>
        <w:spacing w:line="234" w:lineRule="auto"/>
        <w:ind w:left="1418" w:hanging="284"/>
        <w:jc w:val="both"/>
        <w:rPr>
          <w:rFonts w:eastAsia="Times New Roman"/>
        </w:rPr>
      </w:pPr>
      <w:r>
        <w:rPr>
          <w:rFonts w:eastAsia="Times New Roman"/>
        </w:rPr>
        <w:t>wprowadza ograniczenia w dostarczaniu i poborze energii elektrycznej w trybie awaryjnym,</w:t>
      </w:r>
    </w:p>
    <w:p w14:paraId="2E9E8146" w14:textId="77777777" w:rsidR="00572BA3" w:rsidRDefault="00572BA3">
      <w:pPr>
        <w:numPr>
          <w:ilvl w:val="0"/>
          <w:numId w:val="94"/>
        </w:numPr>
        <w:tabs>
          <w:tab w:val="clear" w:pos="1626"/>
        </w:tabs>
        <w:spacing w:line="237" w:lineRule="auto"/>
        <w:ind w:left="1418" w:hanging="284"/>
        <w:jc w:val="both"/>
        <w:rPr>
          <w:rFonts w:eastAsia="Times New Roman"/>
        </w:rPr>
      </w:pPr>
      <w:r>
        <w:rPr>
          <w:rFonts w:eastAsia="Times New Roman"/>
        </w:rPr>
        <w:t xml:space="preserve">likwiduje występujące w sieci dystrybucyjnej </w:t>
      </w:r>
      <w:r w:rsidR="00941658">
        <w:rPr>
          <w:rFonts w:eastAsia="Times New Roman"/>
        </w:rPr>
        <w:t>OSDn</w:t>
      </w:r>
      <w:r>
        <w:rPr>
          <w:rFonts w:eastAsia="Times New Roman"/>
        </w:rPr>
        <w:t xml:space="preserve"> awarie sieciowe, awarie </w:t>
      </w:r>
      <w:r w:rsidR="00941658">
        <w:rPr>
          <w:rFonts w:eastAsia="Times New Roman"/>
        </w:rPr>
        <w:br/>
      </w:r>
      <w:r>
        <w:rPr>
          <w:rFonts w:eastAsia="Times New Roman"/>
        </w:rPr>
        <w:t>w systemie i stany zagrożenia bezpieczeństwa dostaw energii elektrycznej, samodzielnie oraz we współpracy z operatorem systemu przesyłowego oraz innymi operatorami systemów dystrybucyjnych,</w:t>
      </w:r>
    </w:p>
    <w:p w14:paraId="11D219F9" w14:textId="77777777" w:rsidR="00572BA3" w:rsidRDefault="00572BA3">
      <w:pPr>
        <w:numPr>
          <w:ilvl w:val="0"/>
          <w:numId w:val="94"/>
        </w:numPr>
        <w:tabs>
          <w:tab w:val="clear" w:pos="1626"/>
        </w:tabs>
        <w:spacing w:line="236" w:lineRule="auto"/>
        <w:ind w:left="1418" w:hanging="284"/>
        <w:jc w:val="both"/>
        <w:rPr>
          <w:rFonts w:eastAsia="Times New Roman"/>
        </w:rPr>
      </w:pPr>
      <w:r>
        <w:rPr>
          <w:rFonts w:eastAsia="Times New Roman"/>
        </w:rPr>
        <w:t>zbiera i przekazuje do operatora systemu przesyłowego dane oraz informacje niezbędne dla prowadzenia ruchu sieciowego i bezpieczeństwa pracy KSE zgodnie z IRiESP.</w:t>
      </w:r>
    </w:p>
    <w:p w14:paraId="443B1A22" w14:textId="77777777" w:rsidR="00572BA3" w:rsidRDefault="00572BA3">
      <w:pPr>
        <w:numPr>
          <w:ilvl w:val="0"/>
          <w:numId w:val="263"/>
        </w:numPr>
        <w:spacing w:line="234" w:lineRule="auto"/>
        <w:ind w:left="709" w:hanging="709"/>
        <w:jc w:val="both"/>
        <w:rPr>
          <w:rFonts w:eastAsia="Times New Roman"/>
        </w:rPr>
      </w:pPr>
      <w:r>
        <w:rPr>
          <w:rFonts w:eastAsia="Times New Roman"/>
        </w:rPr>
        <w:tab/>
        <w:t xml:space="preserve">Planowanie pracy sieci dystrybucyjnej </w:t>
      </w:r>
      <w:r w:rsidR="00941658">
        <w:rPr>
          <w:rFonts w:eastAsia="Times New Roman"/>
        </w:rPr>
        <w:t>OSDn</w:t>
      </w:r>
      <w:r>
        <w:rPr>
          <w:rFonts w:eastAsia="Times New Roman"/>
        </w:rPr>
        <w:t xml:space="preserve"> odbywa się w okresach dobowych, tygodniowych, miesięcznych, rocznych.</w:t>
      </w:r>
    </w:p>
    <w:p w14:paraId="2A66586E" w14:textId="7853B2AD" w:rsidR="00572BA3" w:rsidRDefault="00673DD7">
      <w:pPr>
        <w:numPr>
          <w:ilvl w:val="0"/>
          <w:numId w:val="263"/>
        </w:numPr>
        <w:spacing w:line="237" w:lineRule="auto"/>
        <w:ind w:left="709" w:hanging="709"/>
        <w:jc w:val="both"/>
        <w:rPr>
          <w:rFonts w:eastAsia="Times New Roman"/>
        </w:rPr>
      </w:pPr>
      <w:r>
        <w:rPr>
          <w:rFonts w:eastAsia="Times New Roman"/>
        </w:rPr>
        <w:t xml:space="preserve"> </w:t>
      </w:r>
      <w:r w:rsidR="00572BA3">
        <w:rPr>
          <w:rFonts w:eastAsia="Times New Roman"/>
        </w:rPr>
        <w:t xml:space="preserve">Działania </w:t>
      </w:r>
      <w:r w:rsidR="00941658">
        <w:rPr>
          <w:rFonts w:eastAsia="Times New Roman"/>
        </w:rPr>
        <w:t>OSDn</w:t>
      </w:r>
      <w:r w:rsidR="00572BA3">
        <w:rPr>
          <w:rFonts w:eastAsia="Times New Roman"/>
        </w:rPr>
        <w:t xml:space="preserve"> w zakresie bilansowania i regulacji w obszarze sieci dystrybucyjnej </w:t>
      </w:r>
      <w:r w:rsidR="00941658">
        <w:rPr>
          <w:rFonts w:eastAsia="Times New Roman"/>
        </w:rPr>
        <w:t>OSDn</w:t>
      </w:r>
      <w:r w:rsidR="00572BA3">
        <w:rPr>
          <w:rFonts w:eastAsia="Times New Roman"/>
        </w:rPr>
        <w:t xml:space="preserve">, jako części składowej KSE są ustalane w drodze umowy </w:t>
      </w:r>
      <w:r w:rsidR="00941658">
        <w:rPr>
          <w:rFonts w:eastAsia="Times New Roman"/>
        </w:rPr>
        <w:br/>
      </w:r>
      <w:r w:rsidR="00572BA3">
        <w:rPr>
          <w:rFonts w:eastAsia="Times New Roman"/>
        </w:rPr>
        <w:t>z operatorem systemu przesyłowego oraz zawarte w części IRiESD-Bilansowanie.</w:t>
      </w:r>
    </w:p>
    <w:p w14:paraId="3DFA9122" w14:textId="693E96D5" w:rsidR="00A2709A" w:rsidRDefault="00A2709A" w:rsidP="00A2709A">
      <w:pPr>
        <w:spacing w:line="237" w:lineRule="auto"/>
        <w:jc w:val="both"/>
        <w:rPr>
          <w:rFonts w:eastAsia="Times New Roman"/>
        </w:rPr>
      </w:pPr>
    </w:p>
    <w:p w14:paraId="212D653D" w14:textId="391187C0" w:rsidR="00A2709A" w:rsidRDefault="00A2709A" w:rsidP="00A2709A">
      <w:pPr>
        <w:spacing w:line="237" w:lineRule="auto"/>
        <w:jc w:val="both"/>
        <w:rPr>
          <w:rFonts w:eastAsia="Times New Roman"/>
        </w:rPr>
      </w:pPr>
    </w:p>
    <w:p w14:paraId="7091A8F0" w14:textId="77777777" w:rsidR="00A2709A" w:rsidRDefault="00A2709A" w:rsidP="00A2709A">
      <w:pPr>
        <w:spacing w:line="237" w:lineRule="auto"/>
        <w:jc w:val="both"/>
        <w:rPr>
          <w:rFonts w:eastAsia="Times New Roman"/>
        </w:rPr>
      </w:pPr>
    </w:p>
    <w:p w14:paraId="4C917383" w14:textId="77777777" w:rsidR="00E76A9D" w:rsidRDefault="00E76A9D" w:rsidP="00E76A9D">
      <w:pPr>
        <w:pStyle w:val="Nagwek2"/>
        <w:ind w:left="709" w:hanging="709"/>
        <w:jc w:val="both"/>
      </w:pPr>
      <w:bookmarkStart w:id="46" w:name="_Toc141963893"/>
      <w:r>
        <w:t xml:space="preserve">VI.2. </w:t>
      </w:r>
      <w:r>
        <w:rPr>
          <w:w w:val="99"/>
        </w:rPr>
        <w:t>STRUKTURA I PODZIAŁ KOMPETENCJI SŁUŻB DYSPOZYTORSKICH OPERATORA SYSTEMU DYSTRYBUCYJNEGO</w:t>
      </w:r>
      <w:bookmarkEnd w:id="46"/>
    </w:p>
    <w:p w14:paraId="1637BCC6" w14:textId="08416D1C" w:rsidR="00E76A9D" w:rsidRDefault="001E629E">
      <w:pPr>
        <w:numPr>
          <w:ilvl w:val="0"/>
          <w:numId w:val="264"/>
        </w:numPr>
        <w:spacing w:line="237" w:lineRule="auto"/>
        <w:ind w:left="851" w:hanging="851"/>
        <w:jc w:val="both"/>
        <w:rPr>
          <w:rFonts w:eastAsia="Times New Roman"/>
        </w:rPr>
      </w:pPr>
      <w:r>
        <w:rPr>
          <w:rFonts w:eastAsia="Times New Roman"/>
        </w:rPr>
        <w:t xml:space="preserve">Dla </w:t>
      </w:r>
      <w:r>
        <w:rPr>
          <w:rFonts w:eastAsia="Times New Roman"/>
          <w:w w:val="99"/>
        </w:rPr>
        <w:t xml:space="preserve">realizacji zadań wymienionych w pkt. VI.1., OSDn organizuje </w:t>
      </w:r>
      <w:r>
        <w:rPr>
          <w:rFonts w:eastAsia="Times New Roman"/>
        </w:rPr>
        <w:t>służby dyspozytorskie i ustala zakres oraz tryb współdziałania tych służb</w:t>
      </w:r>
      <w:r w:rsidR="008201BA">
        <w:rPr>
          <w:rFonts w:eastAsia="Times New Roman"/>
        </w:rPr>
        <w:t>.</w:t>
      </w:r>
    </w:p>
    <w:p w14:paraId="7351AA0E" w14:textId="24A5F05F" w:rsidR="001E629E" w:rsidRDefault="00A427BF">
      <w:pPr>
        <w:numPr>
          <w:ilvl w:val="0"/>
          <w:numId w:val="264"/>
        </w:numPr>
        <w:spacing w:line="237" w:lineRule="auto"/>
        <w:ind w:left="851" w:hanging="851"/>
        <w:jc w:val="both"/>
        <w:rPr>
          <w:rFonts w:eastAsia="Times New Roman"/>
        </w:rPr>
      </w:pPr>
      <w:r>
        <w:rPr>
          <w:rFonts w:eastAsia="Times New Roman"/>
        </w:rPr>
        <w:t>Struktura zależności służb dyspozytorskich organizowanych przez OSDn i inne podmioty przyłączone do sieci dystrybucyjnej OSDn ma charakter hierarchiczny, służby dyspozytorskie niższego szczebla są podporządkowane ruchowo służbom dyspozytorskim wyższego szczebla.</w:t>
      </w:r>
    </w:p>
    <w:p w14:paraId="1EF5DFC9" w14:textId="5272BAC3" w:rsidR="00A427BF" w:rsidRDefault="00A427BF">
      <w:pPr>
        <w:numPr>
          <w:ilvl w:val="0"/>
          <w:numId w:val="264"/>
        </w:numPr>
        <w:spacing w:line="237" w:lineRule="auto"/>
        <w:ind w:left="851" w:hanging="851"/>
        <w:jc w:val="both"/>
        <w:rPr>
          <w:rFonts w:eastAsia="Times New Roman"/>
        </w:rPr>
      </w:pPr>
      <w:r>
        <w:rPr>
          <w:rFonts w:eastAsia="Times New Roman"/>
        </w:rPr>
        <w:t xml:space="preserve">Organem koordynującym prace służb dyspozytorskich, o których mowa </w:t>
      </w:r>
      <w:r>
        <w:rPr>
          <w:rFonts w:eastAsia="Times New Roman"/>
        </w:rPr>
        <w:br/>
        <w:t>w pkt.VI.2.2 są właściwi operatorzy systemów dystrybucyjnych.</w:t>
      </w:r>
    </w:p>
    <w:p w14:paraId="5996EFDE" w14:textId="588F12AE" w:rsidR="00A427BF" w:rsidRDefault="00A427BF">
      <w:pPr>
        <w:numPr>
          <w:ilvl w:val="0"/>
          <w:numId w:val="264"/>
        </w:numPr>
        <w:spacing w:line="237" w:lineRule="auto"/>
        <w:ind w:left="851" w:hanging="851"/>
        <w:jc w:val="both"/>
        <w:rPr>
          <w:rFonts w:eastAsia="Times New Roman"/>
        </w:rPr>
      </w:pPr>
      <w:r>
        <w:rPr>
          <w:rFonts w:eastAsia="Times New Roman"/>
          <w:w w:val="99"/>
        </w:rPr>
        <w:lastRenderedPageBreak/>
        <w:t xml:space="preserve">Służby dyspozytorskie OSDn działają za pośrednictwem własnego </w:t>
      </w:r>
      <w:r>
        <w:rPr>
          <w:rFonts w:eastAsia="Times New Roman"/>
        </w:rPr>
        <w:t xml:space="preserve">personelu dyżurnego i/lub personelu dyżurnego innych podmiotów, na podstawie umów oraz instrukcji, </w:t>
      </w:r>
      <w:r w:rsidR="007C6B55">
        <w:rPr>
          <w:rFonts w:eastAsia="Times New Roman"/>
        </w:rPr>
        <w:br/>
      </w:r>
      <w:r>
        <w:rPr>
          <w:rFonts w:eastAsia="Times New Roman"/>
        </w:rPr>
        <w:t>o których mowa w pkt.VI.2.10.</w:t>
      </w:r>
    </w:p>
    <w:p w14:paraId="0E7D0D4A" w14:textId="5CA2D499" w:rsidR="00A427BF" w:rsidRDefault="00985F54">
      <w:pPr>
        <w:numPr>
          <w:ilvl w:val="0"/>
          <w:numId w:val="264"/>
        </w:numPr>
        <w:spacing w:line="237" w:lineRule="auto"/>
        <w:ind w:left="851" w:hanging="851"/>
        <w:jc w:val="both"/>
        <w:rPr>
          <w:rFonts w:eastAsia="Times New Roman"/>
        </w:rPr>
      </w:pPr>
      <w:r>
        <w:rPr>
          <w:rFonts w:eastAsia="Times New Roman"/>
        </w:rPr>
        <w:t>OSDn przy pomocy służb dyspozytorskich, na obszarze sieci dystrybucyjnej za której ruch odpowiada, operatywnie kieruje:</w:t>
      </w:r>
    </w:p>
    <w:p w14:paraId="6E738A19" w14:textId="77777777" w:rsidR="00985F54" w:rsidRDefault="00985F54">
      <w:pPr>
        <w:numPr>
          <w:ilvl w:val="0"/>
          <w:numId w:val="265"/>
        </w:numPr>
        <w:spacing w:line="237" w:lineRule="auto"/>
        <w:jc w:val="both"/>
        <w:rPr>
          <w:rFonts w:eastAsia="Times New Roman"/>
        </w:rPr>
      </w:pPr>
      <w:r>
        <w:rPr>
          <w:rFonts w:eastAsia="Times New Roman"/>
        </w:rPr>
        <w:t>układami pracy sieci dystrybucyjnej OSDn,</w:t>
      </w:r>
    </w:p>
    <w:p w14:paraId="6185E674" w14:textId="77777777" w:rsidR="00985F54" w:rsidRDefault="00985F54">
      <w:pPr>
        <w:numPr>
          <w:ilvl w:val="0"/>
          <w:numId w:val="265"/>
        </w:numPr>
        <w:spacing w:line="237" w:lineRule="auto"/>
        <w:jc w:val="both"/>
        <w:rPr>
          <w:rFonts w:eastAsia="Times New Roman"/>
        </w:rPr>
      </w:pPr>
      <w:r>
        <w:rPr>
          <w:rFonts w:eastAsia="Times New Roman"/>
        </w:rPr>
        <w:t>pracą jednostek wytwórczych przyłączonych do sieci dystrybucyjnej OSDn, innych niż JWCD i JWCK,</w:t>
      </w:r>
    </w:p>
    <w:p w14:paraId="68E6D644" w14:textId="77777777" w:rsidR="00985F54" w:rsidRDefault="00985F54">
      <w:pPr>
        <w:numPr>
          <w:ilvl w:val="0"/>
          <w:numId w:val="265"/>
        </w:numPr>
        <w:spacing w:line="237" w:lineRule="auto"/>
        <w:jc w:val="both"/>
        <w:rPr>
          <w:rFonts w:eastAsia="Times New Roman"/>
        </w:rPr>
      </w:pPr>
      <w:r>
        <w:rPr>
          <w:rFonts w:eastAsia="Times New Roman"/>
        </w:rPr>
        <w:t>urządzeniami sieci dystrybucyjnej OSDn,</w:t>
      </w:r>
    </w:p>
    <w:p w14:paraId="7AB6DEA5" w14:textId="77777777" w:rsidR="00985F54" w:rsidRDefault="00985F54">
      <w:pPr>
        <w:numPr>
          <w:ilvl w:val="0"/>
          <w:numId w:val="265"/>
        </w:numPr>
        <w:spacing w:line="237" w:lineRule="auto"/>
        <w:jc w:val="both"/>
        <w:rPr>
          <w:rFonts w:eastAsia="Times New Roman"/>
        </w:rPr>
      </w:pPr>
      <w:r>
        <w:rPr>
          <w:rFonts w:eastAsia="Times New Roman"/>
        </w:rPr>
        <w:t>liniami wymiany z siecią dystrybucyjną, za której ruch odpowiadają inni OSDp, na podstawie zawartych umów,</w:t>
      </w:r>
    </w:p>
    <w:p w14:paraId="54884804" w14:textId="77777777" w:rsidR="00985F54" w:rsidRDefault="00985F54">
      <w:pPr>
        <w:numPr>
          <w:ilvl w:val="0"/>
          <w:numId w:val="265"/>
        </w:numPr>
        <w:spacing w:line="237" w:lineRule="auto"/>
        <w:jc w:val="both"/>
        <w:rPr>
          <w:rFonts w:eastAsia="Times New Roman"/>
        </w:rPr>
      </w:pPr>
      <w:r>
        <w:rPr>
          <w:rFonts w:eastAsia="Times New Roman"/>
        </w:rPr>
        <w:t>czynnościami łączeniowymi wg podziału kompetencji.</w:t>
      </w:r>
    </w:p>
    <w:p w14:paraId="0B3FA6D6" w14:textId="575DA170" w:rsidR="00343F7C" w:rsidRPr="00985F54" w:rsidRDefault="00343F7C">
      <w:pPr>
        <w:numPr>
          <w:ilvl w:val="0"/>
          <w:numId w:val="264"/>
        </w:numPr>
        <w:spacing w:line="237" w:lineRule="auto"/>
        <w:ind w:left="851" w:hanging="851"/>
        <w:jc w:val="both"/>
        <w:rPr>
          <w:rFonts w:eastAsia="Times New Roman"/>
        </w:rPr>
      </w:pPr>
      <w:r>
        <w:rPr>
          <w:rFonts w:eastAsia="Times New Roman"/>
        </w:rPr>
        <w:t xml:space="preserve">Służby dyspozytorskie, o których mowa w pkt.VI.2.5., sprawują operatywne kierownictwo </w:t>
      </w:r>
      <w:r>
        <w:rPr>
          <w:rFonts w:eastAsia="Times New Roman"/>
          <w:w w:val="97"/>
        </w:rPr>
        <w:t xml:space="preserve">nad </w:t>
      </w:r>
      <w:r>
        <w:rPr>
          <w:rFonts w:eastAsia="Times New Roman"/>
        </w:rPr>
        <w:t xml:space="preserve">urządzeniami systemu dystrybucyjnego, polegające </w:t>
      </w:r>
      <w:r>
        <w:rPr>
          <w:rFonts w:eastAsia="Times New Roman"/>
        </w:rPr>
        <w:br/>
        <w:t>w szczególności na:</w:t>
      </w:r>
    </w:p>
    <w:p w14:paraId="23F00A01" w14:textId="77777777" w:rsidR="00730851" w:rsidRDefault="00572BA3">
      <w:pPr>
        <w:numPr>
          <w:ilvl w:val="0"/>
          <w:numId w:val="266"/>
        </w:numPr>
        <w:spacing w:line="0" w:lineRule="atLeast"/>
        <w:ind w:left="1276" w:hanging="283"/>
        <w:rPr>
          <w:rFonts w:eastAsia="Times New Roman"/>
        </w:rPr>
      </w:pPr>
      <w:bookmarkStart w:id="47" w:name="page89"/>
      <w:bookmarkEnd w:id="47"/>
      <w:r>
        <w:rPr>
          <w:rFonts w:eastAsia="Times New Roman"/>
        </w:rPr>
        <w:t>monitorowaniu pracy urządzeń,</w:t>
      </w:r>
      <w:bookmarkStart w:id="48" w:name="page90"/>
      <w:bookmarkEnd w:id="48"/>
    </w:p>
    <w:p w14:paraId="4ABC8CEC" w14:textId="77777777" w:rsidR="00572BA3" w:rsidRDefault="00572BA3">
      <w:pPr>
        <w:numPr>
          <w:ilvl w:val="0"/>
          <w:numId w:val="95"/>
        </w:numPr>
        <w:tabs>
          <w:tab w:val="clear" w:pos="2706"/>
        </w:tabs>
        <w:spacing w:line="0" w:lineRule="atLeast"/>
        <w:ind w:left="1276" w:hanging="283"/>
        <w:jc w:val="both"/>
        <w:rPr>
          <w:rFonts w:eastAsia="Times New Roman"/>
        </w:rPr>
      </w:pPr>
      <w:r>
        <w:rPr>
          <w:rFonts w:eastAsia="Times New Roman"/>
        </w:rPr>
        <w:t>dokonywaniu operacji ruchowych, bądź wydawaniu poleceń dokonywania operacji ruchowych – z tym</w:t>
      </w:r>
      <w:r w:rsidR="00FF006C">
        <w:rPr>
          <w:rFonts w:eastAsia="Times New Roman"/>
        </w:rPr>
        <w:t>,</w:t>
      </w:r>
      <w:r>
        <w:rPr>
          <w:rFonts w:eastAsia="Times New Roman"/>
        </w:rPr>
        <w:t xml:space="preserve"> że dla elementów sieci innych podmiotów na podstawie zawartych umów,</w:t>
      </w:r>
    </w:p>
    <w:p w14:paraId="3E771B4B" w14:textId="77777777" w:rsidR="00572BA3" w:rsidRDefault="00572BA3">
      <w:pPr>
        <w:numPr>
          <w:ilvl w:val="0"/>
          <w:numId w:val="95"/>
        </w:numPr>
        <w:tabs>
          <w:tab w:val="left" w:pos="1420"/>
        </w:tabs>
        <w:spacing w:line="0" w:lineRule="atLeast"/>
        <w:ind w:left="1276" w:hanging="283"/>
        <w:rPr>
          <w:rFonts w:eastAsia="Times New Roman"/>
        </w:rPr>
      </w:pPr>
      <w:r>
        <w:rPr>
          <w:rFonts w:eastAsia="Times New Roman"/>
        </w:rPr>
        <w:t>rejestrowaniu stanów pracy urządzeń,</w:t>
      </w:r>
    </w:p>
    <w:p w14:paraId="7A5ED2C0" w14:textId="77777777" w:rsidR="00572BA3" w:rsidRDefault="00572BA3">
      <w:pPr>
        <w:numPr>
          <w:ilvl w:val="0"/>
          <w:numId w:val="95"/>
        </w:numPr>
        <w:tabs>
          <w:tab w:val="left" w:pos="1420"/>
        </w:tabs>
        <w:spacing w:line="0" w:lineRule="atLeast"/>
        <w:ind w:left="1276" w:hanging="283"/>
        <w:jc w:val="both"/>
        <w:rPr>
          <w:rFonts w:eastAsia="Times New Roman"/>
        </w:rPr>
      </w:pPr>
      <w:r>
        <w:rPr>
          <w:rFonts w:eastAsia="Times New Roman"/>
        </w:rPr>
        <w:t>prowadzeniu analiz z pracy urządzeń systemu dystrybucyjnego.</w:t>
      </w:r>
    </w:p>
    <w:p w14:paraId="22C80D08" w14:textId="77777777" w:rsidR="00572BA3" w:rsidRDefault="00572BA3" w:rsidP="002B5645">
      <w:pPr>
        <w:spacing w:line="234" w:lineRule="auto"/>
        <w:ind w:left="851" w:hanging="790"/>
        <w:jc w:val="both"/>
        <w:rPr>
          <w:rFonts w:eastAsia="Times New Roman"/>
        </w:rPr>
      </w:pPr>
      <w:r>
        <w:rPr>
          <w:rFonts w:eastAsia="Times New Roman"/>
        </w:rPr>
        <w:t>VI.2.7.</w:t>
      </w:r>
      <w:r>
        <w:rPr>
          <w:rFonts w:eastAsia="Times New Roman"/>
        </w:rPr>
        <w:tab/>
        <w:t xml:space="preserve">Służby dyspozytorskie </w:t>
      </w:r>
      <w:r w:rsidR="007C1A1B">
        <w:rPr>
          <w:rFonts w:eastAsia="Times New Roman"/>
        </w:rPr>
        <w:t>OSDn</w:t>
      </w:r>
      <w:r>
        <w:rPr>
          <w:rFonts w:eastAsia="Times New Roman"/>
        </w:rPr>
        <w:t xml:space="preserve"> na obszarze sieci dystrybucyjnej, za której ruch odpowiada, sprawują operatywny nadzór nad:</w:t>
      </w:r>
    </w:p>
    <w:p w14:paraId="6FA8BA5B" w14:textId="77777777" w:rsidR="00572BA3" w:rsidRDefault="00572BA3">
      <w:pPr>
        <w:numPr>
          <w:ilvl w:val="0"/>
          <w:numId w:val="96"/>
        </w:numPr>
        <w:tabs>
          <w:tab w:val="clear" w:pos="2706"/>
        </w:tabs>
        <w:spacing w:line="234" w:lineRule="auto"/>
        <w:ind w:left="1418" w:hanging="338"/>
        <w:jc w:val="both"/>
        <w:rPr>
          <w:rFonts w:eastAsia="Times New Roman"/>
        </w:rPr>
      </w:pPr>
      <w:r>
        <w:rPr>
          <w:rFonts w:eastAsia="Times New Roman"/>
        </w:rPr>
        <w:t xml:space="preserve">układami pracy sieci dystrybucyjnej </w:t>
      </w:r>
      <w:r w:rsidR="0047186C">
        <w:rPr>
          <w:rFonts w:eastAsia="Times New Roman"/>
        </w:rPr>
        <w:t>OSDn</w:t>
      </w:r>
      <w:r>
        <w:rPr>
          <w:rFonts w:eastAsia="Times New Roman"/>
        </w:rPr>
        <w:t xml:space="preserve"> operatywnie kierowanymi przez podległe mu służby dyspozytorskie,</w:t>
      </w:r>
    </w:p>
    <w:p w14:paraId="370215B8" w14:textId="77777777" w:rsidR="00572BA3" w:rsidRDefault="00572BA3">
      <w:pPr>
        <w:numPr>
          <w:ilvl w:val="0"/>
          <w:numId w:val="96"/>
        </w:numPr>
        <w:tabs>
          <w:tab w:val="clear" w:pos="2706"/>
        </w:tabs>
        <w:spacing w:line="234" w:lineRule="auto"/>
        <w:ind w:left="1418" w:hanging="338"/>
        <w:jc w:val="both"/>
        <w:rPr>
          <w:rFonts w:eastAsia="Times New Roman"/>
        </w:rPr>
      </w:pPr>
      <w:r>
        <w:rPr>
          <w:rFonts w:eastAsia="Times New Roman"/>
        </w:rPr>
        <w:t xml:space="preserve">urządzeniami sieci dystrybucyjnej </w:t>
      </w:r>
      <w:r w:rsidR="0047186C">
        <w:rPr>
          <w:rFonts w:eastAsia="Times New Roman"/>
        </w:rPr>
        <w:t>OSDn</w:t>
      </w:r>
      <w:r>
        <w:rPr>
          <w:rFonts w:eastAsia="Times New Roman"/>
        </w:rPr>
        <w:t xml:space="preserve"> operatywnie kierowanymi przez podległe mu służby dyspozytorskie,</w:t>
      </w:r>
    </w:p>
    <w:p w14:paraId="6607F39B" w14:textId="77777777" w:rsidR="00572BA3" w:rsidRDefault="00572BA3">
      <w:pPr>
        <w:numPr>
          <w:ilvl w:val="0"/>
          <w:numId w:val="96"/>
        </w:numPr>
        <w:tabs>
          <w:tab w:val="clear" w:pos="2706"/>
        </w:tabs>
        <w:spacing w:line="234" w:lineRule="auto"/>
        <w:ind w:left="1418" w:hanging="284"/>
        <w:jc w:val="both"/>
        <w:rPr>
          <w:rFonts w:eastAsia="Times New Roman"/>
        </w:rPr>
      </w:pPr>
      <w:r>
        <w:rPr>
          <w:rFonts w:eastAsia="Times New Roman"/>
        </w:rPr>
        <w:t>czynnościami łączeniowymi i regulacyjnymi wykonywanymi przez podległe mu służby dyspozytorskie lub personel dyżurny wg podziału kompetencji,</w:t>
      </w:r>
    </w:p>
    <w:p w14:paraId="5A197140" w14:textId="77777777" w:rsidR="00572BA3" w:rsidRDefault="00572BA3">
      <w:pPr>
        <w:numPr>
          <w:ilvl w:val="0"/>
          <w:numId w:val="96"/>
        </w:numPr>
        <w:tabs>
          <w:tab w:val="clear" w:pos="2706"/>
        </w:tabs>
        <w:spacing w:line="234" w:lineRule="auto"/>
        <w:ind w:left="1418" w:hanging="338"/>
        <w:jc w:val="both"/>
        <w:rPr>
          <w:rFonts w:eastAsia="Times New Roman"/>
        </w:rPr>
      </w:pPr>
      <w:r>
        <w:rPr>
          <w:rFonts w:eastAsia="Times New Roman"/>
        </w:rPr>
        <w:t>źródłami energii elektrycznej czynnej i biernej operatywnie kierowanymi przez podległe mu służby dyspozytorskie.</w:t>
      </w:r>
    </w:p>
    <w:p w14:paraId="1D1A8C54" w14:textId="77777777" w:rsidR="00572BA3" w:rsidRDefault="00572BA3">
      <w:pPr>
        <w:tabs>
          <w:tab w:val="left" w:pos="1120"/>
        </w:tabs>
        <w:spacing w:line="236" w:lineRule="auto"/>
        <w:ind w:left="1140" w:hanging="1079"/>
        <w:jc w:val="both"/>
        <w:rPr>
          <w:rFonts w:eastAsia="Times New Roman"/>
        </w:rPr>
      </w:pPr>
      <w:r>
        <w:rPr>
          <w:rFonts w:eastAsia="Times New Roman"/>
        </w:rPr>
        <w:t>VI.2.8.</w:t>
      </w:r>
      <w:r>
        <w:rPr>
          <w:rFonts w:eastAsia="Times New Roman"/>
        </w:rPr>
        <w:tab/>
        <w:t xml:space="preserve">Służby dyspozytorskie o których mowa w pkt.VI.2.7. sprawują operatywny nadzór nad określonymi urządzeniami systemu dystrybucyjnego </w:t>
      </w:r>
      <w:r w:rsidR="00D85AB8">
        <w:rPr>
          <w:rFonts w:eastAsia="Times New Roman"/>
        </w:rPr>
        <w:t>OSDn</w:t>
      </w:r>
      <w:r>
        <w:rPr>
          <w:rFonts w:eastAsia="Times New Roman"/>
        </w:rPr>
        <w:t xml:space="preserve">, polegający </w:t>
      </w:r>
      <w:r w:rsidR="00D85AB8">
        <w:rPr>
          <w:rFonts w:eastAsia="Times New Roman"/>
        </w:rPr>
        <w:br/>
      </w:r>
      <w:r>
        <w:rPr>
          <w:rFonts w:eastAsia="Times New Roman"/>
        </w:rPr>
        <w:t>w szczególności na:</w:t>
      </w:r>
    </w:p>
    <w:p w14:paraId="1E863175" w14:textId="77777777" w:rsidR="00572BA3" w:rsidRDefault="00572BA3">
      <w:pPr>
        <w:numPr>
          <w:ilvl w:val="0"/>
          <w:numId w:val="97"/>
        </w:numPr>
        <w:tabs>
          <w:tab w:val="left" w:pos="1420"/>
        </w:tabs>
        <w:spacing w:line="0" w:lineRule="atLeast"/>
        <w:jc w:val="both"/>
        <w:rPr>
          <w:rFonts w:eastAsia="Times New Roman"/>
        </w:rPr>
      </w:pPr>
      <w:r>
        <w:rPr>
          <w:rFonts w:eastAsia="Times New Roman"/>
        </w:rPr>
        <w:t>bieżącym uzyskiwaniu informacji o stanie pracy urządzeń,</w:t>
      </w:r>
    </w:p>
    <w:p w14:paraId="1D241F29" w14:textId="77777777" w:rsidR="00572BA3" w:rsidRDefault="00572BA3">
      <w:pPr>
        <w:numPr>
          <w:ilvl w:val="0"/>
          <w:numId w:val="97"/>
        </w:numPr>
        <w:tabs>
          <w:tab w:val="clear" w:pos="2706"/>
        </w:tabs>
        <w:spacing w:line="234" w:lineRule="auto"/>
        <w:ind w:left="1418" w:hanging="338"/>
        <w:jc w:val="both"/>
        <w:rPr>
          <w:rFonts w:eastAsia="Times New Roman"/>
        </w:rPr>
      </w:pPr>
      <w:r>
        <w:rPr>
          <w:rFonts w:eastAsia="Times New Roman"/>
        </w:rPr>
        <w:t>przejmowaniu w uzasadnionych przypadkach operatywnego kierownictwa nad urządzeniami,</w:t>
      </w:r>
    </w:p>
    <w:p w14:paraId="0DCC3094" w14:textId="77777777" w:rsidR="00572BA3" w:rsidRDefault="00572BA3">
      <w:pPr>
        <w:numPr>
          <w:ilvl w:val="0"/>
          <w:numId w:val="97"/>
        </w:numPr>
        <w:tabs>
          <w:tab w:val="left" w:pos="1420"/>
        </w:tabs>
        <w:spacing w:line="0" w:lineRule="atLeast"/>
        <w:rPr>
          <w:rFonts w:eastAsia="Times New Roman"/>
        </w:rPr>
      </w:pPr>
      <w:r>
        <w:rPr>
          <w:rFonts w:eastAsia="Times New Roman"/>
        </w:rPr>
        <w:t>wydawaniu zgody na wykonanie czynności ruchowych.</w:t>
      </w:r>
    </w:p>
    <w:p w14:paraId="6D705895" w14:textId="77777777" w:rsidR="00572BA3" w:rsidRDefault="00572BA3">
      <w:pPr>
        <w:tabs>
          <w:tab w:val="left" w:pos="1120"/>
        </w:tabs>
        <w:spacing w:line="236" w:lineRule="auto"/>
        <w:ind w:left="1140" w:hanging="1079"/>
        <w:jc w:val="both"/>
        <w:rPr>
          <w:rFonts w:eastAsia="Times New Roman"/>
        </w:rPr>
      </w:pPr>
      <w:r>
        <w:rPr>
          <w:rFonts w:eastAsia="Times New Roman"/>
        </w:rPr>
        <w:t>VI.2.</w:t>
      </w:r>
      <w:r w:rsidR="00A424C8">
        <w:rPr>
          <w:rFonts w:eastAsia="Times New Roman"/>
        </w:rPr>
        <w:t>9</w:t>
      </w:r>
      <w:r>
        <w:rPr>
          <w:rFonts w:eastAsia="Times New Roman"/>
        </w:rPr>
        <w:t>.</w:t>
      </w:r>
      <w:r>
        <w:rPr>
          <w:rFonts w:eastAsia="Times New Roman"/>
        </w:rPr>
        <w:tab/>
        <w:t xml:space="preserve">Zasady współpracy własnych służb dyspozytorskich ze służbami dyspozytorskimi innych operatorów systemów dystrybucyjnych zawarte są w umowach i/lub </w:t>
      </w:r>
      <w:r w:rsidR="00A424C8">
        <w:rPr>
          <w:rFonts w:eastAsia="Times New Roman"/>
        </w:rPr>
        <w:br/>
      </w:r>
      <w:r>
        <w:rPr>
          <w:rFonts w:eastAsia="Times New Roman"/>
        </w:rPr>
        <w:t>w instrukcjach współpracy.</w:t>
      </w:r>
    </w:p>
    <w:p w14:paraId="0A033C86" w14:textId="77777777" w:rsidR="00572BA3" w:rsidRPr="00FA49B5" w:rsidRDefault="00572BA3" w:rsidP="00975ECC">
      <w:pPr>
        <w:tabs>
          <w:tab w:val="left" w:pos="1120"/>
        </w:tabs>
        <w:spacing w:line="237" w:lineRule="auto"/>
        <w:ind w:left="1140" w:hanging="1079"/>
        <w:jc w:val="both"/>
        <w:rPr>
          <w:rFonts w:eastAsia="Times New Roman"/>
          <w:color w:val="000000"/>
        </w:rPr>
      </w:pPr>
      <w:r>
        <w:rPr>
          <w:rFonts w:eastAsia="Times New Roman"/>
        </w:rPr>
        <w:t>VI.2.1</w:t>
      </w:r>
      <w:r w:rsidR="00A424C8">
        <w:rPr>
          <w:rFonts w:eastAsia="Times New Roman"/>
        </w:rPr>
        <w:t>0</w:t>
      </w:r>
      <w:r>
        <w:rPr>
          <w:rFonts w:eastAsia="Times New Roman"/>
        </w:rPr>
        <w:t>.</w:t>
      </w:r>
      <w:r>
        <w:rPr>
          <w:rFonts w:eastAsia="Times New Roman"/>
        </w:rPr>
        <w:tab/>
        <w:t xml:space="preserve">Podmioty przyłączone do sieci dystrybucyjnej </w:t>
      </w:r>
      <w:r w:rsidR="00A424C8">
        <w:rPr>
          <w:rFonts w:eastAsia="Times New Roman"/>
        </w:rPr>
        <w:t>OSDn</w:t>
      </w:r>
      <w:r>
        <w:rPr>
          <w:rFonts w:eastAsia="Times New Roman"/>
        </w:rPr>
        <w:t xml:space="preserve"> o napięciu znamionowym wyższym niż 1 kV zaliczone III i VI grupy przyłączeniowej oraz wytwórcy niezależnie od poziomu napięcia sieci, a także w uzasadnionych przypadkach inne podmioty wskazane przez </w:t>
      </w:r>
      <w:r w:rsidR="00A424C8">
        <w:rPr>
          <w:rFonts w:eastAsia="Times New Roman"/>
        </w:rPr>
        <w:t>OSDn</w:t>
      </w:r>
      <w:r>
        <w:rPr>
          <w:rFonts w:eastAsia="Times New Roman"/>
        </w:rPr>
        <w:t xml:space="preserve"> opracowują instrukcje współpracy, które powinny </w:t>
      </w:r>
      <w:r w:rsidRPr="00FA49B5">
        <w:rPr>
          <w:rFonts w:eastAsia="Times New Roman"/>
          <w:color w:val="000000"/>
        </w:rPr>
        <w:t>uwzględniać wymagania określone w niniejszej IRiESD.</w:t>
      </w:r>
    </w:p>
    <w:p w14:paraId="3935A5D7" w14:textId="77777777" w:rsidR="00572BA3" w:rsidRPr="00FA49B5" w:rsidRDefault="00572BA3" w:rsidP="00975ECC">
      <w:pPr>
        <w:tabs>
          <w:tab w:val="left" w:pos="1120"/>
        </w:tabs>
        <w:spacing w:line="234" w:lineRule="auto"/>
        <w:ind w:left="1140" w:hanging="1079"/>
        <w:jc w:val="both"/>
        <w:rPr>
          <w:rFonts w:eastAsia="Times New Roman"/>
          <w:color w:val="000000"/>
        </w:rPr>
      </w:pPr>
      <w:r w:rsidRPr="00FA49B5">
        <w:rPr>
          <w:rFonts w:eastAsia="Times New Roman"/>
          <w:color w:val="000000"/>
        </w:rPr>
        <w:t>VI.2.1</w:t>
      </w:r>
      <w:r w:rsidR="00A424C8" w:rsidRPr="00FA49B5">
        <w:rPr>
          <w:rFonts w:eastAsia="Times New Roman"/>
          <w:color w:val="000000"/>
        </w:rPr>
        <w:t>1</w:t>
      </w:r>
      <w:r w:rsidRPr="00FA49B5">
        <w:rPr>
          <w:rFonts w:eastAsia="Times New Roman"/>
          <w:color w:val="000000"/>
        </w:rPr>
        <w:t>.</w:t>
      </w:r>
      <w:r w:rsidRPr="00FA49B5">
        <w:rPr>
          <w:rFonts w:eastAsia="Times New Roman"/>
          <w:color w:val="000000"/>
        </w:rPr>
        <w:tab/>
        <w:t>Przedmiotem instrukcji współpracy, o których mowa w pkt.VI.2.10 oraz VI.2.11 jest w zależności od potrzeb:</w:t>
      </w:r>
    </w:p>
    <w:p w14:paraId="5A27F5AE" w14:textId="77777777" w:rsidR="00572BA3" w:rsidRPr="00FA49B5" w:rsidRDefault="00572BA3">
      <w:pPr>
        <w:numPr>
          <w:ilvl w:val="0"/>
          <w:numId w:val="98"/>
        </w:numPr>
        <w:tabs>
          <w:tab w:val="clear" w:pos="2706"/>
          <w:tab w:val="left" w:pos="1418"/>
        </w:tabs>
        <w:spacing w:line="0" w:lineRule="atLeast"/>
        <w:ind w:left="1418" w:hanging="338"/>
        <w:jc w:val="both"/>
        <w:rPr>
          <w:rFonts w:eastAsia="Times New Roman"/>
          <w:color w:val="000000"/>
        </w:rPr>
      </w:pPr>
      <w:r w:rsidRPr="00FA49B5">
        <w:rPr>
          <w:rFonts w:eastAsia="Times New Roman"/>
          <w:color w:val="000000"/>
        </w:rPr>
        <w:t>podział kompetencji i odpowiedzialności w zakresie czynności łączeniowych</w:t>
      </w:r>
      <w:r w:rsidR="00B7431B" w:rsidRPr="00FA49B5">
        <w:rPr>
          <w:rFonts w:eastAsia="Times New Roman"/>
          <w:color w:val="000000"/>
        </w:rPr>
        <w:t>,</w:t>
      </w:r>
    </w:p>
    <w:p w14:paraId="4A09067A" w14:textId="77777777" w:rsidR="00572BA3" w:rsidRPr="00FA49B5" w:rsidRDefault="00572BA3">
      <w:pPr>
        <w:numPr>
          <w:ilvl w:val="1"/>
          <w:numId w:val="37"/>
        </w:numPr>
        <w:tabs>
          <w:tab w:val="left" w:pos="1418"/>
          <w:tab w:val="left" w:pos="1540"/>
        </w:tabs>
        <w:spacing w:line="0" w:lineRule="atLeast"/>
        <w:ind w:left="1418" w:hanging="338"/>
        <w:jc w:val="both"/>
        <w:rPr>
          <w:rFonts w:eastAsia="Times New Roman"/>
          <w:color w:val="000000"/>
        </w:rPr>
      </w:pPr>
      <w:r w:rsidRPr="00FA49B5">
        <w:rPr>
          <w:rFonts w:eastAsia="Times New Roman"/>
          <w:color w:val="000000"/>
        </w:rPr>
        <w:t>regulacyjnych, z uwzględnieniem określonej w umowie granicy majątku</w:t>
      </w:r>
      <w:r w:rsidR="00B7431B" w:rsidRPr="00FA49B5">
        <w:rPr>
          <w:rFonts w:eastAsia="Times New Roman"/>
          <w:color w:val="000000"/>
        </w:rPr>
        <w:t>,</w:t>
      </w:r>
    </w:p>
    <w:p w14:paraId="574A503C" w14:textId="77777777" w:rsidR="00572BA3" w:rsidRPr="00FA49B5" w:rsidRDefault="00572BA3">
      <w:pPr>
        <w:numPr>
          <w:ilvl w:val="1"/>
          <w:numId w:val="37"/>
        </w:numPr>
        <w:tabs>
          <w:tab w:val="left" w:pos="1418"/>
        </w:tabs>
        <w:spacing w:line="0" w:lineRule="atLeast"/>
        <w:ind w:left="1440" w:hanging="360"/>
        <w:jc w:val="both"/>
        <w:rPr>
          <w:rFonts w:eastAsia="Times New Roman"/>
          <w:color w:val="000000"/>
        </w:rPr>
      </w:pPr>
      <w:r w:rsidRPr="00FA49B5">
        <w:rPr>
          <w:rFonts w:eastAsia="Times New Roman"/>
          <w:color w:val="000000"/>
        </w:rPr>
        <w:lastRenderedPageBreak/>
        <w:t>organizacja przerw i ograniczeń w dostawach energii elektrycznej,</w:t>
      </w:r>
    </w:p>
    <w:p w14:paraId="58F4E670" w14:textId="77777777" w:rsidR="00572BA3" w:rsidRPr="00FA49B5" w:rsidRDefault="00572BA3">
      <w:pPr>
        <w:numPr>
          <w:ilvl w:val="0"/>
          <w:numId w:val="37"/>
        </w:numPr>
        <w:tabs>
          <w:tab w:val="left" w:pos="1418"/>
        </w:tabs>
        <w:spacing w:line="234" w:lineRule="auto"/>
        <w:ind w:left="1418" w:hanging="338"/>
        <w:jc w:val="both"/>
        <w:rPr>
          <w:rFonts w:eastAsia="Times New Roman"/>
          <w:color w:val="000000"/>
        </w:rPr>
      </w:pPr>
      <w:r w:rsidRPr="00FA49B5">
        <w:rPr>
          <w:rFonts w:eastAsia="Times New Roman"/>
          <w:color w:val="000000"/>
        </w:rPr>
        <w:t>określenie zasad i warunków związanych z wzajemnym wykorzystaniem elementów sieci dystrybucyjnej,</w:t>
      </w:r>
    </w:p>
    <w:p w14:paraId="46392BF5" w14:textId="77777777" w:rsidR="00572BA3" w:rsidRPr="00FA49B5" w:rsidRDefault="00572BA3">
      <w:pPr>
        <w:numPr>
          <w:ilvl w:val="0"/>
          <w:numId w:val="37"/>
        </w:numPr>
        <w:tabs>
          <w:tab w:val="left" w:pos="1418"/>
        </w:tabs>
        <w:spacing w:line="0" w:lineRule="atLeast"/>
        <w:ind w:left="1418" w:hanging="338"/>
        <w:jc w:val="both"/>
        <w:rPr>
          <w:rFonts w:eastAsia="Times New Roman"/>
          <w:color w:val="000000"/>
          <w:sz w:val="23"/>
        </w:rPr>
      </w:pPr>
      <w:r w:rsidRPr="00FA49B5">
        <w:rPr>
          <w:rFonts w:eastAsia="Times New Roman"/>
          <w:color w:val="000000"/>
          <w:sz w:val="23"/>
        </w:rPr>
        <w:t>szczegółowe ustalenia sposobów realizacji poszczególnych zadań wymienionych</w:t>
      </w:r>
      <w:r w:rsidR="00B7431B" w:rsidRPr="00FA49B5">
        <w:rPr>
          <w:rFonts w:eastAsia="Times New Roman"/>
          <w:color w:val="000000"/>
          <w:sz w:val="23"/>
        </w:rPr>
        <w:t xml:space="preserve"> </w:t>
      </w:r>
      <w:r w:rsidR="00B7431B" w:rsidRPr="00FA49B5">
        <w:rPr>
          <w:rFonts w:eastAsia="Times New Roman"/>
          <w:color w:val="000000"/>
          <w:sz w:val="23"/>
        </w:rPr>
        <w:br/>
        <w:t xml:space="preserve">w </w:t>
      </w:r>
      <w:r w:rsidRPr="00FA49B5">
        <w:rPr>
          <w:rFonts w:eastAsia="Times New Roman"/>
          <w:color w:val="000000"/>
        </w:rPr>
        <w:t>pkt.VI.1,</w:t>
      </w:r>
    </w:p>
    <w:p w14:paraId="1A58249B" w14:textId="77777777" w:rsidR="00572BA3" w:rsidRPr="00FA49B5" w:rsidRDefault="00572BA3">
      <w:pPr>
        <w:numPr>
          <w:ilvl w:val="0"/>
          <w:numId w:val="99"/>
        </w:numPr>
        <w:tabs>
          <w:tab w:val="clear" w:pos="2706"/>
          <w:tab w:val="left" w:pos="1418"/>
        </w:tabs>
        <w:spacing w:line="0" w:lineRule="atLeast"/>
        <w:ind w:left="1418" w:hanging="338"/>
        <w:jc w:val="both"/>
        <w:rPr>
          <w:rFonts w:eastAsia="Times New Roman"/>
          <w:color w:val="000000"/>
        </w:rPr>
      </w:pPr>
      <w:r w:rsidRPr="00FA49B5">
        <w:rPr>
          <w:rFonts w:eastAsia="Times New Roman"/>
          <w:color w:val="000000"/>
        </w:rPr>
        <w:t>określenie zasad wzajemnego wykorzystywania służb dyspozytorskich,</w:t>
      </w:r>
    </w:p>
    <w:p w14:paraId="4281168A" w14:textId="77777777" w:rsidR="00572BA3" w:rsidRPr="00FA49B5" w:rsidRDefault="00572BA3">
      <w:pPr>
        <w:numPr>
          <w:ilvl w:val="0"/>
          <w:numId w:val="100"/>
        </w:numPr>
        <w:tabs>
          <w:tab w:val="left" w:pos="1418"/>
        </w:tabs>
        <w:spacing w:line="0" w:lineRule="atLeast"/>
        <w:ind w:left="1418" w:hanging="338"/>
        <w:jc w:val="both"/>
        <w:rPr>
          <w:rFonts w:eastAsia="Times New Roman"/>
          <w:color w:val="000000"/>
        </w:rPr>
      </w:pPr>
      <w:r w:rsidRPr="00FA49B5">
        <w:rPr>
          <w:rFonts w:eastAsia="Times New Roman"/>
          <w:color w:val="000000"/>
        </w:rPr>
        <w:t>koordynacja</w:t>
      </w:r>
      <w:r w:rsidR="00B7431B" w:rsidRPr="00FA49B5">
        <w:rPr>
          <w:rFonts w:eastAsia="Times New Roman"/>
          <w:color w:val="000000"/>
        </w:rPr>
        <w:t xml:space="preserve"> </w:t>
      </w:r>
      <w:r w:rsidRPr="00FA49B5">
        <w:rPr>
          <w:rFonts w:eastAsia="Times New Roman"/>
          <w:color w:val="000000"/>
        </w:rPr>
        <w:t>pracy</w:t>
      </w:r>
      <w:r w:rsidR="00B7431B" w:rsidRPr="00FA49B5">
        <w:rPr>
          <w:rFonts w:eastAsia="Times New Roman"/>
          <w:color w:val="000000"/>
        </w:rPr>
        <w:t xml:space="preserve"> </w:t>
      </w:r>
      <w:r w:rsidRPr="00FA49B5">
        <w:rPr>
          <w:rFonts w:eastAsia="Times New Roman"/>
          <w:color w:val="000000"/>
        </w:rPr>
        <w:t>elektroenergetycznej</w:t>
      </w:r>
      <w:r w:rsidR="00B7431B" w:rsidRPr="00FA49B5">
        <w:rPr>
          <w:rFonts w:eastAsia="Times New Roman"/>
          <w:color w:val="000000"/>
        </w:rPr>
        <w:t xml:space="preserve"> </w:t>
      </w:r>
      <w:r w:rsidRPr="00FA49B5">
        <w:rPr>
          <w:rFonts w:eastAsia="Times New Roman"/>
          <w:color w:val="000000"/>
        </w:rPr>
        <w:t>automatyki</w:t>
      </w:r>
      <w:r w:rsidR="00B7431B" w:rsidRPr="00FA49B5">
        <w:rPr>
          <w:rFonts w:eastAsia="Times New Roman"/>
          <w:color w:val="000000"/>
        </w:rPr>
        <w:t xml:space="preserve"> </w:t>
      </w:r>
      <w:r w:rsidRPr="00FA49B5">
        <w:rPr>
          <w:rFonts w:eastAsia="Times New Roman"/>
          <w:color w:val="000000"/>
        </w:rPr>
        <w:t>zabezpieczeniowej</w:t>
      </w:r>
      <w:r w:rsidR="00B7431B" w:rsidRPr="00FA49B5">
        <w:rPr>
          <w:rFonts w:eastAsia="Times New Roman"/>
          <w:color w:val="000000"/>
        </w:rPr>
        <w:t xml:space="preserve"> </w:t>
      </w:r>
      <w:r w:rsidRPr="00FA49B5">
        <w:rPr>
          <w:rFonts w:eastAsia="Times New Roman"/>
          <w:color w:val="000000"/>
        </w:rPr>
        <w:t>sieciowej,</w:t>
      </w:r>
    </w:p>
    <w:p w14:paraId="6D4A89DE" w14:textId="77777777" w:rsidR="00572BA3" w:rsidRPr="00FA49B5" w:rsidRDefault="00572BA3">
      <w:pPr>
        <w:numPr>
          <w:ilvl w:val="0"/>
          <w:numId w:val="101"/>
        </w:numPr>
        <w:tabs>
          <w:tab w:val="clear" w:pos="2706"/>
          <w:tab w:val="left" w:pos="1418"/>
        </w:tabs>
        <w:spacing w:line="0" w:lineRule="atLeast"/>
        <w:ind w:left="1418" w:hanging="338"/>
        <w:jc w:val="both"/>
        <w:rPr>
          <w:rFonts w:eastAsia="Times New Roman"/>
          <w:color w:val="000000"/>
        </w:rPr>
      </w:pPr>
      <w:r w:rsidRPr="00FA49B5">
        <w:rPr>
          <w:rFonts w:eastAsia="Times New Roman"/>
          <w:color w:val="000000"/>
        </w:rPr>
        <w:t>wykazy osób upoważnionych do prowadzenia uzgodnień,</w:t>
      </w:r>
    </w:p>
    <w:p w14:paraId="5F97EC67" w14:textId="77777777" w:rsidR="00572BA3" w:rsidRPr="00FA49B5" w:rsidRDefault="00572BA3">
      <w:pPr>
        <w:numPr>
          <w:ilvl w:val="0"/>
          <w:numId w:val="101"/>
        </w:numPr>
        <w:tabs>
          <w:tab w:val="clear" w:pos="2706"/>
        </w:tabs>
        <w:spacing w:line="0" w:lineRule="atLeast"/>
        <w:ind w:left="1418" w:hanging="338"/>
        <w:jc w:val="both"/>
        <w:rPr>
          <w:rFonts w:eastAsia="Times New Roman"/>
          <w:color w:val="000000"/>
        </w:rPr>
      </w:pPr>
      <w:r w:rsidRPr="00FA49B5">
        <w:rPr>
          <w:rFonts w:eastAsia="Times New Roman"/>
          <w:color w:val="000000"/>
        </w:rPr>
        <w:t>zakres i tryb obiegu informacji w tym środków łączności oraz postępowania</w:t>
      </w:r>
      <w:r w:rsidR="00A87541" w:rsidRPr="00FA49B5">
        <w:rPr>
          <w:rFonts w:eastAsia="Times New Roman"/>
          <w:color w:val="000000"/>
        </w:rPr>
        <w:t xml:space="preserve"> </w:t>
      </w:r>
      <w:r w:rsidR="00A87541" w:rsidRPr="00FA49B5">
        <w:rPr>
          <w:rFonts w:eastAsia="Times New Roman"/>
          <w:color w:val="000000"/>
        </w:rPr>
        <w:br/>
        <w:t xml:space="preserve">w </w:t>
      </w:r>
      <w:r w:rsidRPr="00FA49B5">
        <w:rPr>
          <w:rFonts w:eastAsia="Times New Roman"/>
          <w:color w:val="000000"/>
        </w:rPr>
        <w:t>przypadku zaniku łączności,</w:t>
      </w:r>
    </w:p>
    <w:p w14:paraId="625514D7" w14:textId="77777777" w:rsidR="00572BA3" w:rsidRPr="00FA49B5" w:rsidRDefault="00572BA3">
      <w:pPr>
        <w:numPr>
          <w:ilvl w:val="0"/>
          <w:numId w:val="101"/>
        </w:numPr>
        <w:tabs>
          <w:tab w:val="clear" w:pos="2706"/>
          <w:tab w:val="left" w:pos="1418"/>
        </w:tabs>
        <w:spacing w:line="234" w:lineRule="auto"/>
        <w:ind w:left="1418" w:hanging="338"/>
        <w:jc w:val="both"/>
        <w:rPr>
          <w:rFonts w:eastAsia="Times New Roman"/>
          <w:color w:val="000000"/>
        </w:rPr>
      </w:pPr>
      <w:r w:rsidRPr="00FA49B5">
        <w:rPr>
          <w:rFonts w:eastAsia="Times New Roman"/>
          <w:color w:val="000000"/>
        </w:rPr>
        <w:t>określenie zasad i odpowiedzialności związanej z usuwaniem zakłóceń i awarii oraz koordynacja prac eksploatacyjnych.</w:t>
      </w:r>
    </w:p>
    <w:p w14:paraId="750D6BBF" w14:textId="3C31A417" w:rsidR="00572BA3" w:rsidRDefault="00572BA3" w:rsidP="00975ECC">
      <w:pPr>
        <w:tabs>
          <w:tab w:val="left" w:pos="1120"/>
        </w:tabs>
        <w:spacing w:line="236" w:lineRule="auto"/>
        <w:ind w:left="1140" w:right="60" w:hanging="1079"/>
        <w:jc w:val="both"/>
        <w:rPr>
          <w:rFonts w:eastAsia="Times New Roman"/>
        </w:rPr>
      </w:pPr>
      <w:r w:rsidRPr="00FA49B5">
        <w:rPr>
          <w:rFonts w:eastAsia="Times New Roman"/>
          <w:color w:val="000000"/>
        </w:rPr>
        <w:t>VI.2.13</w:t>
      </w:r>
      <w:r w:rsidRPr="00FA49B5">
        <w:rPr>
          <w:rFonts w:eastAsia="Times New Roman"/>
          <w:color w:val="000000"/>
        </w:rPr>
        <w:tab/>
        <w:t>Użytkownicy systemu zobowiązani są do wykonywania łączeń ruchowych oraz prowadzenia rozmów ruchowych</w:t>
      </w:r>
      <w:r>
        <w:rPr>
          <w:rFonts w:eastAsia="Times New Roman"/>
        </w:rPr>
        <w:t xml:space="preserve"> ze służbami dyspozytorskimi </w:t>
      </w:r>
      <w:r w:rsidR="0000202B">
        <w:rPr>
          <w:rFonts w:eastAsia="Times New Roman"/>
        </w:rPr>
        <w:t>OSDn</w:t>
      </w:r>
      <w:r>
        <w:rPr>
          <w:rFonts w:eastAsia="Times New Roman"/>
        </w:rPr>
        <w:t xml:space="preserve">, zgodnie </w:t>
      </w:r>
      <w:r w:rsidR="0000202B">
        <w:rPr>
          <w:rFonts w:eastAsia="Times New Roman"/>
        </w:rPr>
        <w:br/>
      </w:r>
      <w:r>
        <w:rPr>
          <w:rFonts w:eastAsia="Times New Roman"/>
        </w:rPr>
        <w:t>z instrukcjami współpracy oraz niniejszą IRiESD.</w:t>
      </w:r>
    </w:p>
    <w:p w14:paraId="5770D2DC" w14:textId="4F1FE4EB" w:rsidR="00A2709A" w:rsidRDefault="00A2709A" w:rsidP="00975ECC">
      <w:pPr>
        <w:tabs>
          <w:tab w:val="left" w:pos="1120"/>
        </w:tabs>
        <w:spacing w:line="236" w:lineRule="auto"/>
        <w:ind w:left="1140" w:right="60" w:hanging="1079"/>
        <w:jc w:val="both"/>
        <w:rPr>
          <w:rFonts w:eastAsia="Times New Roman"/>
        </w:rPr>
      </w:pPr>
    </w:p>
    <w:p w14:paraId="159DE417" w14:textId="77777777" w:rsidR="00A2709A" w:rsidRDefault="00A2709A" w:rsidP="00975ECC">
      <w:pPr>
        <w:tabs>
          <w:tab w:val="left" w:pos="1120"/>
        </w:tabs>
        <w:spacing w:line="236" w:lineRule="auto"/>
        <w:ind w:left="1140" w:right="60" w:hanging="1079"/>
        <w:jc w:val="both"/>
        <w:rPr>
          <w:rFonts w:eastAsia="Times New Roman"/>
        </w:rPr>
      </w:pPr>
    </w:p>
    <w:p w14:paraId="07B3943F" w14:textId="77777777" w:rsidR="00A2709A" w:rsidRDefault="00A2709A" w:rsidP="00975ECC">
      <w:pPr>
        <w:tabs>
          <w:tab w:val="left" w:pos="1120"/>
        </w:tabs>
        <w:spacing w:line="236" w:lineRule="auto"/>
        <w:ind w:left="1140" w:right="60" w:hanging="1079"/>
        <w:jc w:val="both"/>
        <w:rPr>
          <w:rFonts w:eastAsia="Times New Roman"/>
        </w:rPr>
      </w:pPr>
    </w:p>
    <w:p w14:paraId="49591024" w14:textId="77777777" w:rsidR="00572BA3" w:rsidRPr="00FA49B5" w:rsidRDefault="00572BA3" w:rsidP="00A2709A">
      <w:pPr>
        <w:pStyle w:val="Nagwek2"/>
        <w:spacing w:before="0" w:after="0"/>
        <w:ind w:left="709" w:hanging="709"/>
        <w:jc w:val="both"/>
        <w:rPr>
          <w:color w:val="000000"/>
        </w:rPr>
      </w:pPr>
      <w:bookmarkStart w:id="49" w:name="_Toc141963894"/>
      <w:r>
        <w:t>VI.4.</w:t>
      </w:r>
      <w:r w:rsidRPr="00FA49B5">
        <w:rPr>
          <w:color w:val="000000"/>
        </w:rPr>
        <w:tab/>
        <w:t>PROGNOZOWANIE ZAPOTRZEBOWANIA NA MOC I ENERGIĘ ELEKTRYCZNĄ</w:t>
      </w:r>
      <w:bookmarkEnd w:id="49"/>
    </w:p>
    <w:p w14:paraId="31D89C19" w14:textId="77777777" w:rsidR="00572BA3" w:rsidRDefault="00572BA3" w:rsidP="00A2709A">
      <w:pPr>
        <w:tabs>
          <w:tab w:val="left" w:pos="1120"/>
        </w:tabs>
        <w:ind w:left="1140" w:hanging="1079"/>
        <w:jc w:val="both"/>
        <w:rPr>
          <w:rFonts w:eastAsia="Times New Roman"/>
        </w:rPr>
      </w:pPr>
      <w:r>
        <w:rPr>
          <w:rFonts w:eastAsia="Times New Roman"/>
        </w:rPr>
        <w:t>VI.4.1.</w:t>
      </w:r>
      <w:r>
        <w:rPr>
          <w:rFonts w:eastAsia="Times New Roman"/>
        </w:rPr>
        <w:tab/>
      </w:r>
      <w:r w:rsidR="00EF2A9E">
        <w:rPr>
          <w:rFonts w:eastAsia="Times New Roman"/>
        </w:rPr>
        <w:t>OSDn</w:t>
      </w:r>
      <w:r>
        <w:rPr>
          <w:rFonts w:eastAsia="Times New Roman"/>
        </w:rPr>
        <w:t xml:space="preserve"> sporządza prognozy zapotrzebowania na moc i energię elektryczną w sieci dystrybucyjnej </w:t>
      </w:r>
      <w:r w:rsidR="00EF2A9E">
        <w:rPr>
          <w:rFonts w:eastAsia="Times New Roman"/>
        </w:rPr>
        <w:t>OSDn</w:t>
      </w:r>
      <w:r>
        <w:rPr>
          <w:rFonts w:eastAsia="Times New Roman"/>
        </w:rPr>
        <w:t>.</w:t>
      </w:r>
    </w:p>
    <w:p w14:paraId="5DE93123" w14:textId="77777777" w:rsidR="00572BA3" w:rsidRDefault="00572BA3" w:rsidP="00A2709A">
      <w:pPr>
        <w:tabs>
          <w:tab w:val="left" w:pos="1120"/>
        </w:tabs>
        <w:ind w:left="1140" w:hanging="1079"/>
        <w:jc w:val="both"/>
        <w:rPr>
          <w:rFonts w:eastAsia="Times New Roman"/>
        </w:rPr>
      </w:pPr>
      <w:r>
        <w:rPr>
          <w:rFonts w:eastAsia="Times New Roman"/>
        </w:rPr>
        <w:t>VI.4.2.</w:t>
      </w:r>
      <w:r>
        <w:rPr>
          <w:rFonts w:eastAsia="Times New Roman"/>
        </w:rPr>
        <w:tab/>
      </w:r>
      <w:r w:rsidR="00EF2A9E">
        <w:rPr>
          <w:rFonts w:eastAsia="Times New Roman"/>
        </w:rPr>
        <w:t>OSDn pla</w:t>
      </w:r>
      <w:r>
        <w:rPr>
          <w:rFonts w:eastAsia="Times New Roman"/>
        </w:rPr>
        <w:t xml:space="preserve">nuje wymianę mocy i energii elektrycznej do innych operatorów realizowaną poprzez sieć dystrybucyjną </w:t>
      </w:r>
      <w:r w:rsidR="00EF2A9E">
        <w:rPr>
          <w:rFonts w:eastAsia="Times New Roman"/>
        </w:rPr>
        <w:t>OSDn</w:t>
      </w:r>
      <w:r>
        <w:rPr>
          <w:rFonts w:eastAsia="Times New Roman"/>
        </w:rPr>
        <w:t xml:space="preserve"> w podziale na wymianę realizowaną sieciami SN i nN łącznie.</w:t>
      </w:r>
    </w:p>
    <w:p w14:paraId="560F058C" w14:textId="77777777" w:rsidR="00572BA3" w:rsidRDefault="00572BA3">
      <w:pPr>
        <w:tabs>
          <w:tab w:val="left" w:pos="1120"/>
        </w:tabs>
        <w:spacing w:line="236" w:lineRule="auto"/>
        <w:ind w:left="1140" w:hanging="1079"/>
        <w:jc w:val="both"/>
        <w:rPr>
          <w:rFonts w:eastAsia="Times New Roman"/>
        </w:rPr>
      </w:pPr>
      <w:r>
        <w:rPr>
          <w:rFonts w:eastAsia="Times New Roman"/>
        </w:rPr>
        <w:t>VI.4.3.</w:t>
      </w:r>
      <w:r>
        <w:rPr>
          <w:rFonts w:eastAsia="Times New Roman"/>
        </w:rPr>
        <w:tab/>
        <w:t xml:space="preserve">Prognozy zapotrzebowania na moc i energię elektryczną oraz plany wymiany </w:t>
      </w:r>
      <w:r w:rsidR="00EF2A9E">
        <w:rPr>
          <w:rFonts w:eastAsia="Times New Roman"/>
        </w:rPr>
        <w:br/>
      </w:r>
      <w:r>
        <w:rPr>
          <w:rFonts w:eastAsia="Times New Roman"/>
        </w:rPr>
        <w:t xml:space="preserve">o których mowa w pkt.VI.4.1. i VI.4.2., w zakresie oraz terminach określonych </w:t>
      </w:r>
      <w:r w:rsidR="00EF2A9E">
        <w:rPr>
          <w:rFonts w:eastAsia="Times New Roman"/>
        </w:rPr>
        <w:br/>
      </w:r>
      <w:r>
        <w:rPr>
          <w:rFonts w:eastAsia="Times New Roman"/>
        </w:rPr>
        <w:t>w IRiESP, są przekazywane do operatora systemu przesyłowego</w:t>
      </w:r>
      <w:r w:rsidR="002C06A6">
        <w:rPr>
          <w:rFonts w:eastAsia="Times New Roman"/>
        </w:rPr>
        <w:t xml:space="preserve"> za pośrednictwem OSDp</w:t>
      </w:r>
      <w:r>
        <w:rPr>
          <w:rFonts w:eastAsia="Times New Roman"/>
        </w:rPr>
        <w:t>.</w:t>
      </w:r>
    </w:p>
    <w:p w14:paraId="1954B30A" w14:textId="6543FC3A" w:rsidR="00572BA3" w:rsidRDefault="00572BA3">
      <w:pPr>
        <w:tabs>
          <w:tab w:val="left" w:pos="1120"/>
        </w:tabs>
        <w:spacing w:line="236" w:lineRule="auto"/>
        <w:ind w:left="1140" w:hanging="1079"/>
        <w:jc w:val="both"/>
        <w:rPr>
          <w:rFonts w:eastAsia="Times New Roman"/>
        </w:rPr>
      </w:pPr>
      <w:r>
        <w:rPr>
          <w:rFonts w:eastAsia="Times New Roman"/>
        </w:rPr>
        <w:t>VI.4.4.</w:t>
      </w:r>
      <w:r>
        <w:rPr>
          <w:rFonts w:eastAsia="Times New Roman"/>
        </w:rPr>
        <w:tab/>
        <w:t xml:space="preserve">Prognozy zapotrzebowania na moc i energię elektryczną sporządzone przez </w:t>
      </w:r>
      <w:r w:rsidR="00EF2A9E">
        <w:rPr>
          <w:rFonts w:eastAsia="Times New Roman"/>
        </w:rPr>
        <w:t>OSDn</w:t>
      </w:r>
      <w:r>
        <w:rPr>
          <w:rFonts w:eastAsia="Times New Roman"/>
        </w:rPr>
        <w:t xml:space="preserve"> uwzględniają prognozy przygotowane przez podmioty uczestniczące w rynku lokalnym.</w:t>
      </w:r>
    </w:p>
    <w:p w14:paraId="7C302DE9" w14:textId="5F5E329D" w:rsidR="00A2709A" w:rsidRDefault="00A2709A">
      <w:pPr>
        <w:tabs>
          <w:tab w:val="left" w:pos="1120"/>
        </w:tabs>
        <w:spacing w:line="236" w:lineRule="auto"/>
        <w:ind w:left="1140" w:hanging="1079"/>
        <w:jc w:val="both"/>
        <w:rPr>
          <w:rFonts w:eastAsia="Times New Roman"/>
        </w:rPr>
      </w:pPr>
    </w:p>
    <w:p w14:paraId="3BC88B53" w14:textId="3800D331" w:rsidR="00A2709A" w:rsidRDefault="00A2709A">
      <w:pPr>
        <w:tabs>
          <w:tab w:val="left" w:pos="1120"/>
        </w:tabs>
        <w:spacing w:line="236" w:lineRule="auto"/>
        <w:ind w:left="1140" w:hanging="1079"/>
        <w:jc w:val="both"/>
        <w:rPr>
          <w:rFonts w:eastAsia="Times New Roman"/>
        </w:rPr>
      </w:pPr>
    </w:p>
    <w:p w14:paraId="12B2DBCA" w14:textId="77777777" w:rsidR="00A2709A" w:rsidRDefault="00A2709A">
      <w:pPr>
        <w:tabs>
          <w:tab w:val="left" w:pos="1120"/>
        </w:tabs>
        <w:spacing w:line="236" w:lineRule="auto"/>
        <w:ind w:left="1140" w:hanging="1079"/>
        <w:jc w:val="both"/>
        <w:rPr>
          <w:rFonts w:eastAsia="Times New Roman"/>
        </w:rPr>
      </w:pPr>
    </w:p>
    <w:p w14:paraId="04226DF5" w14:textId="77777777" w:rsidR="00572BA3" w:rsidRPr="00FA49B5" w:rsidRDefault="00572BA3" w:rsidP="005B19B5">
      <w:pPr>
        <w:pStyle w:val="Nagwek2"/>
        <w:jc w:val="both"/>
        <w:rPr>
          <w:color w:val="000000"/>
        </w:rPr>
      </w:pPr>
      <w:bookmarkStart w:id="50" w:name="_Toc141963895"/>
      <w:r w:rsidRPr="00FA49B5">
        <w:rPr>
          <w:color w:val="000000"/>
        </w:rPr>
        <w:t>VI.5.</w:t>
      </w:r>
      <w:r w:rsidRPr="00FA49B5">
        <w:rPr>
          <w:color w:val="000000"/>
        </w:rPr>
        <w:tab/>
        <w:t>PROGRAMY PRACY SIECI DYSTRYBUCYJNEJ</w:t>
      </w:r>
      <w:bookmarkEnd w:id="50"/>
    </w:p>
    <w:p w14:paraId="50D05A84" w14:textId="369CBF65" w:rsidR="00572BA3" w:rsidRDefault="00572BA3" w:rsidP="006D11DE">
      <w:pPr>
        <w:tabs>
          <w:tab w:val="left" w:pos="1120"/>
        </w:tabs>
        <w:spacing w:line="237" w:lineRule="auto"/>
        <w:ind w:left="1140" w:hanging="1079"/>
        <w:jc w:val="both"/>
        <w:rPr>
          <w:rFonts w:eastAsia="Times New Roman"/>
          <w:color w:val="000000"/>
        </w:rPr>
      </w:pPr>
      <w:r w:rsidRPr="00FA49B5">
        <w:rPr>
          <w:rFonts w:eastAsia="Times New Roman"/>
          <w:color w:val="000000"/>
        </w:rPr>
        <w:t>VI.5.1.</w:t>
      </w:r>
      <w:r w:rsidRPr="00FA49B5">
        <w:rPr>
          <w:rFonts w:eastAsia="Times New Roman"/>
          <w:color w:val="000000"/>
        </w:rPr>
        <w:tab/>
        <w:t xml:space="preserve">Ruch elektroenergetycznej sieci dystrybucyjnej </w:t>
      </w:r>
      <w:r w:rsidR="00320084" w:rsidRPr="00FA49B5">
        <w:rPr>
          <w:rFonts w:eastAsia="Times New Roman"/>
          <w:color w:val="000000"/>
        </w:rPr>
        <w:t>OSDn</w:t>
      </w:r>
      <w:r w:rsidRPr="00FA49B5">
        <w:rPr>
          <w:rFonts w:eastAsia="Times New Roman"/>
          <w:color w:val="000000"/>
        </w:rPr>
        <w:t xml:space="preserve"> </w:t>
      </w:r>
      <w:r w:rsidR="006D11DE" w:rsidRPr="00FA49B5">
        <w:rPr>
          <w:rFonts w:eastAsia="Times New Roman"/>
          <w:color w:val="000000"/>
        </w:rPr>
        <w:t xml:space="preserve">jest określony w instrukcji pracy </w:t>
      </w:r>
      <w:r w:rsidR="00A87541" w:rsidRPr="00FA49B5">
        <w:rPr>
          <w:rFonts w:eastAsia="Times New Roman"/>
          <w:color w:val="000000"/>
        </w:rPr>
        <w:t>G</w:t>
      </w:r>
      <w:r w:rsidR="006D11DE" w:rsidRPr="00FA49B5">
        <w:rPr>
          <w:rFonts w:eastAsia="Times New Roman"/>
          <w:color w:val="000000"/>
        </w:rPr>
        <w:t>łó</w:t>
      </w:r>
      <w:r w:rsidR="00A87541" w:rsidRPr="00FA49B5">
        <w:rPr>
          <w:rFonts w:eastAsia="Times New Roman"/>
          <w:color w:val="000000"/>
        </w:rPr>
        <w:t>wnej</w:t>
      </w:r>
      <w:r w:rsidR="006D11DE" w:rsidRPr="00FA49B5">
        <w:rPr>
          <w:rFonts w:eastAsia="Times New Roman"/>
          <w:color w:val="000000"/>
        </w:rPr>
        <w:t xml:space="preserve"> </w:t>
      </w:r>
      <w:r w:rsidR="00A87541" w:rsidRPr="00FA49B5">
        <w:rPr>
          <w:rFonts w:eastAsia="Times New Roman"/>
          <w:color w:val="000000"/>
        </w:rPr>
        <w:t>S</w:t>
      </w:r>
      <w:r w:rsidR="006D11DE" w:rsidRPr="00FA49B5">
        <w:rPr>
          <w:rFonts w:eastAsia="Times New Roman"/>
          <w:color w:val="000000"/>
        </w:rPr>
        <w:t xml:space="preserve">tacji </w:t>
      </w:r>
      <w:r w:rsidR="00A87541" w:rsidRPr="00FA49B5">
        <w:rPr>
          <w:rFonts w:eastAsia="Times New Roman"/>
          <w:color w:val="000000"/>
        </w:rPr>
        <w:t>Z</w:t>
      </w:r>
      <w:r w:rsidR="006D11DE" w:rsidRPr="00FA49B5">
        <w:rPr>
          <w:rFonts w:eastAsia="Times New Roman"/>
          <w:color w:val="000000"/>
        </w:rPr>
        <w:t>a</w:t>
      </w:r>
      <w:r w:rsidR="00A87541" w:rsidRPr="00FA49B5">
        <w:rPr>
          <w:rFonts w:eastAsia="Times New Roman"/>
          <w:color w:val="000000"/>
        </w:rPr>
        <w:t>silającej</w:t>
      </w:r>
      <w:r w:rsidR="006D11DE" w:rsidRPr="00FA49B5">
        <w:rPr>
          <w:rFonts w:eastAsia="Times New Roman"/>
          <w:color w:val="000000"/>
        </w:rPr>
        <w:t xml:space="preserve"> (GSZ)</w:t>
      </w:r>
      <w:r w:rsidR="00A87541" w:rsidRPr="00FA49B5">
        <w:rPr>
          <w:rFonts w:eastAsia="Times New Roman"/>
          <w:color w:val="000000"/>
        </w:rPr>
        <w:t>.</w:t>
      </w:r>
    </w:p>
    <w:p w14:paraId="36675E08" w14:textId="03F61534" w:rsidR="00A2709A" w:rsidRDefault="00A2709A" w:rsidP="006D11DE">
      <w:pPr>
        <w:tabs>
          <w:tab w:val="left" w:pos="1120"/>
        </w:tabs>
        <w:spacing w:line="237" w:lineRule="auto"/>
        <w:ind w:left="1140" w:hanging="1079"/>
        <w:jc w:val="both"/>
        <w:rPr>
          <w:rFonts w:eastAsia="Times New Roman"/>
          <w:color w:val="000000"/>
        </w:rPr>
      </w:pPr>
    </w:p>
    <w:p w14:paraId="1298315A" w14:textId="77777777" w:rsidR="00A2709A" w:rsidRDefault="00A2709A" w:rsidP="006D11DE">
      <w:pPr>
        <w:tabs>
          <w:tab w:val="left" w:pos="1120"/>
        </w:tabs>
        <w:spacing w:line="237" w:lineRule="auto"/>
        <w:ind w:left="1140" w:hanging="1079"/>
        <w:jc w:val="both"/>
        <w:rPr>
          <w:rFonts w:eastAsia="Times New Roman"/>
          <w:color w:val="000000"/>
        </w:rPr>
      </w:pPr>
    </w:p>
    <w:p w14:paraId="00E8CA04" w14:textId="77777777" w:rsidR="00572BA3" w:rsidRPr="00FA49B5" w:rsidRDefault="00572BA3" w:rsidP="005B19B5">
      <w:pPr>
        <w:pStyle w:val="Nagwek2"/>
        <w:jc w:val="both"/>
        <w:rPr>
          <w:color w:val="000000"/>
        </w:rPr>
      </w:pPr>
      <w:bookmarkStart w:id="51" w:name="_Toc141963896"/>
      <w:r>
        <w:t>VI.6</w:t>
      </w:r>
      <w:r w:rsidRPr="00FA49B5">
        <w:rPr>
          <w:color w:val="000000"/>
        </w:rPr>
        <w:t>.</w:t>
      </w:r>
      <w:r w:rsidRPr="00FA49B5">
        <w:rPr>
          <w:color w:val="000000"/>
        </w:rPr>
        <w:tab/>
        <w:t>PLANY WYŁĄCZEŃ ELEMENTÓW SIECI DYSTRYBUCYJNEJ</w:t>
      </w:r>
      <w:bookmarkEnd w:id="51"/>
    </w:p>
    <w:p w14:paraId="412CF54F" w14:textId="77777777" w:rsidR="00572BA3" w:rsidRPr="006D11DE" w:rsidRDefault="00572BA3">
      <w:pPr>
        <w:tabs>
          <w:tab w:val="left" w:pos="1120"/>
        </w:tabs>
        <w:spacing w:line="233" w:lineRule="auto"/>
        <w:ind w:left="1140" w:hanging="1079"/>
        <w:jc w:val="both"/>
        <w:rPr>
          <w:rFonts w:eastAsia="Times New Roman"/>
          <w:color w:val="92D050"/>
        </w:rPr>
      </w:pPr>
      <w:r>
        <w:rPr>
          <w:rFonts w:eastAsia="Times New Roman"/>
        </w:rPr>
        <w:t>VI.6.1.</w:t>
      </w:r>
      <w:r>
        <w:rPr>
          <w:rFonts w:eastAsia="Times New Roman"/>
        </w:rPr>
        <w:tab/>
      </w:r>
      <w:r w:rsidR="00A76021" w:rsidRPr="00FA49B5">
        <w:rPr>
          <w:rFonts w:eastAsia="Times New Roman"/>
          <w:color w:val="000000"/>
        </w:rPr>
        <w:t>OSDn</w:t>
      </w:r>
      <w:r w:rsidRPr="00FA49B5">
        <w:rPr>
          <w:rFonts w:eastAsia="Times New Roman"/>
          <w:color w:val="000000"/>
        </w:rPr>
        <w:t xml:space="preserve"> opracowuje plan wyłączeń elementów sieci dystrybucyjnej</w:t>
      </w:r>
      <w:r w:rsidR="00A76021" w:rsidRPr="00FA49B5">
        <w:rPr>
          <w:rFonts w:eastAsia="Times New Roman"/>
          <w:color w:val="000000"/>
        </w:rPr>
        <w:t xml:space="preserve"> OSDn</w:t>
      </w:r>
      <w:r w:rsidR="006D11DE" w:rsidRPr="00FA49B5">
        <w:rPr>
          <w:rFonts w:eastAsia="Times New Roman"/>
          <w:color w:val="000000"/>
        </w:rPr>
        <w:t xml:space="preserve"> </w:t>
      </w:r>
      <w:r w:rsidR="00222DC2" w:rsidRPr="00FA49B5">
        <w:rPr>
          <w:rFonts w:eastAsia="Times New Roman"/>
          <w:color w:val="000000"/>
        </w:rPr>
        <w:br/>
      </w:r>
      <w:r w:rsidR="006D11DE" w:rsidRPr="00FA49B5">
        <w:rPr>
          <w:rFonts w:eastAsia="Times New Roman"/>
          <w:color w:val="000000"/>
        </w:rPr>
        <w:t>w przypadku</w:t>
      </w:r>
      <w:r w:rsidR="00222DC2" w:rsidRPr="00FA49B5">
        <w:rPr>
          <w:rFonts w:eastAsia="Times New Roman"/>
          <w:color w:val="000000"/>
        </w:rPr>
        <w:t xml:space="preserve"> zaistnienia konieczności planowanego wyłączenia elementów sieci.</w:t>
      </w:r>
    </w:p>
    <w:p w14:paraId="74CBB9B4" w14:textId="77777777" w:rsidR="00572BA3" w:rsidRDefault="00572BA3">
      <w:pPr>
        <w:tabs>
          <w:tab w:val="left" w:pos="1120"/>
        </w:tabs>
        <w:spacing w:line="236" w:lineRule="auto"/>
        <w:ind w:left="1140" w:hanging="1079"/>
        <w:jc w:val="both"/>
        <w:rPr>
          <w:rFonts w:eastAsia="Times New Roman"/>
        </w:rPr>
      </w:pPr>
      <w:r>
        <w:rPr>
          <w:rFonts w:eastAsia="Times New Roman"/>
        </w:rPr>
        <w:t>VI.6.</w:t>
      </w:r>
      <w:r w:rsidR="00A76021">
        <w:rPr>
          <w:rFonts w:eastAsia="Times New Roman"/>
        </w:rPr>
        <w:t>2</w:t>
      </w:r>
      <w:r>
        <w:rPr>
          <w:rFonts w:eastAsia="Times New Roman"/>
        </w:rPr>
        <w:t>.</w:t>
      </w:r>
      <w:r>
        <w:rPr>
          <w:rFonts w:eastAsia="Times New Roman"/>
        </w:rPr>
        <w:tab/>
        <w:t xml:space="preserve">Użytkownicy systemu zgłaszają </w:t>
      </w:r>
      <w:r w:rsidR="00A76021">
        <w:rPr>
          <w:rFonts w:eastAsia="Times New Roman"/>
        </w:rPr>
        <w:t>OSDn</w:t>
      </w:r>
      <w:r>
        <w:rPr>
          <w:rFonts w:eastAsia="Times New Roman"/>
        </w:rPr>
        <w:t xml:space="preserve"> propozycję wyłączenia elementu sieci dystrybucyjnej co najmniej na 14 dni kalendarzowych przed planowaną datą wyłączenia</w:t>
      </w:r>
      <w:r w:rsidR="00A76021">
        <w:rPr>
          <w:rFonts w:eastAsia="Times New Roman"/>
        </w:rPr>
        <w:t>.</w:t>
      </w:r>
    </w:p>
    <w:p w14:paraId="46A01EB5" w14:textId="77777777" w:rsidR="00572BA3" w:rsidRDefault="00572BA3">
      <w:pPr>
        <w:tabs>
          <w:tab w:val="left" w:pos="1120"/>
        </w:tabs>
        <w:spacing w:line="234" w:lineRule="auto"/>
        <w:ind w:left="1140" w:hanging="1079"/>
        <w:rPr>
          <w:rFonts w:eastAsia="Times New Roman"/>
        </w:rPr>
      </w:pPr>
      <w:r>
        <w:rPr>
          <w:rFonts w:eastAsia="Times New Roman"/>
        </w:rPr>
        <w:t>VI.6.</w:t>
      </w:r>
      <w:r w:rsidR="00A76021">
        <w:rPr>
          <w:rFonts w:eastAsia="Times New Roman"/>
        </w:rPr>
        <w:t>3</w:t>
      </w:r>
      <w:r>
        <w:rPr>
          <w:rFonts w:eastAsia="Times New Roman"/>
        </w:rPr>
        <w:t>.</w:t>
      </w:r>
      <w:r>
        <w:rPr>
          <w:rFonts w:eastAsia="Times New Roman"/>
        </w:rPr>
        <w:tab/>
        <w:t xml:space="preserve">Użytkownicy systemu zgłaszający do </w:t>
      </w:r>
      <w:r w:rsidR="00A76021">
        <w:rPr>
          <w:rFonts w:eastAsia="Times New Roman"/>
        </w:rPr>
        <w:t>OSDn</w:t>
      </w:r>
      <w:r>
        <w:rPr>
          <w:rFonts w:eastAsia="Times New Roman"/>
        </w:rPr>
        <w:t xml:space="preserve"> propozycję wyłączenia elementu sieci dystrybucyjnej określają:</w:t>
      </w:r>
    </w:p>
    <w:p w14:paraId="07C6EA63" w14:textId="77777777" w:rsidR="00572BA3" w:rsidRDefault="00572BA3">
      <w:pPr>
        <w:numPr>
          <w:ilvl w:val="0"/>
          <w:numId w:val="102"/>
        </w:numPr>
        <w:tabs>
          <w:tab w:val="clear" w:pos="2706"/>
        </w:tabs>
        <w:spacing w:line="0" w:lineRule="atLeast"/>
        <w:ind w:left="1560" w:hanging="426"/>
        <w:rPr>
          <w:rFonts w:eastAsia="Times New Roman"/>
        </w:rPr>
      </w:pPr>
      <w:r>
        <w:rPr>
          <w:rFonts w:eastAsia="Times New Roman"/>
        </w:rPr>
        <w:lastRenderedPageBreak/>
        <w:t>nazwę rozdzielni i elementu,</w:t>
      </w:r>
    </w:p>
    <w:p w14:paraId="751A8944" w14:textId="77777777" w:rsidR="00572BA3" w:rsidRDefault="00572BA3">
      <w:pPr>
        <w:numPr>
          <w:ilvl w:val="0"/>
          <w:numId w:val="102"/>
        </w:numPr>
        <w:tabs>
          <w:tab w:val="clear" w:pos="2706"/>
        </w:tabs>
        <w:spacing w:line="0" w:lineRule="atLeast"/>
        <w:ind w:left="1560" w:hanging="426"/>
        <w:rPr>
          <w:rFonts w:eastAsia="Times New Roman"/>
        </w:rPr>
      </w:pPr>
      <w:r>
        <w:rPr>
          <w:rFonts w:eastAsia="Times New Roman"/>
        </w:rPr>
        <w:t>proponowany termin wyłączenia,</w:t>
      </w:r>
    </w:p>
    <w:p w14:paraId="1610E37A" w14:textId="77777777" w:rsidR="00572BA3" w:rsidRDefault="00572BA3">
      <w:pPr>
        <w:numPr>
          <w:ilvl w:val="0"/>
          <w:numId w:val="102"/>
        </w:numPr>
        <w:tabs>
          <w:tab w:val="clear" w:pos="2706"/>
        </w:tabs>
        <w:spacing w:line="236" w:lineRule="auto"/>
        <w:ind w:left="1418" w:hanging="284"/>
        <w:jc w:val="both"/>
        <w:rPr>
          <w:rFonts w:eastAsia="Times New Roman"/>
        </w:rPr>
      </w:pPr>
      <w:r>
        <w:rPr>
          <w:rFonts w:eastAsia="Times New Roman"/>
        </w:rPr>
        <w:t>operatywną gotowość – rozumianą jako czas potrzebny użytkownikowi systemu na przygotowanie urządzeń do podania napięcia po wydaniu polecenia ruchowego na przerwanie/zakończenie prowadzonych prac,</w:t>
      </w:r>
    </w:p>
    <w:p w14:paraId="20F376D8" w14:textId="77777777" w:rsidR="00572BA3" w:rsidRDefault="00572BA3">
      <w:pPr>
        <w:numPr>
          <w:ilvl w:val="0"/>
          <w:numId w:val="102"/>
        </w:numPr>
        <w:tabs>
          <w:tab w:val="clear" w:pos="2706"/>
        </w:tabs>
        <w:spacing w:line="0" w:lineRule="atLeast"/>
        <w:ind w:left="1560" w:hanging="426"/>
        <w:rPr>
          <w:rFonts w:eastAsia="Times New Roman"/>
        </w:rPr>
      </w:pPr>
      <w:r>
        <w:rPr>
          <w:rFonts w:eastAsia="Times New Roman"/>
        </w:rPr>
        <w:t>typ wyłączenia (np.: trwałe, codzienne),</w:t>
      </w:r>
    </w:p>
    <w:p w14:paraId="372306CC" w14:textId="77777777" w:rsidR="00572BA3" w:rsidRDefault="00572BA3">
      <w:pPr>
        <w:numPr>
          <w:ilvl w:val="0"/>
          <w:numId w:val="102"/>
        </w:numPr>
        <w:tabs>
          <w:tab w:val="clear" w:pos="2706"/>
        </w:tabs>
        <w:spacing w:line="0" w:lineRule="atLeast"/>
        <w:ind w:left="1560" w:hanging="426"/>
        <w:rPr>
          <w:rFonts w:eastAsia="Times New Roman"/>
        </w:rPr>
      </w:pPr>
      <w:r>
        <w:rPr>
          <w:rFonts w:eastAsia="Times New Roman"/>
        </w:rPr>
        <w:t>opis wykonywanych prac,</w:t>
      </w:r>
    </w:p>
    <w:p w14:paraId="55C8A124" w14:textId="77777777" w:rsidR="00572BA3" w:rsidRDefault="00572BA3">
      <w:pPr>
        <w:numPr>
          <w:ilvl w:val="0"/>
          <w:numId w:val="102"/>
        </w:numPr>
        <w:tabs>
          <w:tab w:val="clear" w:pos="2706"/>
        </w:tabs>
        <w:spacing w:line="0" w:lineRule="atLeast"/>
        <w:ind w:left="1560" w:hanging="426"/>
        <w:rPr>
          <w:rFonts w:eastAsia="Times New Roman"/>
        </w:rPr>
      </w:pPr>
      <w:r>
        <w:rPr>
          <w:rFonts w:eastAsia="Times New Roman"/>
        </w:rPr>
        <w:t>w zależności od potrzeb harmonogram prac i program łączeniowy.</w:t>
      </w:r>
    </w:p>
    <w:p w14:paraId="0CDAC48A" w14:textId="77777777" w:rsidR="00572BA3" w:rsidRPr="00A76021" w:rsidRDefault="00572BA3" w:rsidP="00A76021">
      <w:pPr>
        <w:tabs>
          <w:tab w:val="left" w:pos="1120"/>
        </w:tabs>
        <w:spacing w:line="237" w:lineRule="auto"/>
        <w:ind w:left="1140" w:hanging="1079"/>
        <w:jc w:val="both"/>
        <w:rPr>
          <w:rFonts w:eastAsia="Times New Roman"/>
          <w:szCs w:val="24"/>
        </w:rPr>
      </w:pPr>
      <w:r>
        <w:rPr>
          <w:rFonts w:eastAsia="Times New Roman"/>
        </w:rPr>
        <w:t>VI.6.</w:t>
      </w:r>
      <w:r w:rsidR="009E7161">
        <w:rPr>
          <w:rFonts w:eastAsia="Times New Roman"/>
        </w:rPr>
        <w:t>4</w:t>
      </w:r>
      <w:r>
        <w:rPr>
          <w:rFonts w:eastAsia="Times New Roman"/>
        </w:rPr>
        <w:t>.</w:t>
      </w:r>
      <w:r>
        <w:rPr>
          <w:rFonts w:eastAsia="Times New Roman"/>
        </w:rPr>
        <w:tab/>
        <w:t>Użytkownicy systemu zgłaszający do</w:t>
      </w:r>
      <w:r w:rsidR="00A76021">
        <w:rPr>
          <w:rFonts w:eastAsia="Times New Roman"/>
        </w:rPr>
        <w:t xml:space="preserve"> OSDn</w:t>
      </w:r>
      <w:r>
        <w:rPr>
          <w:rFonts w:eastAsia="Times New Roman"/>
        </w:rPr>
        <w:t xml:space="preserve"> potrzebę wyłączenia elementu sieci </w:t>
      </w:r>
      <w:r w:rsidRPr="00A76021">
        <w:rPr>
          <w:rFonts w:eastAsia="Times New Roman"/>
          <w:szCs w:val="24"/>
        </w:rPr>
        <w:t xml:space="preserve">dystrybucyjnej o czasie trwania powyżej 1 tygodnia, przedstawiają celem uzgodnienia harmonogram wykonywanych prac. </w:t>
      </w:r>
      <w:r w:rsidR="00A76021" w:rsidRPr="00A76021">
        <w:rPr>
          <w:rFonts w:eastAsia="Times New Roman"/>
          <w:szCs w:val="24"/>
        </w:rPr>
        <w:t>OSDn</w:t>
      </w:r>
      <w:r w:rsidRPr="00A76021">
        <w:rPr>
          <w:rFonts w:eastAsia="Times New Roman"/>
          <w:szCs w:val="24"/>
        </w:rPr>
        <w:t xml:space="preserve"> ma prawo zażądać od użytkownika systemu zgłaszającego wyłączenie szczegółowego harmonogramu prac również w przypadku wyłączeń krótszych.</w:t>
      </w:r>
    </w:p>
    <w:p w14:paraId="3FB2892C" w14:textId="77777777" w:rsidR="00572BA3" w:rsidRDefault="00572BA3" w:rsidP="00222DC2">
      <w:pPr>
        <w:spacing w:line="249" w:lineRule="auto"/>
        <w:ind w:left="1140"/>
        <w:jc w:val="both"/>
        <w:rPr>
          <w:rFonts w:eastAsia="Times New Roman"/>
        </w:rPr>
      </w:pPr>
      <w:r w:rsidRPr="00A76021">
        <w:rPr>
          <w:rFonts w:eastAsia="Times New Roman"/>
          <w:szCs w:val="24"/>
        </w:rPr>
        <w:t xml:space="preserve">Harmonogramy te dostarczane są do </w:t>
      </w:r>
      <w:r w:rsidR="00A76021">
        <w:rPr>
          <w:rFonts w:eastAsia="Times New Roman"/>
          <w:szCs w:val="24"/>
        </w:rPr>
        <w:t>OSDn</w:t>
      </w:r>
      <w:r w:rsidRPr="00A76021">
        <w:rPr>
          <w:rFonts w:eastAsia="Times New Roman"/>
          <w:szCs w:val="24"/>
        </w:rPr>
        <w:t xml:space="preserve"> w terminie co najmniej 10 dni</w:t>
      </w:r>
      <w:r w:rsidR="00A76021">
        <w:rPr>
          <w:rFonts w:eastAsia="Times New Roman"/>
          <w:szCs w:val="24"/>
        </w:rPr>
        <w:t xml:space="preserve"> </w:t>
      </w:r>
      <w:r w:rsidR="00A76021" w:rsidRPr="00A76021">
        <w:rPr>
          <w:rFonts w:eastAsia="Times New Roman"/>
          <w:szCs w:val="24"/>
        </w:rPr>
        <w:t>kalendarzowych</w:t>
      </w:r>
      <w:r w:rsidR="00A76021">
        <w:rPr>
          <w:rFonts w:eastAsia="Times New Roman"/>
        </w:rPr>
        <w:t xml:space="preserve"> dla elementów sieci dystrybucyjnej OSDn przed planowanym wyłączeniem</w:t>
      </w:r>
      <w:r w:rsidR="00222DC2">
        <w:rPr>
          <w:rFonts w:eastAsia="Times New Roman"/>
        </w:rPr>
        <w:t xml:space="preserve"> </w:t>
      </w:r>
      <w:r>
        <w:rPr>
          <w:rFonts w:eastAsia="Times New Roman"/>
        </w:rPr>
        <w:t xml:space="preserve">OSP, </w:t>
      </w:r>
      <w:r w:rsidR="009E7161">
        <w:rPr>
          <w:rFonts w:eastAsia="Times New Roman"/>
        </w:rPr>
        <w:t>OSDp, OSDn</w:t>
      </w:r>
      <w:r>
        <w:rPr>
          <w:rFonts w:eastAsia="Times New Roman"/>
        </w:rPr>
        <w:t xml:space="preserve"> i użytkownicy systemu współpracują ze sobą </w:t>
      </w:r>
      <w:r w:rsidR="00222DC2">
        <w:rPr>
          <w:rFonts w:eastAsia="Times New Roman"/>
        </w:rPr>
        <w:br/>
      </w:r>
      <w:r>
        <w:rPr>
          <w:rFonts w:eastAsia="Times New Roman"/>
        </w:rPr>
        <w:t>w celu dotrzymywania terminów planowanych wyłączeń elementów sieci oraz minimalizacji czasu trwania wyłączeń.</w:t>
      </w:r>
    </w:p>
    <w:p w14:paraId="3F4528D0" w14:textId="77777777" w:rsidR="00572BA3" w:rsidRDefault="00572BA3" w:rsidP="00A76021">
      <w:pPr>
        <w:tabs>
          <w:tab w:val="left" w:pos="1120"/>
        </w:tabs>
        <w:spacing w:line="237" w:lineRule="auto"/>
        <w:ind w:left="1140" w:hanging="1079"/>
        <w:jc w:val="both"/>
        <w:rPr>
          <w:rFonts w:eastAsia="Times New Roman"/>
        </w:rPr>
      </w:pPr>
      <w:r>
        <w:rPr>
          <w:rFonts w:eastAsia="Times New Roman"/>
        </w:rPr>
        <w:t>VI.6.</w:t>
      </w:r>
      <w:r w:rsidR="009E7161">
        <w:rPr>
          <w:rFonts w:eastAsia="Times New Roman"/>
        </w:rPr>
        <w:t>5</w:t>
      </w:r>
      <w:r>
        <w:rPr>
          <w:rFonts w:eastAsia="Times New Roman"/>
        </w:rPr>
        <w:t>.</w:t>
      </w:r>
      <w:r>
        <w:rPr>
          <w:rFonts w:eastAsia="Times New Roman"/>
        </w:rPr>
        <w:tab/>
      </w:r>
      <w:r w:rsidR="009E7161">
        <w:rPr>
          <w:rFonts w:eastAsia="Times New Roman"/>
        </w:rPr>
        <w:t>OSDn</w:t>
      </w:r>
      <w:r>
        <w:rPr>
          <w:rFonts w:eastAsia="Times New Roman"/>
        </w:rPr>
        <w:t xml:space="preserve"> podejmuje decyzję zatwierdzającą lub odrzucającą propozycję wyłączenia elementu sieci dystrybucyjnej</w:t>
      </w:r>
      <w:r w:rsidR="009E7161">
        <w:rPr>
          <w:rFonts w:eastAsia="Times New Roman"/>
        </w:rPr>
        <w:t xml:space="preserve"> OSDn</w:t>
      </w:r>
      <w:r>
        <w:rPr>
          <w:rFonts w:eastAsia="Times New Roman"/>
        </w:rPr>
        <w:t xml:space="preserve"> w terminie do 5 dni kalendarzowych od daty dostarczenia propozycji wyłączenia.</w:t>
      </w:r>
    </w:p>
    <w:p w14:paraId="5B3B8682" w14:textId="77777777" w:rsidR="00572BA3" w:rsidRDefault="00572BA3">
      <w:pPr>
        <w:tabs>
          <w:tab w:val="left" w:pos="1120"/>
        </w:tabs>
        <w:spacing w:line="236" w:lineRule="auto"/>
        <w:ind w:left="1140" w:hanging="1079"/>
        <w:jc w:val="both"/>
        <w:rPr>
          <w:rFonts w:eastAsia="Times New Roman"/>
        </w:rPr>
      </w:pPr>
      <w:r>
        <w:rPr>
          <w:rFonts w:eastAsia="Times New Roman"/>
        </w:rPr>
        <w:t>VI.6.</w:t>
      </w:r>
      <w:r w:rsidR="009E7161">
        <w:rPr>
          <w:rFonts w:eastAsia="Times New Roman"/>
        </w:rPr>
        <w:t>6</w:t>
      </w:r>
      <w:r>
        <w:rPr>
          <w:rFonts w:eastAsia="Times New Roman"/>
        </w:rPr>
        <w:t>.</w:t>
      </w:r>
      <w:r>
        <w:rPr>
          <w:rFonts w:eastAsia="Times New Roman"/>
        </w:rPr>
        <w:tab/>
        <w:t xml:space="preserve">Przyjmuje się ogólną zasadę, że terminy wyłączeń zatwierdzone w planach </w:t>
      </w:r>
      <w:r w:rsidR="009E7161">
        <w:rPr>
          <w:rFonts w:eastAsia="Times New Roman"/>
        </w:rPr>
        <w:br/>
      </w:r>
      <w:r>
        <w:rPr>
          <w:rFonts w:eastAsia="Times New Roman"/>
        </w:rPr>
        <w:t>o dłuższym horyzoncie czasowym mają priorytet w stosunku do propozycji wyłączeń zgłaszanych do planów o krótszym horyzoncie czasowym.</w:t>
      </w:r>
    </w:p>
    <w:p w14:paraId="15A405FE" w14:textId="65AC792C" w:rsidR="00572BA3" w:rsidRDefault="00572BA3">
      <w:pPr>
        <w:tabs>
          <w:tab w:val="left" w:pos="1120"/>
        </w:tabs>
        <w:spacing w:line="237" w:lineRule="auto"/>
        <w:ind w:left="1140" w:right="60" w:hanging="1079"/>
        <w:jc w:val="both"/>
        <w:rPr>
          <w:rFonts w:eastAsia="Times New Roman"/>
        </w:rPr>
      </w:pPr>
      <w:r>
        <w:rPr>
          <w:rFonts w:eastAsia="Times New Roman"/>
        </w:rPr>
        <w:t>VI.6.</w:t>
      </w:r>
      <w:r w:rsidR="009E7161">
        <w:rPr>
          <w:rFonts w:eastAsia="Times New Roman"/>
        </w:rPr>
        <w:t>7</w:t>
      </w:r>
      <w:r>
        <w:rPr>
          <w:rFonts w:eastAsia="Times New Roman"/>
        </w:rPr>
        <w:t>.</w:t>
      </w:r>
      <w:r>
        <w:rPr>
          <w:rFonts w:eastAsia="Times New Roman"/>
        </w:rPr>
        <w:tab/>
        <w:t xml:space="preserve">Wszystkie rozmowy telefoniczne prowadzone przez służby dyspozytorskie </w:t>
      </w:r>
      <w:r w:rsidR="009E7161">
        <w:rPr>
          <w:rFonts w:eastAsia="Times New Roman"/>
        </w:rPr>
        <w:t>OSDn</w:t>
      </w:r>
      <w:r>
        <w:rPr>
          <w:rFonts w:eastAsia="Times New Roman"/>
        </w:rPr>
        <w:t xml:space="preserve">, w ramach wykonywania funkcji planowania wyłączeń elementów systemu dystrybucyjnego </w:t>
      </w:r>
      <w:r w:rsidR="009E7161">
        <w:rPr>
          <w:rFonts w:eastAsia="Times New Roman"/>
        </w:rPr>
        <w:t>OSDn</w:t>
      </w:r>
      <w:r>
        <w:rPr>
          <w:rFonts w:eastAsia="Times New Roman"/>
        </w:rPr>
        <w:t>, powinny być rejestrowane na nośniku magnetycznym lub cyfrowym. OSD</w:t>
      </w:r>
      <w:r w:rsidR="009E7161">
        <w:rPr>
          <w:rFonts w:eastAsia="Times New Roman"/>
        </w:rPr>
        <w:t>n</w:t>
      </w:r>
      <w:r>
        <w:rPr>
          <w:rFonts w:eastAsia="Times New Roman"/>
        </w:rPr>
        <w:t xml:space="preserve"> ustala okres ich przechowywania.</w:t>
      </w:r>
    </w:p>
    <w:p w14:paraId="24B184DF" w14:textId="746BB707" w:rsidR="00A2709A" w:rsidRDefault="00A2709A">
      <w:pPr>
        <w:tabs>
          <w:tab w:val="left" w:pos="1120"/>
        </w:tabs>
        <w:spacing w:line="237" w:lineRule="auto"/>
        <w:ind w:left="1140" w:right="60" w:hanging="1079"/>
        <w:jc w:val="both"/>
        <w:rPr>
          <w:rFonts w:eastAsia="Times New Roman"/>
        </w:rPr>
      </w:pPr>
    </w:p>
    <w:p w14:paraId="635980ED" w14:textId="63469807" w:rsidR="00A2709A" w:rsidRDefault="00A2709A">
      <w:pPr>
        <w:tabs>
          <w:tab w:val="left" w:pos="1120"/>
        </w:tabs>
        <w:spacing w:line="237" w:lineRule="auto"/>
        <w:ind w:left="1140" w:right="60" w:hanging="1079"/>
        <w:jc w:val="both"/>
        <w:rPr>
          <w:rFonts w:eastAsia="Times New Roman"/>
        </w:rPr>
      </w:pPr>
    </w:p>
    <w:p w14:paraId="26432BCC" w14:textId="765B77CE" w:rsidR="00A2709A" w:rsidRDefault="00A2709A">
      <w:pPr>
        <w:tabs>
          <w:tab w:val="left" w:pos="1120"/>
        </w:tabs>
        <w:spacing w:line="237" w:lineRule="auto"/>
        <w:ind w:left="1140" w:right="60" w:hanging="1079"/>
        <w:jc w:val="both"/>
        <w:rPr>
          <w:rFonts w:eastAsia="Times New Roman"/>
        </w:rPr>
      </w:pPr>
    </w:p>
    <w:p w14:paraId="2E1021C2" w14:textId="6F54A676" w:rsidR="00A2709A" w:rsidRDefault="00A2709A">
      <w:pPr>
        <w:tabs>
          <w:tab w:val="left" w:pos="1120"/>
        </w:tabs>
        <w:spacing w:line="237" w:lineRule="auto"/>
        <w:ind w:left="1140" w:right="60" w:hanging="1079"/>
        <w:jc w:val="both"/>
        <w:rPr>
          <w:rFonts w:eastAsia="Times New Roman"/>
        </w:rPr>
      </w:pPr>
    </w:p>
    <w:p w14:paraId="1D82DE47" w14:textId="77777777" w:rsidR="00A2709A" w:rsidRDefault="00A2709A">
      <w:pPr>
        <w:tabs>
          <w:tab w:val="left" w:pos="1120"/>
        </w:tabs>
        <w:spacing w:line="237" w:lineRule="auto"/>
        <w:ind w:left="1140" w:right="60" w:hanging="1079"/>
        <w:jc w:val="both"/>
        <w:rPr>
          <w:rFonts w:eastAsia="Times New Roman"/>
        </w:rPr>
      </w:pPr>
    </w:p>
    <w:p w14:paraId="3869CAD7" w14:textId="77777777" w:rsidR="00572BA3" w:rsidRDefault="00572BA3" w:rsidP="005B19B5">
      <w:pPr>
        <w:pStyle w:val="Nagwek2"/>
        <w:jc w:val="both"/>
      </w:pPr>
      <w:bookmarkStart w:id="52" w:name="_Toc141963897"/>
      <w:r>
        <w:t>VI.7.</w:t>
      </w:r>
      <w:r>
        <w:tab/>
        <w:t>PROGRAMY ŁĄCZENIOWE</w:t>
      </w:r>
      <w:bookmarkEnd w:id="52"/>
    </w:p>
    <w:p w14:paraId="46957918" w14:textId="77777777" w:rsidR="00572BA3" w:rsidRDefault="00572BA3">
      <w:pPr>
        <w:tabs>
          <w:tab w:val="left" w:pos="1120"/>
        </w:tabs>
        <w:spacing w:line="249" w:lineRule="auto"/>
        <w:ind w:left="1140" w:hanging="1079"/>
        <w:jc w:val="both"/>
        <w:rPr>
          <w:rFonts w:eastAsia="Times New Roman"/>
          <w:sz w:val="23"/>
        </w:rPr>
      </w:pPr>
      <w:r>
        <w:rPr>
          <w:rFonts w:eastAsia="Times New Roman"/>
          <w:sz w:val="23"/>
        </w:rPr>
        <w:t>VI.7.1.</w:t>
      </w:r>
      <w:r>
        <w:rPr>
          <w:rFonts w:eastAsia="Times New Roman"/>
        </w:rPr>
        <w:tab/>
      </w:r>
      <w:r>
        <w:rPr>
          <w:rFonts w:eastAsia="Times New Roman"/>
          <w:sz w:val="23"/>
        </w:rPr>
        <w:t>Programy łączeniowe opracowuje się w przypadku konieczności prowadzenia złożonych operacji łączeniowych w związku z wykonywanymi pracami sieciowymi.</w:t>
      </w:r>
    </w:p>
    <w:p w14:paraId="6F536AED" w14:textId="77777777" w:rsidR="00572BA3" w:rsidRDefault="00572BA3" w:rsidP="00EE77B7">
      <w:pPr>
        <w:tabs>
          <w:tab w:val="left" w:pos="1120"/>
        </w:tabs>
        <w:spacing w:line="234" w:lineRule="auto"/>
        <w:ind w:left="1140" w:hanging="1079"/>
        <w:jc w:val="both"/>
        <w:rPr>
          <w:rFonts w:eastAsia="Times New Roman"/>
        </w:rPr>
      </w:pPr>
      <w:r>
        <w:rPr>
          <w:rFonts w:eastAsia="Times New Roman"/>
        </w:rPr>
        <w:t>VI.7.2.</w:t>
      </w:r>
      <w:r>
        <w:rPr>
          <w:rFonts w:eastAsia="Times New Roman"/>
        </w:rPr>
        <w:tab/>
        <w:t>Za opracowanie programu łączeniowego odpowiedzialny jest właściciel danego elementu sieci.</w:t>
      </w:r>
    </w:p>
    <w:p w14:paraId="6E3A04CD" w14:textId="77777777" w:rsidR="00572BA3" w:rsidRDefault="00572BA3">
      <w:pPr>
        <w:tabs>
          <w:tab w:val="left" w:pos="1120"/>
        </w:tabs>
        <w:spacing w:line="0" w:lineRule="atLeast"/>
        <w:ind w:left="60"/>
        <w:rPr>
          <w:rFonts w:eastAsia="Times New Roman"/>
        </w:rPr>
      </w:pPr>
      <w:r>
        <w:rPr>
          <w:rFonts w:eastAsia="Times New Roman"/>
        </w:rPr>
        <w:t>VI.7.3.</w:t>
      </w:r>
      <w:r>
        <w:rPr>
          <w:rFonts w:eastAsia="Times New Roman"/>
        </w:rPr>
        <w:tab/>
        <w:t>Programy łączeniowe zawierają co najmniej:</w:t>
      </w:r>
    </w:p>
    <w:p w14:paraId="42D70C4E" w14:textId="77777777" w:rsidR="00572BA3" w:rsidRDefault="00572BA3">
      <w:pPr>
        <w:numPr>
          <w:ilvl w:val="0"/>
          <w:numId w:val="103"/>
        </w:numPr>
        <w:tabs>
          <w:tab w:val="clear" w:pos="2706"/>
        </w:tabs>
        <w:spacing w:line="0" w:lineRule="atLeast"/>
        <w:ind w:left="1418" w:hanging="284"/>
        <w:rPr>
          <w:rFonts w:eastAsia="Times New Roman"/>
        </w:rPr>
      </w:pPr>
      <w:r>
        <w:rPr>
          <w:rFonts w:eastAsia="Times New Roman"/>
        </w:rPr>
        <w:t>charakterystykę załączanego elementu sieci,</w:t>
      </w:r>
    </w:p>
    <w:p w14:paraId="4EFFF276" w14:textId="77777777" w:rsidR="00572BA3" w:rsidRDefault="00572BA3">
      <w:pPr>
        <w:numPr>
          <w:ilvl w:val="0"/>
          <w:numId w:val="103"/>
        </w:numPr>
        <w:tabs>
          <w:tab w:val="clear" w:pos="2706"/>
        </w:tabs>
        <w:spacing w:line="0" w:lineRule="atLeast"/>
        <w:ind w:left="1418" w:hanging="284"/>
        <w:rPr>
          <w:rFonts w:eastAsia="Times New Roman"/>
        </w:rPr>
      </w:pPr>
      <w:r>
        <w:rPr>
          <w:rFonts w:eastAsia="Times New Roman"/>
        </w:rPr>
        <w:t>opis stanu łączników przed realizacją programu,</w:t>
      </w:r>
    </w:p>
    <w:p w14:paraId="4C0588CF" w14:textId="77777777" w:rsidR="00572BA3" w:rsidRDefault="00572BA3">
      <w:pPr>
        <w:numPr>
          <w:ilvl w:val="0"/>
          <w:numId w:val="104"/>
        </w:numPr>
        <w:tabs>
          <w:tab w:val="clear" w:pos="2706"/>
        </w:tabs>
        <w:spacing w:line="234" w:lineRule="auto"/>
        <w:ind w:left="1418" w:hanging="284"/>
        <w:jc w:val="both"/>
        <w:rPr>
          <w:rFonts w:eastAsia="Times New Roman"/>
        </w:rPr>
      </w:pPr>
      <w:r>
        <w:rPr>
          <w:rFonts w:eastAsia="Times New Roman"/>
        </w:rPr>
        <w:t>szczegółowy opis operacji łączeniowych z zachowaniem kolejności wykonywanych czynności,</w:t>
      </w:r>
    </w:p>
    <w:p w14:paraId="0B5E5547" w14:textId="77777777" w:rsidR="00572BA3" w:rsidRDefault="00572BA3">
      <w:pPr>
        <w:numPr>
          <w:ilvl w:val="0"/>
          <w:numId w:val="104"/>
        </w:numPr>
        <w:tabs>
          <w:tab w:val="clear" w:pos="2706"/>
        </w:tabs>
        <w:spacing w:line="234" w:lineRule="auto"/>
        <w:ind w:left="1418" w:hanging="284"/>
        <w:jc w:val="both"/>
        <w:rPr>
          <w:rFonts w:eastAsia="Times New Roman"/>
        </w:rPr>
      </w:pPr>
      <w:r>
        <w:rPr>
          <w:rFonts w:eastAsia="Times New Roman"/>
        </w:rPr>
        <w:t>opisy stanów pracy i nastawień zabezpieczeń i automatyk w poszczególnych fazach programu,</w:t>
      </w:r>
    </w:p>
    <w:p w14:paraId="3CFA43BC" w14:textId="77777777" w:rsidR="00572BA3" w:rsidRDefault="00572BA3">
      <w:pPr>
        <w:numPr>
          <w:ilvl w:val="0"/>
          <w:numId w:val="104"/>
        </w:numPr>
        <w:tabs>
          <w:tab w:val="clear" w:pos="2706"/>
        </w:tabs>
        <w:spacing w:line="234" w:lineRule="auto"/>
        <w:ind w:left="1418" w:hanging="284"/>
        <w:jc w:val="both"/>
        <w:rPr>
          <w:rFonts w:eastAsia="Times New Roman"/>
        </w:rPr>
      </w:pPr>
      <w:r>
        <w:rPr>
          <w:rFonts w:eastAsia="Times New Roman"/>
        </w:rPr>
        <w:t>schematy ułatwiające ocenę stanu pracy sieci w poszczególnych fazach programu,</w:t>
      </w:r>
    </w:p>
    <w:p w14:paraId="68054CF3" w14:textId="77777777" w:rsidR="00572BA3" w:rsidRDefault="00572BA3">
      <w:pPr>
        <w:numPr>
          <w:ilvl w:val="0"/>
          <w:numId w:val="104"/>
        </w:numPr>
        <w:tabs>
          <w:tab w:val="clear" w:pos="2706"/>
        </w:tabs>
        <w:spacing w:line="0" w:lineRule="atLeast"/>
        <w:ind w:left="1418" w:hanging="284"/>
        <w:jc w:val="both"/>
        <w:rPr>
          <w:rFonts w:eastAsia="Times New Roman"/>
        </w:rPr>
      </w:pPr>
      <w:r>
        <w:rPr>
          <w:rFonts w:eastAsia="Times New Roman"/>
        </w:rPr>
        <w:t>czas rozpoczęcia i czas przewidywanego zakończenia realizacji programu,</w:t>
      </w:r>
    </w:p>
    <w:p w14:paraId="2E65F553" w14:textId="77777777" w:rsidR="00572BA3" w:rsidRDefault="00572BA3">
      <w:pPr>
        <w:numPr>
          <w:ilvl w:val="0"/>
          <w:numId w:val="104"/>
        </w:numPr>
        <w:tabs>
          <w:tab w:val="clear" w:pos="2706"/>
        </w:tabs>
        <w:spacing w:line="0" w:lineRule="atLeast"/>
        <w:ind w:left="1418" w:hanging="284"/>
        <w:jc w:val="both"/>
        <w:rPr>
          <w:rFonts w:eastAsia="Times New Roman"/>
        </w:rPr>
      </w:pPr>
      <w:r>
        <w:rPr>
          <w:rFonts w:eastAsia="Times New Roman"/>
        </w:rPr>
        <w:t>osoby odpowiedzialne za realizację programu łączeniowego.</w:t>
      </w:r>
    </w:p>
    <w:p w14:paraId="18812BF9" w14:textId="77777777" w:rsidR="00572BA3" w:rsidRDefault="00572BA3">
      <w:pPr>
        <w:tabs>
          <w:tab w:val="left" w:pos="1120"/>
        </w:tabs>
        <w:spacing w:line="237" w:lineRule="auto"/>
        <w:ind w:left="1140" w:hanging="1079"/>
        <w:jc w:val="both"/>
        <w:rPr>
          <w:rFonts w:eastAsia="Times New Roman"/>
        </w:rPr>
      </w:pPr>
      <w:r>
        <w:rPr>
          <w:rFonts w:eastAsia="Times New Roman"/>
        </w:rPr>
        <w:lastRenderedPageBreak/>
        <w:t>VI.7.4.</w:t>
      </w:r>
      <w:r>
        <w:rPr>
          <w:rFonts w:eastAsia="Times New Roman"/>
        </w:rPr>
        <w:tab/>
        <w:t xml:space="preserve">Propozycje programów łączeniowych dostarczane są do uzgodnienia z </w:t>
      </w:r>
      <w:r w:rsidR="00CE32BD">
        <w:rPr>
          <w:rFonts w:eastAsia="Times New Roman"/>
        </w:rPr>
        <w:t>OSDn</w:t>
      </w:r>
      <w:r>
        <w:rPr>
          <w:rFonts w:eastAsia="Times New Roman"/>
        </w:rPr>
        <w:t xml:space="preserve"> </w:t>
      </w:r>
      <w:r w:rsidR="00CE32BD">
        <w:rPr>
          <w:rFonts w:eastAsia="Times New Roman"/>
        </w:rPr>
        <w:br/>
      </w:r>
      <w:r>
        <w:rPr>
          <w:rFonts w:eastAsia="Times New Roman"/>
        </w:rPr>
        <w:t xml:space="preserve">w terminie co najmniej </w:t>
      </w:r>
      <w:r w:rsidR="00CE32BD">
        <w:rPr>
          <w:rFonts w:eastAsia="Times New Roman"/>
        </w:rPr>
        <w:t>1</w:t>
      </w:r>
      <w:r>
        <w:rPr>
          <w:rFonts w:eastAsia="Times New Roman"/>
        </w:rPr>
        <w:t xml:space="preserve">0 dni kalendarzowych – dla elementów sieci dystrybucyjnej </w:t>
      </w:r>
      <w:r w:rsidR="00CE32BD">
        <w:rPr>
          <w:rFonts w:eastAsia="Times New Roman"/>
        </w:rPr>
        <w:t>OSDn</w:t>
      </w:r>
      <w:r>
        <w:rPr>
          <w:rFonts w:eastAsia="Times New Roman"/>
        </w:rPr>
        <w:t>, przed planowanym terminem realizacji programów łączeniowych.</w:t>
      </w:r>
    </w:p>
    <w:p w14:paraId="2E80B97D" w14:textId="77777777" w:rsidR="00572BA3" w:rsidRDefault="00572BA3">
      <w:pPr>
        <w:tabs>
          <w:tab w:val="left" w:pos="1120"/>
        </w:tabs>
        <w:spacing w:line="236" w:lineRule="auto"/>
        <w:ind w:left="1140" w:hanging="1079"/>
        <w:jc w:val="both"/>
        <w:rPr>
          <w:rFonts w:eastAsia="Times New Roman"/>
        </w:rPr>
      </w:pPr>
      <w:r>
        <w:rPr>
          <w:rFonts w:eastAsia="Times New Roman"/>
        </w:rPr>
        <w:t>VI.7.5.</w:t>
      </w:r>
      <w:r>
        <w:rPr>
          <w:rFonts w:eastAsia="Times New Roman"/>
        </w:rPr>
        <w:tab/>
      </w:r>
      <w:r w:rsidR="00CE32BD">
        <w:rPr>
          <w:rFonts w:eastAsia="Times New Roman"/>
        </w:rPr>
        <w:t>OSDn</w:t>
      </w:r>
      <w:r>
        <w:rPr>
          <w:rFonts w:eastAsia="Times New Roman"/>
        </w:rPr>
        <w:t xml:space="preserve"> może przedstawić uwagi do przekazanych propozycji programów łączeniowych nie później niż 2 dni kalendarzowych przed planowanym terminem realizacji programów łączeniowych.</w:t>
      </w:r>
    </w:p>
    <w:p w14:paraId="1B58B592" w14:textId="77777777" w:rsidR="00572BA3" w:rsidRDefault="00572BA3">
      <w:pPr>
        <w:tabs>
          <w:tab w:val="left" w:pos="1120"/>
        </w:tabs>
        <w:spacing w:line="237" w:lineRule="auto"/>
        <w:ind w:left="1140" w:hanging="1079"/>
        <w:jc w:val="both"/>
        <w:rPr>
          <w:rFonts w:eastAsia="Times New Roman"/>
        </w:rPr>
      </w:pPr>
      <w:r>
        <w:rPr>
          <w:rFonts w:eastAsia="Times New Roman"/>
        </w:rPr>
        <w:t>VI.7.6.</w:t>
      </w:r>
      <w:r>
        <w:rPr>
          <w:rFonts w:eastAsia="Times New Roman"/>
        </w:rPr>
        <w:tab/>
      </w:r>
      <w:r w:rsidR="00CE32BD">
        <w:rPr>
          <w:rFonts w:eastAsia="Times New Roman"/>
        </w:rPr>
        <w:t>OSDn</w:t>
      </w:r>
      <w:r>
        <w:rPr>
          <w:rFonts w:eastAsia="Times New Roman"/>
        </w:rPr>
        <w:t xml:space="preserve"> zatwierdza programy łączeniowe nie później niż do godz. 15.00 dnia poprzedzającego rozpoczęcie programu. W przypadku przekazania przez </w:t>
      </w:r>
      <w:r w:rsidR="00CE32BD">
        <w:rPr>
          <w:rFonts w:eastAsia="Times New Roman"/>
        </w:rPr>
        <w:t>OSDn</w:t>
      </w:r>
      <w:r>
        <w:rPr>
          <w:rFonts w:eastAsia="Times New Roman"/>
        </w:rPr>
        <w:t xml:space="preserve"> uwag do propozycji programu, zgodnie z pkt.VI.7.5., warunkiem zatwierdzenia programu jest uwzględnienie w nim wszystkich zgłoszonych przez </w:t>
      </w:r>
      <w:r w:rsidR="00CE32BD">
        <w:rPr>
          <w:rFonts w:eastAsia="Times New Roman"/>
        </w:rPr>
        <w:t>OSDn</w:t>
      </w:r>
      <w:r>
        <w:rPr>
          <w:rFonts w:eastAsia="Times New Roman"/>
        </w:rPr>
        <w:t xml:space="preserve"> uwag.</w:t>
      </w:r>
    </w:p>
    <w:p w14:paraId="353A6E9E" w14:textId="77777777" w:rsidR="00572BA3" w:rsidRDefault="00572BA3">
      <w:pPr>
        <w:tabs>
          <w:tab w:val="left" w:pos="1120"/>
        </w:tabs>
        <w:spacing w:line="236" w:lineRule="auto"/>
        <w:ind w:left="1140" w:hanging="1079"/>
        <w:jc w:val="both"/>
        <w:rPr>
          <w:rFonts w:eastAsia="Times New Roman"/>
        </w:rPr>
      </w:pPr>
      <w:r>
        <w:rPr>
          <w:rFonts w:eastAsia="Times New Roman"/>
        </w:rPr>
        <w:t>VI.7.</w:t>
      </w:r>
      <w:r w:rsidR="00CE32BD">
        <w:rPr>
          <w:rFonts w:eastAsia="Times New Roman"/>
        </w:rPr>
        <w:t>7</w:t>
      </w:r>
      <w:r>
        <w:rPr>
          <w:rFonts w:eastAsia="Times New Roman"/>
        </w:rPr>
        <w:t>.</w:t>
      </w:r>
      <w:r>
        <w:rPr>
          <w:rFonts w:eastAsia="Times New Roman"/>
        </w:rPr>
        <w:tab/>
        <w:t xml:space="preserve">Terminy wymienione w pkt. VI.7.4., VI.7.5. i VI.7.6. nie dotyczą programów łączeniowych wymuszonych procesem likwidacji awarii sieciowej lub awarii </w:t>
      </w:r>
      <w:r w:rsidR="00CE32BD">
        <w:rPr>
          <w:rFonts w:eastAsia="Times New Roman"/>
        </w:rPr>
        <w:br/>
      </w:r>
      <w:r>
        <w:rPr>
          <w:rFonts w:eastAsia="Times New Roman"/>
        </w:rPr>
        <w:t>w systemie.</w:t>
      </w:r>
    </w:p>
    <w:p w14:paraId="1DB26F4E" w14:textId="67390206" w:rsidR="00572BA3" w:rsidRDefault="00572BA3">
      <w:pPr>
        <w:spacing w:line="200" w:lineRule="exact"/>
        <w:rPr>
          <w:rFonts w:eastAsia="Times New Roman"/>
        </w:rPr>
      </w:pPr>
    </w:p>
    <w:p w14:paraId="110F93A6" w14:textId="77777777" w:rsidR="00A2709A" w:rsidRDefault="00A2709A">
      <w:pPr>
        <w:spacing w:line="200" w:lineRule="exact"/>
        <w:rPr>
          <w:rFonts w:eastAsia="Times New Roman"/>
        </w:rPr>
      </w:pPr>
    </w:p>
    <w:p w14:paraId="6164B6E3" w14:textId="77777777" w:rsidR="00572BA3" w:rsidRDefault="00572BA3" w:rsidP="005B19B5">
      <w:pPr>
        <w:pStyle w:val="Nagwek2"/>
        <w:ind w:left="709" w:hanging="709"/>
        <w:jc w:val="both"/>
      </w:pPr>
      <w:bookmarkStart w:id="53" w:name="_Toc141963898"/>
      <w:r>
        <w:t>VI.8.</w:t>
      </w:r>
      <w:r>
        <w:tab/>
        <w:t>ZASADY DYSPONOWANIA MOCĄ JEDNOSTEK WYTWÓRCZYCH PRZYŁĄCZONYCH DO SIECI DYSTRYBUCYJNEJ</w:t>
      </w:r>
      <w:bookmarkEnd w:id="53"/>
    </w:p>
    <w:p w14:paraId="6FC8FB1A" w14:textId="77777777" w:rsidR="00572BA3" w:rsidRDefault="00572BA3">
      <w:pPr>
        <w:tabs>
          <w:tab w:val="left" w:pos="1120"/>
        </w:tabs>
        <w:spacing w:line="236" w:lineRule="auto"/>
        <w:ind w:left="1140" w:hanging="1079"/>
        <w:jc w:val="both"/>
        <w:rPr>
          <w:rFonts w:eastAsia="Times New Roman"/>
        </w:rPr>
      </w:pPr>
      <w:r>
        <w:rPr>
          <w:rFonts w:eastAsia="Times New Roman"/>
        </w:rPr>
        <w:t>VI.8.1.</w:t>
      </w:r>
      <w:r>
        <w:rPr>
          <w:rFonts w:eastAsia="Times New Roman"/>
        </w:rPr>
        <w:tab/>
        <w:t xml:space="preserve">Wytwórcy posiadający przyłączone do sieci dystrybucyjnej JWCK biorą udział </w:t>
      </w:r>
      <w:r w:rsidR="00E14FFD">
        <w:rPr>
          <w:rFonts w:eastAsia="Times New Roman"/>
        </w:rPr>
        <w:br/>
      </w:r>
      <w:r>
        <w:rPr>
          <w:rFonts w:eastAsia="Times New Roman"/>
        </w:rPr>
        <w:t>w procesie dysponowania mocą, zgodnie z procedurami określonymi przez operatora systemu przesyłowego w IRiESP.</w:t>
      </w:r>
    </w:p>
    <w:p w14:paraId="0C561015" w14:textId="77777777" w:rsidR="00572BA3" w:rsidRDefault="00572BA3">
      <w:pPr>
        <w:tabs>
          <w:tab w:val="left" w:pos="1120"/>
        </w:tabs>
        <w:spacing w:line="237" w:lineRule="auto"/>
        <w:ind w:left="1140" w:hanging="1079"/>
        <w:jc w:val="both"/>
        <w:rPr>
          <w:rFonts w:eastAsia="Times New Roman"/>
        </w:rPr>
      </w:pPr>
      <w:r>
        <w:rPr>
          <w:rFonts w:eastAsia="Times New Roman"/>
        </w:rPr>
        <w:t>VI.8.2.</w:t>
      </w:r>
      <w:r>
        <w:rPr>
          <w:rFonts w:eastAsia="Times New Roman"/>
        </w:rPr>
        <w:tab/>
        <w:t xml:space="preserve">Wytwórcy posiadający JWCK przyłączone do sieci dystrybucyjnej, uzgadniają </w:t>
      </w:r>
      <w:r w:rsidR="00E14FFD">
        <w:rPr>
          <w:rFonts w:eastAsia="Times New Roman"/>
        </w:rPr>
        <w:br/>
      </w:r>
      <w:r>
        <w:rPr>
          <w:rFonts w:eastAsia="Times New Roman"/>
        </w:rPr>
        <w:t xml:space="preserve">z </w:t>
      </w:r>
      <w:r w:rsidR="00000D0D">
        <w:rPr>
          <w:rFonts w:eastAsia="Times New Roman"/>
        </w:rPr>
        <w:t>OSDn</w:t>
      </w:r>
      <w:r>
        <w:rPr>
          <w:rFonts w:eastAsia="Times New Roman"/>
        </w:rPr>
        <w:t xml:space="preserve"> plany maksymalnych i minimalnych mocy dyspozycyjnych oraz harmonogramy remontów planowych, przed ich przekazaniem operatorowi systemu przesyłowego.</w:t>
      </w:r>
    </w:p>
    <w:p w14:paraId="5CB39E04" w14:textId="77777777" w:rsidR="00572BA3" w:rsidRDefault="00572BA3">
      <w:pPr>
        <w:tabs>
          <w:tab w:val="left" w:pos="1120"/>
        </w:tabs>
        <w:spacing w:line="236" w:lineRule="auto"/>
        <w:ind w:left="1140" w:hanging="1079"/>
        <w:jc w:val="both"/>
        <w:rPr>
          <w:rFonts w:eastAsia="Times New Roman"/>
        </w:rPr>
      </w:pPr>
      <w:bookmarkStart w:id="54" w:name="page98"/>
      <w:bookmarkEnd w:id="54"/>
      <w:r>
        <w:rPr>
          <w:rFonts w:eastAsia="Times New Roman"/>
        </w:rPr>
        <w:t>VI.8.3.</w:t>
      </w:r>
      <w:r>
        <w:rPr>
          <w:rFonts w:eastAsia="Times New Roman"/>
        </w:rPr>
        <w:tab/>
        <w:t xml:space="preserve">Uwzględniając otrzymane zgłoszenia planów pracy, </w:t>
      </w:r>
      <w:r w:rsidR="00000D0D">
        <w:rPr>
          <w:rFonts w:eastAsia="Times New Roman"/>
        </w:rPr>
        <w:t>OSDn</w:t>
      </w:r>
      <w:r>
        <w:rPr>
          <w:rFonts w:eastAsia="Times New Roman"/>
        </w:rPr>
        <w:t xml:space="preserve"> określa dla jednostek wytwórczych przyłączonych do sieci dystrybucyjnej, innych niż podane </w:t>
      </w:r>
      <w:r w:rsidR="00000D0D">
        <w:rPr>
          <w:rFonts w:eastAsia="Times New Roman"/>
        </w:rPr>
        <w:br/>
      </w:r>
      <w:r>
        <w:rPr>
          <w:rFonts w:eastAsia="Times New Roman"/>
        </w:rPr>
        <w:t>w pkt.VI.8.1:</w:t>
      </w:r>
    </w:p>
    <w:p w14:paraId="71C1D59E" w14:textId="77777777" w:rsidR="00572BA3" w:rsidRDefault="00572BA3">
      <w:pPr>
        <w:numPr>
          <w:ilvl w:val="0"/>
          <w:numId w:val="105"/>
        </w:numPr>
        <w:tabs>
          <w:tab w:val="left" w:pos="1500"/>
        </w:tabs>
        <w:spacing w:line="0" w:lineRule="atLeast"/>
        <w:rPr>
          <w:rFonts w:eastAsia="Times New Roman"/>
        </w:rPr>
      </w:pPr>
      <w:r>
        <w:rPr>
          <w:rFonts w:eastAsia="Times New Roman"/>
        </w:rPr>
        <w:t>czas synchronizacji,</w:t>
      </w:r>
    </w:p>
    <w:p w14:paraId="342D0A42" w14:textId="77777777" w:rsidR="00572BA3" w:rsidRDefault="00572BA3">
      <w:pPr>
        <w:numPr>
          <w:ilvl w:val="0"/>
          <w:numId w:val="105"/>
        </w:numPr>
        <w:tabs>
          <w:tab w:val="left" w:pos="1500"/>
        </w:tabs>
        <w:spacing w:line="0" w:lineRule="atLeast"/>
        <w:rPr>
          <w:rFonts w:eastAsia="Times New Roman"/>
        </w:rPr>
      </w:pPr>
      <w:r>
        <w:rPr>
          <w:rFonts w:eastAsia="Times New Roman"/>
        </w:rPr>
        <w:t>czas osiągnięcia pełnych zdolności wytwórczych,</w:t>
      </w:r>
    </w:p>
    <w:p w14:paraId="3EEF4332" w14:textId="77777777" w:rsidR="00572BA3" w:rsidRDefault="00572BA3">
      <w:pPr>
        <w:numPr>
          <w:ilvl w:val="0"/>
          <w:numId w:val="105"/>
        </w:numPr>
        <w:tabs>
          <w:tab w:val="left" w:pos="1500"/>
        </w:tabs>
        <w:spacing w:line="0" w:lineRule="atLeast"/>
        <w:rPr>
          <w:rFonts w:eastAsia="Times New Roman"/>
        </w:rPr>
      </w:pPr>
      <w:r>
        <w:rPr>
          <w:rFonts w:eastAsia="Times New Roman"/>
        </w:rPr>
        <w:t>planowane obciążenie mocą czynną,</w:t>
      </w:r>
    </w:p>
    <w:p w14:paraId="7BF197FF" w14:textId="77777777" w:rsidR="00572BA3" w:rsidRDefault="00572BA3">
      <w:pPr>
        <w:numPr>
          <w:ilvl w:val="0"/>
          <w:numId w:val="105"/>
        </w:numPr>
        <w:tabs>
          <w:tab w:val="left" w:pos="1500"/>
        </w:tabs>
        <w:spacing w:line="0" w:lineRule="atLeast"/>
        <w:rPr>
          <w:rFonts w:eastAsia="Times New Roman"/>
        </w:rPr>
      </w:pPr>
      <w:r>
        <w:rPr>
          <w:rFonts w:eastAsia="Times New Roman"/>
        </w:rPr>
        <w:t>czas odstawienia.</w:t>
      </w:r>
    </w:p>
    <w:p w14:paraId="7E6112BC" w14:textId="77777777" w:rsidR="00572BA3" w:rsidRDefault="00572BA3">
      <w:pPr>
        <w:tabs>
          <w:tab w:val="left" w:pos="1120"/>
        </w:tabs>
        <w:spacing w:line="236" w:lineRule="auto"/>
        <w:ind w:left="1140" w:hanging="1079"/>
        <w:jc w:val="both"/>
        <w:rPr>
          <w:rFonts w:eastAsia="Times New Roman"/>
        </w:rPr>
      </w:pPr>
      <w:r>
        <w:rPr>
          <w:rFonts w:eastAsia="Times New Roman"/>
        </w:rPr>
        <w:t>VI.8.4.</w:t>
      </w:r>
      <w:r>
        <w:rPr>
          <w:rFonts w:eastAsia="Times New Roman"/>
        </w:rPr>
        <w:tab/>
      </w:r>
      <w:r w:rsidR="00A67D28">
        <w:rPr>
          <w:rFonts w:eastAsia="Times New Roman"/>
        </w:rPr>
        <w:t>OSDn, OSDp</w:t>
      </w:r>
      <w:r>
        <w:rPr>
          <w:rFonts w:eastAsia="Times New Roman"/>
        </w:rPr>
        <w:t xml:space="preserve"> i OSP uzgadniają, zgodnie z IRiESP, zmiany w planach produkcji jednostek wytwórczych innych niż podane w pkt.VI.8.1, jeżeli wymaga tego bezpieczeństwo pracy KSE.</w:t>
      </w:r>
    </w:p>
    <w:p w14:paraId="6D18B54C" w14:textId="77777777" w:rsidR="00572BA3" w:rsidRDefault="00572BA3" w:rsidP="00930CBC">
      <w:pPr>
        <w:tabs>
          <w:tab w:val="left" w:pos="1120"/>
        </w:tabs>
        <w:spacing w:line="237" w:lineRule="auto"/>
        <w:ind w:left="1140" w:hanging="1079"/>
        <w:jc w:val="both"/>
        <w:rPr>
          <w:rFonts w:eastAsia="Times New Roman"/>
        </w:rPr>
      </w:pPr>
      <w:r>
        <w:rPr>
          <w:rFonts w:eastAsia="Times New Roman"/>
        </w:rPr>
        <w:t>VI.8.5.</w:t>
      </w:r>
      <w:r>
        <w:rPr>
          <w:rFonts w:eastAsia="Times New Roman"/>
        </w:rPr>
        <w:tab/>
      </w:r>
      <w:r w:rsidR="00A67D28">
        <w:rPr>
          <w:rFonts w:eastAsia="Times New Roman"/>
        </w:rPr>
        <w:t>OSDn</w:t>
      </w:r>
      <w:r>
        <w:rPr>
          <w:rFonts w:eastAsia="Times New Roman"/>
        </w:rPr>
        <w:t xml:space="preserve"> może polecić pracę jednostek wytwórczych z przeciążeniem lub zaniżeniem mocy wytwarzanej poniżej dopuszczalnego minimum</w:t>
      </w:r>
      <w:r w:rsidR="00091F1B">
        <w:rPr>
          <w:rFonts w:eastAsia="Times New Roman"/>
        </w:rPr>
        <w:t>,</w:t>
      </w:r>
      <w:r>
        <w:rPr>
          <w:rFonts w:eastAsia="Times New Roman"/>
        </w:rPr>
        <w:t xml:space="preserve"> jeśli przewidują to dwustronne umowy lub w przypadku zagrożenia bezpieczeństwa pracy systemu elektroenergetycznego.</w:t>
      </w:r>
    </w:p>
    <w:p w14:paraId="67F02050" w14:textId="77777777" w:rsidR="00572BA3" w:rsidRDefault="00572BA3" w:rsidP="00930CBC">
      <w:pPr>
        <w:tabs>
          <w:tab w:val="left" w:pos="1120"/>
        </w:tabs>
        <w:spacing w:line="236" w:lineRule="auto"/>
        <w:ind w:left="1140" w:hanging="1079"/>
        <w:jc w:val="both"/>
        <w:rPr>
          <w:rFonts w:eastAsia="Times New Roman"/>
        </w:rPr>
      </w:pPr>
      <w:r>
        <w:rPr>
          <w:rFonts w:eastAsia="Times New Roman"/>
        </w:rPr>
        <w:t>VI.8.6.</w:t>
      </w:r>
      <w:r>
        <w:rPr>
          <w:rFonts w:eastAsia="Times New Roman"/>
        </w:rPr>
        <w:tab/>
        <w:t>Wytwórcy w zakresie jednostek wytwórczych przyłączonych do sieci dystrybucyjnej są zobowiązani do niezwłocznego przekazywania</w:t>
      </w:r>
      <w:r w:rsidR="00A67D28">
        <w:rPr>
          <w:rFonts w:eastAsia="Times New Roman"/>
        </w:rPr>
        <w:t xml:space="preserve"> OSDn </w:t>
      </w:r>
      <w:r>
        <w:rPr>
          <w:rFonts w:eastAsia="Times New Roman"/>
        </w:rPr>
        <w:t>informacji o zmianie mocy dyspozycyjnej.</w:t>
      </w:r>
    </w:p>
    <w:p w14:paraId="02149913" w14:textId="77777777" w:rsidR="00572BA3" w:rsidRDefault="00572BA3" w:rsidP="00930CBC">
      <w:pPr>
        <w:tabs>
          <w:tab w:val="left" w:pos="1120"/>
        </w:tabs>
        <w:spacing w:line="234" w:lineRule="auto"/>
        <w:ind w:left="1140" w:hanging="1079"/>
        <w:jc w:val="both"/>
        <w:rPr>
          <w:rFonts w:eastAsia="Times New Roman"/>
        </w:rPr>
      </w:pPr>
      <w:r>
        <w:rPr>
          <w:rFonts w:eastAsia="Times New Roman"/>
        </w:rPr>
        <w:t>VI.8.7.</w:t>
      </w:r>
      <w:r>
        <w:rPr>
          <w:rFonts w:eastAsia="Times New Roman"/>
        </w:rPr>
        <w:tab/>
        <w:t>Bezpośrednio przed synchronizacją lub odstawieniem jednostki wytwórczej, wytwórca jest zobowiązany uzyskać zgodę OSD.</w:t>
      </w:r>
    </w:p>
    <w:p w14:paraId="39C640E5" w14:textId="7ABB4F11" w:rsidR="00A2709A" w:rsidRDefault="00930CBC" w:rsidP="00930CBC">
      <w:pPr>
        <w:spacing w:line="234" w:lineRule="auto"/>
        <w:ind w:left="1134" w:hanging="1073"/>
        <w:jc w:val="both"/>
        <w:rPr>
          <w:rFonts w:eastAsia="Times New Roman" w:cs="Times New Roman"/>
          <w:bCs/>
          <w:color w:val="000000"/>
          <w:szCs w:val="24"/>
        </w:rPr>
      </w:pPr>
      <w:r>
        <w:rPr>
          <w:rFonts w:eastAsia="Times New Roman"/>
        </w:rPr>
        <w:t xml:space="preserve">VI.8.8.   </w:t>
      </w:r>
      <w:r w:rsidRPr="003B5EA2">
        <w:rPr>
          <w:rFonts w:eastAsia="Times New Roman" w:cs="Times New Roman"/>
          <w:bCs/>
          <w:color w:val="000000"/>
          <w:szCs w:val="24"/>
        </w:rPr>
        <w:t xml:space="preserve">OSDn może ograniczyć pracę lub odłączyć od sieci mikroinstalację o mocy zainstalowanej większej niż 10 kW przyłączoną do sieci OSDn w przypadku, gdy wytwarzanie energii elektrycznej w tej mikroinstalacji stanowi zagrożenie bezpieczeństwa pracy tej sieci. Uwzględniając stopień zagrożenia bezpieczeństwa pracy poszczególnych obszarów sieci, OSDn w pierwszej kolejności ogranicza proporcjonalnie do mocy zainstalowanej pracę mikroinstalacji albo odłącza ją od </w:t>
      </w:r>
      <w:r w:rsidRPr="003B5EA2">
        <w:rPr>
          <w:rFonts w:eastAsia="Times New Roman" w:cs="Times New Roman"/>
          <w:bCs/>
          <w:color w:val="000000"/>
          <w:szCs w:val="24"/>
        </w:rPr>
        <w:lastRenderedPageBreak/>
        <w:t>sieci. Po ustaniu stanu zagrożenia bezpieczeństwa pracy sieci OSDn jest obowiązany niezwłocznie przywrócić stan poprzedni.</w:t>
      </w:r>
    </w:p>
    <w:p w14:paraId="7ED547B1" w14:textId="77777777" w:rsidR="00A2709A" w:rsidRDefault="00A2709A" w:rsidP="00930CBC">
      <w:pPr>
        <w:spacing w:line="234" w:lineRule="auto"/>
        <w:ind w:left="1134" w:hanging="1073"/>
        <w:jc w:val="both"/>
        <w:rPr>
          <w:rFonts w:eastAsia="Times New Roman"/>
        </w:rPr>
      </w:pPr>
    </w:p>
    <w:p w14:paraId="11CBF994" w14:textId="77777777" w:rsidR="00572BA3" w:rsidRDefault="00572BA3" w:rsidP="005B19B5">
      <w:pPr>
        <w:pStyle w:val="Nagwek2"/>
      </w:pPr>
      <w:bookmarkStart w:id="55" w:name="_Toc141963899"/>
      <w:r>
        <w:t>VI.9.</w:t>
      </w:r>
      <w:r>
        <w:tab/>
        <w:t xml:space="preserve">DANE PRZEKAZYWANE PRZEZ PODMIOTY DO </w:t>
      </w:r>
      <w:r w:rsidR="003C6944">
        <w:t>OSDn</w:t>
      </w:r>
      <w:bookmarkEnd w:id="55"/>
    </w:p>
    <w:p w14:paraId="7E39D6A1" w14:textId="77777777" w:rsidR="00572BA3" w:rsidRDefault="00572BA3">
      <w:pPr>
        <w:tabs>
          <w:tab w:val="left" w:pos="1120"/>
        </w:tabs>
        <w:spacing w:line="234" w:lineRule="auto"/>
        <w:ind w:left="1140" w:hanging="1079"/>
        <w:jc w:val="both"/>
        <w:rPr>
          <w:rFonts w:eastAsia="Times New Roman"/>
        </w:rPr>
      </w:pPr>
      <w:r>
        <w:rPr>
          <w:rFonts w:eastAsia="Times New Roman"/>
        </w:rPr>
        <w:t>VI.9.1.</w:t>
      </w:r>
      <w:r>
        <w:rPr>
          <w:rFonts w:eastAsia="Times New Roman"/>
        </w:rPr>
        <w:tab/>
      </w:r>
      <w:r w:rsidR="00861700">
        <w:rPr>
          <w:rFonts w:eastAsia="Times New Roman"/>
        </w:rPr>
        <w:t>OSDn</w:t>
      </w:r>
      <w:r>
        <w:rPr>
          <w:rFonts w:eastAsia="Times New Roman"/>
        </w:rPr>
        <w:t xml:space="preserve"> otrzymuje od OSP dane zgodnie z zakresem określonym w IRiESP.</w:t>
      </w:r>
    </w:p>
    <w:p w14:paraId="0BEBC97D" w14:textId="5229935D" w:rsidR="00572BA3" w:rsidRDefault="00572BA3" w:rsidP="00963A6F">
      <w:pPr>
        <w:tabs>
          <w:tab w:val="left" w:pos="1120"/>
        </w:tabs>
        <w:spacing w:line="236" w:lineRule="auto"/>
        <w:ind w:left="1140" w:hanging="1079"/>
        <w:jc w:val="both"/>
        <w:rPr>
          <w:rFonts w:eastAsia="Times New Roman"/>
        </w:rPr>
      </w:pPr>
      <w:r>
        <w:rPr>
          <w:rFonts w:eastAsia="Times New Roman"/>
        </w:rPr>
        <w:t>VI.9.2.</w:t>
      </w:r>
      <w:r>
        <w:rPr>
          <w:rFonts w:eastAsia="Times New Roman"/>
        </w:rPr>
        <w:tab/>
      </w:r>
      <w:r w:rsidR="00861700">
        <w:rPr>
          <w:rFonts w:eastAsia="Times New Roman"/>
        </w:rPr>
        <w:t>O</w:t>
      </w:r>
      <w:r>
        <w:rPr>
          <w:rFonts w:eastAsia="Times New Roman"/>
        </w:rPr>
        <w:t xml:space="preserve">dbiorcy wskazani przez </w:t>
      </w:r>
      <w:r w:rsidR="00861700">
        <w:rPr>
          <w:rFonts w:eastAsia="Times New Roman"/>
        </w:rPr>
        <w:t>OSDn</w:t>
      </w:r>
      <w:r>
        <w:rPr>
          <w:rFonts w:eastAsia="Times New Roman"/>
        </w:rPr>
        <w:t xml:space="preserve">, sporządzają oraz przesyłają dane, w zakresie </w:t>
      </w:r>
      <w:r w:rsidR="00861700">
        <w:rPr>
          <w:rFonts w:eastAsia="Times New Roman"/>
        </w:rPr>
        <w:br/>
      </w:r>
      <w:r>
        <w:rPr>
          <w:rFonts w:eastAsia="Times New Roman"/>
        </w:rPr>
        <w:t>i terminach określonych w pkt II.</w:t>
      </w:r>
      <w:r w:rsidR="00B33453">
        <w:rPr>
          <w:rFonts w:eastAsia="Times New Roman"/>
        </w:rPr>
        <w:t>4.</w:t>
      </w:r>
    </w:p>
    <w:p w14:paraId="6F9D8292" w14:textId="77777777" w:rsidR="00572BA3" w:rsidRPr="00861700" w:rsidRDefault="00572BA3" w:rsidP="00963A6F">
      <w:pPr>
        <w:tabs>
          <w:tab w:val="left" w:pos="1120"/>
        </w:tabs>
        <w:spacing w:line="236" w:lineRule="auto"/>
        <w:ind w:left="1140" w:hanging="1079"/>
        <w:jc w:val="both"/>
        <w:rPr>
          <w:rFonts w:eastAsia="Times New Roman"/>
          <w:szCs w:val="24"/>
        </w:rPr>
      </w:pPr>
      <w:r>
        <w:rPr>
          <w:rFonts w:eastAsia="Times New Roman"/>
        </w:rPr>
        <w:t>VI.9.3.</w:t>
      </w:r>
      <w:r>
        <w:rPr>
          <w:rFonts w:eastAsia="Times New Roman"/>
        </w:rPr>
        <w:tab/>
      </w:r>
      <w:r w:rsidRPr="00861700">
        <w:rPr>
          <w:rFonts w:eastAsia="Times New Roman"/>
          <w:szCs w:val="24"/>
        </w:rPr>
        <w:t>Wytwórcy i odbiorcy posiadający źródła energii elektrycznej (z wyłączeniem mik</w:t>
      </w:r>
      <w:r w:rsidR="00434D69">
        <w:rPr>
          <w:rFonts w:eastAsia="Times New Roman"/>
          <w:szCs w:val="24"/>
        </w:rPr>
        <w:t>roinstalacji</w:t>
      </w:r>
      <w:r w:rsidRPr="00861700">
        <w:rPr>
          <w:rFonts w:eastAsia="Times New Roman"/>
          <w:szCs w:val="24"/>
        </w:rPr>
        <w:t xml:space="preserve">), przekazują w formie ustalonej przez </w:t>
      </w:r>
      <w:r w:rsidR="00861700" w:rsidRPr="00861700">
        <w:rPr>
          <w:rFonts w:eastAsia="Times New Roman"/>
          <w:szCs w:val="24"/>
        </w:rPr>
        <w:t xml:space="preserve">OSDn </w:t>
      </w:r>
      <w:r w:rsidRPr="00861700">
        <w:rPr>
          <w:rFonts w:eastAsia="Times New Roman"/>
          <w:szCs w:val="24"/>
        </w:rPr>
        <w:t>następujące informacje:</w:t>
      </w:r>
    </w:p>
    <w:p w14:paraId="08A703CB" w14:textId="77777777" w:rsidR="00572BA3" w:rsidRPr="00FA49B5" w:rsidRDefault="00572BA3">
      <w:pPr>
        <w:numPr>
          <w:ilvl w:val="0"/>
          <w:numId w:val="106"/>
        </w:numPr>
        <w:tabs>
          <w:tab w:val="clear" w:pos="2706"/>
        </w:tabs>
        <w:spacing w:line="250" w:lineRule="auto"/>
        <w:ind w:left="1418" w:right="60" w:hanging="284"/>
        <w:jc w:val="both"/>
        <w:rPr>
          <w:rFonts w:eastAsia="Times New Roman"/>
          <w:color w:val="000000"/>
          <w:szCs w:val="24"/>
        </w:rPr>
      </w:pPr>
      <w:r w:rsidRPr="00861700">
        <w:rPr>
          <w:rFonts w:eastAsia="Times New Roman"/>
          <w:szCs w:val="24"/>
        </w:rPr>
        <w:t xml:space="preserve">proponowany harmonogram remontów kapitalnych i średnich, bilans mocy uwzględniający ubytki mocy z rozbiciem na poszczególne miesiące od stycznia do grudnia danego roku, zestawienie zmian mocy zainstalowanej i osiągalnej </w:t>
      </w:r>
      <w:r w:rsidR="006B74AF">
        <w:rPr>
          <w:rFonts w:eastAsia="Times New Roman"/>
          <w:szCs w:val="24"/>
        </w:rPr>
        <w:br/>
      </w:r>
      <w:r w:rsidRPr="00861700">
        <w:rPr>
          <w:rFonts w:eastAsia="Times New Roman"/>
          <w:szCs w:val="24"/>
        </w:rPr>
        <w:t xml:space="preserve">z uwzględnieniem numeru urządzenia, wielkości zmiany, daty i przyczyny zmiany (jeśli takie zmiany mają miejsce), planowaną produkcję energii elektrycznej brutto w [MWh] oraz netto w [MWh] jaką planuje się wprowadzić do sieci dystrybucyjnej w rozbiciu na poszczególne miesiące roku do dnia </w:t>
      </w:r>
      <w:r w:rsidR="009279BC">
        <w:rPr>
          <w:rFonts w:eastAsia="Times New Roman"/>
          <w:szCs w:val="24"/>
        </w:rPr>
        <w:br/>
      </w:r>
      <w:r w:rsidRPr="00861700">
        <w:rPr>
          <w:rFonts w:eastAsia="Times New Roman"/>
          <w:szCs w:val="24"/>
        </w:rPr>
        <w:t>5 wrze</w:t>
      </w:r>
      <w:r w:rsidRPr="00FA49B5">
        <w:rPr>
          <w:rFonts w:eastAsia="Times New Roman"/>
          <w:color w:val="000000"/>
          <w:szCs w:val="24"/>
        </w:rPr>
        <w:t>śnia każdego roku na następne trzy lata kalendarzowe oraz do dnia</w:t>
      </w:r>
      <w:r w:rsidR="00861700" w:rsidRPr="00FA49B5">
        <w:rPr>
          <w:rFonts w:eastAsia="Times New Roman"/>
          <w:color w:val="000000"/>
          <w:szCs w:val="24"/>
        </w:rPr>
        <w:t xml:space="preserve"> </w:t>
      </w:r>
      <w:r w:rsidR="009279BC" w:rsidRPr="00FA49B5">
        <w:rPr>
          <w:rFonts w:eastAsia="Times New Roman"/>
          <w:color w:val="000000"/>
          <w:szCs w:val="24"/>
        </w:rPr>
        <w:br/>
      </w:r>
      <w:r w:rsidR="00861700" w:rsidRPr="00FA49B5">
        <w:rPr>
          <w:rFonts w:eastAsia="Times New Roman"/>
          <w:color w:val="000000"/>
          <w:szCs w:val="24"/>
        </w:rPr>
        <w:t xml:space="preserve">15 stycznia, 15 kwietnia i 15 lipca, w każdym terminie dla kolejnych 18 miesięcy kalendarzowych,  </w:t>
      </w:r>
    </w:p>
    <w:tbl>
      <w:tblPr>
        <w:tblW w:w="9214" w:type="dxa"/>
        <w:tblLayout w:type="fixed"/>
        <w:tblCellMar>
          <w:left w:w="0" w:type="dxa"/>
          <w:right w:w="0" w:type="dxa"/>
        </w:tblCellMar>
        <w:tblLook w:val="0000" w:firstRow="0" w:lastRow="0" w:firstColumn="0" w:lastColumn="0" w:noHBand="0" w:noVBand="0"/>
      </w:tblPr>
      <w:tblGrid>
        <w:gridCol w:w="1418"/>
        <w:gridCol w:w="7796"/>
      </w:tblGrid>
      <w:tr w:rsidR="00500F4F" w:rsidRPr="00FA49B5" w14:paraId="3F11F820" w14:textId="77777777" w:rsidTr="00091F1B">
        <w:trPr>
          <w:trHeight w:val="396"/>
        </w:trPr>
        <w:tc>
          <w:tcPr>
            <w:tcW w:w="1418" w:type="dxa"/>
            <w:shd w:val="clear" w:color="auto" w:fill="auto"/>
          </w:tcPr>
          <w:p w14:paraId="0A4933D4" w14:textId="77777777" w:rsidR="00500F4F" w:rsidRPr="00FA49B5" w:rsidRDefault="00500F4F" w:rsidP="00963A6F">
            <w:pPr>
              <w:spacing w:line="0" w:lineRule="atLeast"/>
              <w:ind w:left="1160"/>
              <w:rPr>
                <w:rFonts w:eastAsia="Times New Roman"/>
                <w:color w:val="000000"/>
                <w:szCs w:val="24"/>
              </w:rPr>
            </w:pPr>
            <w:bookmarkStart w:id="56" w:name="_Hlk34306424"/>
            <w:r w:rsidRPr="00FA49B5">
              <w:rPr>
                <w:rFonts w:eastAsia="Times New Roman"/>
                <w:color w:val="000000"/>
                <w:szCs w:val="24"/>
              </w:rPr>
              <w:t>b)</w:t>
            </w:r>
          </w:p>
        </w:tc>
        <w:tc>
          <w:tcPr>
            <w:tcW w:w="7796" w:type="dxa"/>
            <w:shd w:val="clear" w:color="auto" w:fill="auto"/>
            <w:vAlign w:val="bottom"/>
          </w:tcPr>
          <w:p w14:paraId="3555FE85" w14:textId="77777777" w:rsidR="00500F4F" w:rsidRPr="00FA49B5" w:rsidRDefault="00500F4F" w:rsidP="00963A6F">
            <w:pPr>
              <w:spacing w:line="0" w:lineRule="atLeast"/>
              <w:jc w:val="both"/>
              <w:rPr>
                <w:rFonts w:eastAsia="Times New Roman"/>
                <w:color w:val="000000"/>
                <w:szCs w:val="24"/>
              </w:rPr>
            </w:pPr>
            <w:r w:rsidRPr="00FA49B5">
              <w:rPr>
                <w:rFonts w:eastAsia="Times New Roman"/>
                <w:color w:val="000000"/>
                <w:szCs w:val="24"/>
              </w:rPr>
              <w:t xml:space="preserve">planowaną miesięczną produkcję energii elektrycznej brutto oraz netto </w:t>
            </w:r>
            <w:r w:rsidRPr="00FA49B5">
              <w:rPr>
                <w:rFonts w:eastAsia="Times New Roman"/>
                <w:color w:val="000000"/>
                <w:szCs w:val="24"/>
              </w:rPr>
              <w:br/>
              <w:t>w [MWh] jaką planuje się wprowadzić do sieci dystrybucyjnej dla każdej godziny doby do 18 dnia miesiąca poprzedniego,</w:t>
            </w:r>
          </w:p>
        </w:tc>
      </w:tr>
      <w:bookmarkEnd w:id="56"/>
    </w:tbl>
    <w:p w14:paraId="2F68CC3A" w14:textId="77777777" w:rsidR="00572BA3" w:rsidRPr="00861700" w:rsidRDefault="00572BA3" w:rsidP="00963A6F">
      <w:pPr>
        <w:spacing w:line="12" w:lineRule="exact"/>
        <w:rPr>
          <w:rFonts w:eastAsia="Times New Roman"/>
          <w:szCs w:val="24"/>
        </w:rPr>
      </w:pPr>
    </w:p>
    <w:p w14:paraId="626F966C" w14:textId="77777777" w:rsidR="00572BA3" w:rsidRDefault="00572BA3">
      <w:pPr>
        <w:numPr>
          <w:ilvl w:val="0"/>
          <w:numId w:val="107"/>
        </w:numPr>
        <w:tabs>
          <w:tab w:val="clear" w:pos="2706"/>
        </w:tabs>
        <w:spacing w:line="237" w:lineRule="auto"/>
        <w:ind w:left="1418" w:right="60" w:hanging="338"/>
        <w:jc w:val="both"/>
        <w:rPr>
          <w:rFonts w:eastAsia="Times New Roman"/>
        </w:rPr>
      </w:pPr>
      <w:r w:rsidRPr="00861700">
        <w:rPr>
          <w:rFonts w:eastAsia="Times New Roman"/>
          <w:szCs w:val="24"/>
        </w:rPr>
        <w:t>planowane wartości mocy dyspozycyjnych, maksymalnych i minimalnych. Planowaną produkcję energii elektrycznej brutto w [MWh] oraz planowaną produkcję energii elektrycznej netto w [MWh] jaką planuje się wprowadzić do sieci dystrybucyjnej dla</w:t>
      </w:r>
      <w:r>
        <w:rPr>
          <w:rFonts w:eastAsia="Times New Roman"/>
        </w:rPr>
        <w:t xml:space="preserve"> każdej godziny doby codziennie do godziny 8:00 dla kolejnych 9 dób,</w:t>
      </w:r>
    </w:p>
    <w:p w14:paraId="5E0C9EDE" w14:textId="7D74BAA6" w:rsidR="00D6746D" w:rsidRDefault="00572BA3">
      <w:pPr>
        <w:numPr>
          <w:ilvl w:val="0"/>
          <w:numId w:val="107"/>
        </w:numPr>
        <w:tabs>
          <w:tab w:val="clear" w:pos="2706"/>
        </w:tabs>
        <w:spacing w:line="234" w:lineRule="auto"/>
        <w:ind w:left="1418" w:right="60" w:hanging="284"/>
        <w:jc w:val="both"/>
        <w:rPr>
          <w:rFonts w:eastAsia="Times New Roman"/>
        </w:rPr>
      </w:pPr>
      <w:r w:rsidRPr="00BA6DA3">
        <w:rPr>
          <w:rFonts w:eastAsia="Times New Roman"/>
        </w:rPr>
        <w:t>wartość sumaryczną wytworzonej mocy (wykonanie) przez jednostki wytwórcze dla każdej godziny doby.</w:t>
      </w:r>
    </w:p>
    <w:p w14:paraId="02298026" w14:textId="021F8DEE" w:rsidR="00A2709A" w:rsidRDefault="00A2709A" w:rsidP="00A2709A">
      <w:pPr>
        <w:spacing w:line="234" w:lineRule="auto"/>
        <w:ind w:right="60"/>
        <w:jc w:val="both"/>
        <w:rPr>
          <w:rFonts w:eastAsia="Times New Roman"/>
        </w:rPr>
      </w:pPr>
    </w:p>
    <w:p w14:paraId="0F94A282" w14:textId="542B1265" w:rsidR="00A2709A" w:rsidRDefault="00A2709A" w:rsidP="00A2709A">
      <w:pPr>
        <w:spacing w:line="234" w:lineRule="auto"/>
        <w:ind w:right="60"/>
        <w:jc w:val="both"/>
        <w:rPr>
          <w:rFonts w:eastAsia="Times New Roman"/>
        </w:rPr>
      </w:pPr>
    </w:p>
    <w:p w14:paraId="136D7F57" w14:textId="6ABAED7E" w:rsidR="00A2709A" w:rsidRDefault="00A2709A" w:rsidP="00A2709A">
      <w:pPr>
        <w:spacing w:line="234" w:lineRule="auto"/>
        <w:ind w:right="60"/>
        <w:jc w:val="both"/>
        <w:rPr>
          <w:rFonts w:eastAsia="Times New Roman"/>
        </w:rPr>
      </w:pPr>
    </w:p>
    <w:p w14:paraId="2035E027" w14:textId="77777777" w:rsidR="00A2709A" w:rsidRPr="00BA6DA3" w:rsidRDefault="00A2709A" w:rsidP="00A2709A">
      <w:pPr>
        <w:spacing w:line="234" w:lineRule="auto"/>
        <w:ind w:right="60"/>
        <w:jc w:val="both"/>
        <w:rPr>
          <w:rFonts w:eastAsia="Times New Roman"/>
        </w:rPr>
      </w:pPr>
    </w:p>
    <w:p w14:paraId="2537999F" w14:textId="69C3EE2E" w:rsidR="00B33DF2" w:rsidRPr="00CC64F2" w:rsidRDefault="00B33DF2" w:rsidP="00CC64F2">
      <w:pPr>
        <w:pStyle w:val="Tekstpodstawowy"/>
        <w:ind w:left="709" w:hanging="709"/>
        <w:rPr>
          <w:b/>
          <w:szCs w:val="24"/>
          <w:lang w:val="pl-PL"/>
        </w:rPr>
      </w:pPr>
      <w:r w:rsidRPr="00B33DF2">
        <w:rPr>
          <w:b/>
          <w:bCs/>
        </w:rPr>
        <w:t>VI.</w:t>
      </w:r>
      <w:r w:rsidRPr="00B33DF2">
        <w:rPr>
          <w:b/>
          <w:bCs/>
          <w:lang w:val="pl-PL"/>
        </w:rPr>
        <w:t>10. Wymiana</w:t>
      </w:r>
      <w:r>
        <w:rPr>
          <w:lang w:val="pl-PL"/>
        </w:rPr>
        <w:t xml:space="preserve"> </w:t>
      </w:r>
      <w:r w:rsidRPr="00C6236A">
        <w:rPr>
          <w:b/>
          <w:szCs w:val="24"/>
        </w:rPr>
        <w:t>danych dotyczących prognozowania</w:t>
      </w:r>
      <w:r w:rsidR="00CC64F2">
        <w:rPr>
          <w:b/>
          <w:szCs w:val="24"/>
          <w:lang w:val="pl-PL"/>
        </w:rPr>
        <w:t xml:space="preserve"> </w:t>
      </w:r>
    </w:p>
    <w:p w14:paraId="610D1C9C" w14:textId="77777777" w:rsidR="00B33DF2" w:rsidRPr="00C6236A" w:rsidRDefault="00B33DF2" w:rsidP="00B33DF2">
      <w:pPr>
        <w:spacing w:line="0" w:lineRule="atLeast"/>
        <w:ind w:left="851" w:right="2" w:hanging="851"/>
        <w:jc w:val="both"/>
        <w:rPr>
          <w:rFonts w:eastAsia="Times New Roman"/>
          <w:b/>
          <w:color w:val="000000"/>
          <w:szCs w:val="24"/>
        </w:rPr>
      </w:pPr>
      <w:r w:rsidRPr="00B33DF2">
        <w:rPr>
          <w:bCs/>
          <w:szCs w:val="24"/>
        </w:rPr>
        <w:t xml:space="preserve">VI.10.1. </w:t>
      </w:r>
      <w:r w:rsidRPr="00C6236A">
        <w:rPr>
          <w:rFonts w:cs="Times New Roman"/>
          <w:color w:val="000000"/>
          <w:szCs w:val="24"/>
        </w:rPr>
        <w:t xml:space="preserve">Podmioty przyłączone do sieci OSDn mają obowiązek, zgodnie z TCM przekazywania danych planistycznych do OSP lub OSDn. </w:t>
      </w:r>
    </w:p>
    <w:p w14:paraId="4F0F812F" w14:textId="77777777" w:rsidR="00B33DF2" w:rsidRPr="00C6236A" w:rsidRDefault="00B33DF2" w:rsidP="00B33DF2">
      <w:pPr>
        <w:spacing w:line="0" w:lineRule="atLeast"/>
        <w:ind w:left="851" w:right="2"/>
        <w:jc w:val="both"/>
        <w:rPr>
          <w:rFonts w:cs="Times New Roman"/>
          <w:color w:val="000000"/>
          <w:szCs w:val="24"/>
        </w:rPr>
      </w:pPr>
      <w:r w:rsidRPr="00C6236A">
        <w:rPr>
          <w:rFonts w:cs="Times New Roman"/>
          <w:color w:val="000000"/>
          <w:szCs w:val="24"/>
        </w:rPr>
        <w:t>W sytuacji, gdy:</w:t>
      </w:r>
    </w:p>
    <w:p w14:paraId="20DBD339" w14:textId="77777777" w:rsidR="00B33DF2" w:rsidRPr="00C6236A" w:rsidRDefault="00B33DF2">
      <w:pPr>
        <w:numPr>
          <w:ilvl w:val="0"/>
          <w:numId w:val="270"/>
        </w:numPr>
        <w:spacing w:line="0" w:lineRule="atLeast"/>
        <w:ind w:left="1134" w:right="2" w:hanging="283"/>
        <w:jc w:val="both"/>
        <w:rPr>
          <w:rFonts w:cs="Times New Roman"/>
          <w:color w:val="000000"/>
          <w:szCs w:val="24"/>
        </w:rPr>
      </w:pPr>
      <w:r w:rsidRPr="00C6236A">
        <w:rPr>
          <w:rFonts w:cs="Times New Roman"/>
          <w:color w:val="000000"/>
          <w:szCs w:val="24"/>
        </w:rPr>
        <w:t>obowiązek ten dotyczy przekazywania danych bezpośrednio do OSP, zasady wykonania tego obowiązku wskazane są na stronie internetowej OSP,</w:t>
      </w:r>
    </w:p>
    <w:p w14:paraId="2C4301CF" w14:textId="77777777" w:rsidR="00B33DF2" w:rsidRPr="00C6236A" w:rsidRDefault="00B33DF2">
      <w:pPr>
        <w:numPr>
          <w:ilvl w:val="0"/>
          <w:numId w:val="270"/>
        </w:numPr>
        <w:spacing w:line="0" w:lineRule="atLeast"/>
        <w:ind w:left="1134" w:right="2" w:hanging="283"/>
        <w:jc w:val="both"/>
        <w:rPr>
          <w:rFonts w:cs="Times New Roman"/>
          <w:color w:val="000000"/>
          <w:szCs w:val="24"/>
        </w:rPr>
      </w:pPr>
      <w:r w:rsidRPr="00C6236A">
        <w:rPr>
          <w:rFonts w:cs="Times New Roman"/>
          <w:color w:val="000000"/>
          <w:szCs w:val="24"/>
        </w:rPr>
        <w:t>obowiązek ten dotyczy przekazywania danych bezpośrednio do OSDn, zasady wykonywania tego obowiązku wskazane są na stronie internetowej OSDn.</w:t>
      </w:r>
    </w:p>
    <w:p w14:paraId="21A91C59" w14:textId="77777777" w:rsidR="00B33DF2" w:rsidRDefault="00B33DF2" w:rsidP="00B33DF2">
      <w:pPr>
        <w:pStyle w:val="Tekstpodstawowy"/>
        <w:spacing w:before="0" w:line="240" w:lineRule="auto"/>
        <w:ind w:left="851" w:hanging="851"/>
        <w:rPr>
          <w:szCs w:val="24"/>
        </w:rPr>
      </w:pPr>
      <w:r w:rsidRPr="00B33DF2">
        <w:rPr>
          <w:bCs/>
          <w:szCs w:val="24"/>
        </w:rPr>
        <w:t>VI</w:t>
      </w:r>
      <w:r w:rsidRPr="00B33DF2">
        <w:rPr>
          <w:bCs/>
          <w:szCs w:val="24"/>
          <w:lang w:val="pl-PL"/>
        </w:rPr>
        <w:t>.10.</w:t>
      </w:r>
      <w:r>
        <w:rPr>
          <w:bCs/>
          <w:szCs w:val="24"/>
          <w:lang w:val="pl-PL"/>
        </w:rPr>
        <w:t xml:space="preserve">2. </w:t>
      </w:r>
      <w:r w:rsidRPr="00C6236A">
        <w:rPr>
          <w:szCs w:val="24"/>
        </w:rPr>
        <w:t>Podmioty nie podlegające pod punkt VI.10.1. mają obowiązek przekazania danych zgodnie z punktem VI.3.</w:t>
      </w:r>
    </w:p>
    <w:p w14:paraId="6FB13402" w14:textId="77777777" w:rsidR="00B33DF2" w:rsidRDefault="00B33DF2" w:rsidP="00B33DF2">
      <w:pPr>
        <w:pStyle w:val="Tekstpodstawowy"/>
        <w:spacing w:before="0" w:line="240" w:lineRule="auto"/>
        <w:ind w:left="851" w:hanging="851"/>
        <w:rPr>
          <w:szCs w:val="24"/>
        </w:rPr>
      </w:pPr>
      <w:r>
        <w:rPr>
          <w:szCs w:val="24"/>
        </w:rPr>
        <w:t xml:space="preserve">VI.10.3. </w:t>
      </w:r>
      <w:r w:rsidRPr="00C6236A">
        <w:rPr>
          <w:szCs w:val="24"/>
        </w:rPr>
        <w:t xml:space="preserve">OSDn, dla potrzeb planowania koordynacyjnego, przekazuje do OSP dane planistyczne uzyskane zgodnie z pkt. VI.10.1. przy czym dla danych dotyczących jednostek wytwórczych typu C i B dane dotyczące dyspozycyjności poszczególnych jednostek wytwórczych lub ich agregatów są przekazywane przez jednostki wytwórcze do OSDn </w:t>
      </w:r>
      <w:r w:rsidRPr="00C6236A">
        <w:rPr>
          <w:szCs w:val="24"/>
        </w:rPr>
        <w:lastRenderedPageBreak/>
        <w:t>jako minimalna</w:t>
      </w:r>
      <w:r>
        <w:rPr>
          <w:szCs w:val="24"/>
          <w:lang w:val="pl-PL"/>
        </w:rPr>
        <w:t xml:space="preserve"> </w:t>
      </w:r>
      <w:r w:rsidRPr="00C6236A">
        <w:rPr>
          <w:szCs w:val="24"/>
        </w:rPr>
        <w:t>i maksymalna moc dyspozycyjna netto. W przypadku jednostek wytwórczych typu D zasady przekazywania i zakres danych jest określony w IRiESP.</w:t>
      </w:r>
    </w:p>
    <w:p w14:paraId="7C251AF9" w14:textId="77777777" w:rsidR="00B33DF2" w:rsidRPr="00C6236A" w:rsidRDefault="00B33DF2" w:rsidP="00B33DF2">
      <w:pPr>
        <w:spacing w:line="0" w:lineRule="atLeast"/>
        <w:ind w:left="851" w:right="2" w:hanging="851"/>
        <w:jc w:val="both"/>
        <w:rPr>
          <w:rFonts w:cs="Times New Roman"/>
          <w:color w:val="000000"/>
          <w:szCs w:val="24"/>
        </w:rPr>
      </w:pPr>
      <w:r>
        <w:rPr>
          <w:szCs w:val="24"/>
        </w:rPr>
        <w:t xml:space="preserve">VI.10.4. </w:t>
      </w:r>
      <w:r w:rsidRPr="00C6236A">
        <w:rPr>
          <w:rFonts w:cs="Times New Roman"/>
          <w:color w:val="000000"/>
          <w:szCs w:val="24"/>
        </w:rPr>
        <w:t>Jednostki wytwórcze typu C i D przyłączone do sieci dystrybucyjnej OSDn oraz jednostki przyłączone do sieci OSDn za pośrednictwem OSDn przekazują OSDn dla potrzeb aktualizacji planu koordynacyjnego BPKD bieżące korekty:</w:t>
      </w:r>
    </w:p>
    <w:p w14:paraId="3688B22D" w14:textId="77777777" w:rsidR="00B33DF2" w:rsidRPr="00C6236A" w:rsidRDefault="00B33DF2" w:rsidP="00B33DF2">
      <w:pPr>
        <w:spacing w:line="0" w:lineRule="atLeast"/>
        <w:ind w:left="851" w:right="2"/>
        <w:jc w:val="both"/>
        <w:rPr>
          <w:rFonts w:cs="Times New Roman"/>
          <w:color w:val="000000"/>
          <w:szCs w:val="24"/>
        </w:rPr>
      </w:pPr>
      <w:r w:rsidRPr="00C6236A">
        <w:rPr>
          <w:rFonts w:cs="Times New Roman"/>
          <w:color w:val="000000"/>
          <w:szCs w:val="24"/>
        </w:rPr>
        <w:t>a) planowanych wartości mocy dyspozycyjnych netto,</w:t>
      </w:r>
    </w:p>
    <w:p w14:paraId="35283B98" w14:textId="4DE508CA" w:rsidR="00B33DF2" w:rsidRDefault="00B33DF2" w:rsidP="00B33DF2">
      <w:pPr>
        <w:spacing w:line="0" w:lineRule="atLeast"/>
        <w:ind w:left="851" w:right="2"/>
        <w:jc w:val="both"/>
        <w:rPr>
          <w:rFonts w:cs="Times New Roman"/>
          <w:color w:val="000000"/>
          <w:szCs w:val="24"/>
        </w:rPr>
      </w:pPr>
      <w:r w:rsidRPr="00C6236A">
        <w:rPr>
          <w:rFonts w:cs="Times New Roman"/>
          <w:color w:val="000000"/>
          <w:szCs w:val="24"/>
        </w:rPr>
        <w:t>b) grafików planowanej generacji mocy czynnej netto.</w:t>
      </w:r>
    </w:p>
    <w:p w14:paraId="668F184E" w14:textId="1AA449E5" w:rsidR="00A2709A" w:rsidRDefault="00A2709A" w:rsidP="00B33DF2">
      <w:pPr>
        <w:spacing w:line="0" w:lineRule="atLeast"/>
        <w:ind w:left="851" w:right="2"/>
        <w:jc w:val="both"/>
        <w:rPr>
          <w:rFonts w:cs="Times New Roman"/>
          <w:color w:val="000000"/>
          <w:szCs w:val="24"/>
        </w:rPr>
      </w:pPr>
    </w:p>
    <w:p w14:paraId="2BB39CB3" w14:textId="77777777" w:rsidR="00A2709A" w:rsidRPr="00C6236A" w:rsidRDefault="00A2709A" w:rsidP="00B33DF2">
      <w:pPr>
        <w:spacing w:line="0" w:lineRule="atLeast"/>
        <w:ind w:left="851" w:right="2"/>
        <w:jc w:val="both"/>
        <w:rPr>
          <w:rFonts w:cs="Times New Roman"/>
          <w:color w:val="000000"/>
          <w:szCs w:val="24"/>
        </w:rPr>
      </w:pPr>
    </w:p>
    <w:p w14:paraId="6383087D" w14:textId="77777777" w:rsidR="00572BA3" w:rsidRDefault="00FA46FA" w:rsidP="0029536A">
      <w:pPr>
        <w:pStyle w:val="Nagwek1"/>
        <w:ind w:left="709" w:hanging="709"/>
        <w:jc w:val="both"/>
      </w:pPr>
      <w:bookmarkStart w:id="57" w:name="_Toc141963900"/>
      <w:r>
        <w:t>VII. STANDARDY TECHNICZNE I BEZPIECZEŃSTWA PRACY SIECI</w:t>
      </w:r>
      <w:r w:rsidR="0029536A">
        <w:t xml:space="preserve"> </w:t>
      </w:r>
      <w:r>
        <w:t>DYSTRYBUCYJNEJ OSDn</w:t>
      </w:r>
      <w:bookmarkEnd w:id="57"/>
    </w:p>
    <w:tbl>
      <w:tblPr>
        <w:tblW w:w="9280" w:type="dxa"/>
        <w:tblLayout w:type="fixed"/>
        <w:tblCellMar>
          <w:left w:w="0" w:type="dxa"/>
          <w:right w:w="0" w:type="dxa"/>
        </w:tblCellMar>
        <w:tblLook w:val="0000" w:firstRow="0" w:lastRow="0" w:firstColumn="0" w:lastColumn="0" w:noHBand="0" w:noVBand="0"/>
      </w:tblPr>
      <w:tblGrid>
        <w:gridCol w:w="860"/>
        <w:gridCol w:w="8420"/>
      </w:tblGrid>
      <w:tr w:rsidR="00B12BD1" w14:paraId="6DB57BBF" w14:textId="77777777" w:rsidTr="006C6982">
        <w:trPr>
          <w:trHeight w:val="666"/>
        </w:trPr>
        <w:tc>
          <w:tcPr>
            <w:tcW w:w="860" w:type="dxa"/>
            <w:shd w:val="clear" w:color="auto" w:fill="auto"/>
            <w:vAlign w:val="bottom"/>
          </w:tcPr>
          <w:p w14:paraId="34E98E2F" w14:textId="77777777" w:rsidR="00B12BD1" w:rsidRDefault="00B12BD1" w:rsidP="00FA46FA">
            <w:pPr>
              <w:spacing w:line="0" w:lineRule="atLeast"/>
              <w:rPr>
                <w:rFonts w:eastAsia="Times New Roman"/>
              </w:rPr>
            </w:pPr>
            <w:bookmarkStart w:id="58" w:name="page100"/>
            <w:bookmarkEnd w:id="58"/>
            <w:r>
              <w:rPr>
                <w:rFonts w:eastAsia="Times New Roman"/>
              </w:rPr>
              <w:t>VII.1.</w:t>
            </w:r>
          </w:p>
          <w:p w14:paraId="7F0074B1" w14:textId="77777777" w:rsidR="00B12BD1" w:rsidRDefault="00B12BD1" w:rsidP="00FA46FA">
            <w:pPr>
              <w:spacing w:line="0" w:lineRule="atLeast"/>
              <w:rPr>
                <w:rFonts w:eastAsia="Times New Roman"/>
              </w:rPr>
            </w:pPr>
          </w:p>
        </w:tc>
        <w:tc>
          <w:tcPr>
            <w:tcW w:w="8420" w:type="dxa"/>
            <w:shd w:val="clear" w:color="auto" w:fill="auto"/>
            <w:vAlign w:val="bottom"/>
          </w:tcPr>
          <w:p w14:paraId="4F899F6A" w14:textId="77777777" w:rsidR="00B12BD1" w:rsidRDefault="00B12BD1" w:rsidP="00A2709A">
            <w:pPr>
              <w:jc w:val="both"/>
              <w:rPr>
                <w:rFonts w:eastAsia="Times New Roman"/>
              </w:rPr>
            </w:pPr>
            <w:r>
              <w:rPr>
                <w:rFonts w:eastAsia="Times New Roman"/>
              </w:rPr>
              <w:t xml:space="preserve">W normalnych warunkach pracy sieci dystrybucyjnej OSDn </w:t>
            </w:r>
            <w:r>
              <w:rPr>
                <w:rFonts w:eastAsia="Times New Roman"/>
              </w:rPr>
              <w:br/>
              <w:t>w szczególności powinny być spełnione następujące warunki techniczne:</w:t>
            </w:r>
          </w:p>
        </w:tc>
      </w:tr>
      <w:tr w:rsidR="00B12BD1" w14:paraId="4A47F659" w14:textId="77777777" w:rsidTr="006C6982">
        <w:trPr>
          <w:trHeight w:val="396"/>
        </w:trPr>
        <w:tc>
          <w:tcPr>
            <w:tcW w:w="860" w:type="dxa"/>
            <w:shd w:val="clear" w:color="auto" w:fill="auto"/>
            <w:vAlign w:val="bottom"/>
          </w:tcPr>
          <w:p w14:paraId="66595136" w14:textId="77777777" w:rsidR="00B12BD1" w:rsidRDefault="00B12BD1" w:rsidP="00FA46FA">
            <w:pPr>
              <w:spacing w:line="0" w:lineRule="atLeast"/>
              <w:rPr>
                <w:rFonts w:eastAsia="Times New Roman"/>
              </w:rPr>
            </w:pPr>
          </w:p>
        </w:tc>
        <w:tc>
          <w:tcPr>
            <w:tcW w:w="8420" w:type="dxa"/>
            <w:shd w:val="clear" w:color="auto" w:fill="auto"/>
            <w:vAlign w:val="bottom"/>
          </w:tcPr>
          <w:p w14:paraId="0B8D6427" w14:textId="77777777" w:rsidR="00B12BD1" w:rsidRDefault="00B12BD1">
            <w:pPr>
              <w:numPr>
                <w:ilvl w:val="0"/>
                <w:numId w:val="108"/>
              </w:numPr>
              <w:jc w:val="both"/>
              <w:rPr>
                <w:rFonts w:eastAsia="Times New Roman"/>
              </w:rPr>
            </w:pPr>
            <w:r>
              <w:rPr>
                <w:rFonts w:eastAsia="Times New Roman"/>
              </w:rPr>
              <w:t>obciążenia prądowe poszczególnych elementów sieci powinny być nie wyższe od dopuszczalnych długotrwale,</w:t>
            </w:r>
          </w:p>
        </w:tc>
      </w:tr>
      <w:tr w:rsidR="00B12BD1" w14:paraId="689F6F42" w14:textId="77777777" w:rsidTr="006C6982">
        <w:trPr>
          <w:trHeight w:val="396"/>
        </w:trPr>
        <w:tc>
          <w:tcPr>
            <w:tcW w:w="860" w:type="dxa"/>
            <w:shd w:val="clear" w:color="auto" w:fill="auto"/>
            <w:vAlign w:val="bottom"/>
          </w:tcPr>
          <w:p w14:paraId="45C2876D" w14:textId="77777777" w:rsidR="00B12BD1" w:rsidRDefault="00B12BD1" w:rsidP="00FA46FA">
            <w:pPr>
              <w:spacing w:line="276" w:lineRule="auto"/>
              <w:rPr>
                <w:rFonts w:eastAsia="Times New Roman"/>
              </w:rPr>
            </w:pPr>
          </w:p>
        </w:tc>
        <w:tc>
          <w:tcPr>
            <w:tcW w:w="8420" w:type="dxa"/>
            <w:shd w:val="clear" w:color="auto" w:fill="auto"/>
            <w:vAlign w:val="bottom"/>
          </w:tcPr>
          <w:p w14:paraId="52D24B4B" w14:textId="77777777" w:rsidR="00B12BD1" w:rsidRDefault="00B12BD1">
            <w:pPr>
              <w:numPr>
                <w:ilvl w:val="0"/>
                <w:numId w:val="108"/>
              </w:numPr>
              <w:jc w:val="both"/>
              <w:rPr>
                <w:rFonts w:eastAsia="Times New Roman"/>
              </w:rPr>
            </w:pPr>
            <w:r>
              <w:rPr>
                <w:rFonts w:eastAsia="Times New Roman"/>
              </w:rPr>
              <w:t>napięcia w węzłach sieci powinny mieścić się w granicach dopuszczalnych dla poszczególnych elementów sieci,</w:t>
            </w:r>
          </w:p>
        </w:tc>
      </w:tr>
      <w:tr w:rsidR="00B12BD1" w14:paraId="2CD65E29" w14:textId="77777777" w:rsidTr="006C6982">
        <w:trPr>
          <w:trHeight w:val="396"/>
        </w:trPr>
        <w:tc>
          <w:tcPr>
            <w:tcW w:w="860" w:type="dxa"/>
            <w:shd w:val="clear" w:color="auto" w:fill="auto"/>
            <w:vAlign w:val="bottom"/>
          </w:tcPr>
          <w:p w14:paraId="477C3036" w14:textId="77777777" w:rsidR="00B12BD1" w:rsidRDefault="00B12BD1" w:rsidP="00FA46FA">
            <w:pPr>
              <w:spacing w:line="276" w:lineRule="auto"/>
              <w:rPr>
                <w:rFonts w:eastAsia="Times New Roman"/>
              </w:rPr>
            </w:pPr>
          </w:p>
        </w:tc>
        <w:tc>
          <w:tcPr>
            <w:tcW w:w="8420" w:type="dxa"/>
            <w:shd w:val="clear" w:color="auto" w:fill="auto"/>
            <w:vAlign w:val="bottom"/>
          </w:tcPr>
          <w:p w14:paraId="02525D6A" w14:textId="77777777" w:rsidR="00B12BD1" w:rsidRDefault="00B12BD1">
            <w:pPr>
              <w:numPr>
                <w:ilvl w:val="0"/>
                <w:numId w:val="109"/>
              </w:numPr>
              <w:tabs>
                <w:tab w:val="clear" w:pos="2706"/>
              </w:tabs>
              <w:ind w:left="425" w:hanging="283"/>
              <w:jc w:val="both"/>
              <w:rPr>
                <w:rFonts w:eastAsia="Times New Roman"/>
              </w:rPr>
            </w:pPr>
            <w:r>
              <w:rPr>
                <w:rFonts w:eastAsia="Times New Roman"/>
              </w:rPr>
              <w:t>moce (prądy) wyłączalne zainstalowanych wyłączników powinny być wyższe niż moce (prądy) zwarciowe w danym punkcie sieci.</w:t>
            </w:r>
          </w:p>
        </w:tc>
      </w:tr>
      <w:tr w:rsidR="002C72C2" w14:paraId="2970FC97" w14:textId="77777777" w:rsidTr="00A2709A">
        <w:trPr>
          <w:trHeight w:val="276"/>
        </w:trPr>
        <w:tc>
          <w:tcPr>
            <w:tcW w:w="860" w:type="dxa"/>
            <w:shd w:val="clear" w:color="auto" w:fill="auto"/>
            <w:vAlign w:val="bottom"/>
          </w:tcPr>
          <w:p w14:paraId="36E71CA5" w14:textId="77777777" w:rsidR="002C72C2" w:rsidRDefault="002C72C2" w:rsidP="002C72C2">
            <w:pPr>
              <w:spacing w:line="276" w:lineRule="auto"/>
              <w:rPr>
                <w:rFonts w:eastAsia="Times New Roman"/>
              </w:rPr>
            </w:pPr>
            <w:r>
              <w:rPr>
                <w:rFonts w:eastAsia="Times New Roman"/>
              </w:rPr>
              <w:t>VII.2.</w:t>
            </w:r>
          </w:p>
        </w:tc>
        <w:tc>
          <w:tcPr>
            <w:tcW w:w="8420" w:type="dxa"/>
            <w:shd w:val="clear" w:color="auto" w:fill="auto"/>
            <w:vAlign w:val="bottom"/>
          </w:tcPr>
          <w:p w14:paraId="5B42B6F0" w14:textId="77777777" w:rsidR="002C72C2" w:rsidRDefault="002C72C2" w:rsidP="00A2709A">
            <w:pPr>
              <w:ind w:left="80"/>
              <w:jc w:val="both"/>
              <w:rPr>
                <w:rFonts w:eastAsia="Times New Roman"/>
              </w:rPr>
            </w:pPr>
            <w:r>
              <w:rPr>
                <w:rFonts w:eastAsia="Times New Roman"/>
              </w:rPr>
              <w:t>Warunki pracy punktu neutralnego transformatorów SN/nN określa OSDn</w:t>
            </w:r>
          </w:p>
        </w:tc>
      </w:tr>
      <w:tr w:rsidR="002C72C2" w14:paraId="21D149F2" w14:textId="77777777" w:rsidTr="00A2709A">
        <w:trPr>
          <w:trHeight w:val="742"/>
        </w:trPr>
        <w:tc>
          <w:tcPr>
            <w:tcW w:w="860" w:type="dxa"/>
            <w:shd w:val="clear" w:color="auto" w:fill="auto"/>
          </w:tcPr>
          <w:p w14:paraId="6E96F9CE" w14:textId="77777777" w:rsidR="002C72C2" w:rsidRDefault="002C72C2" w:rsidP="00A2709A">
            <w:pPr>
              <w:rPr>
                <w:rFonts w:eastAsia="Times New Roman"/>
              </w:rPr>
            </w:pPr>
            <w:r>
              <w:rPr>
                <w:rFonts w:eastAsia="Times New Roman"/>
              </w:rPr>
              <w:t>VII.</w:t>
            </w:r>
            <w:r w:rsidR="00681CDD">
              <w:rPr>
                <w:rFonts w:eastAsia="Times New Roman"/>
              </w:rPr>
              <w:t>3</w:t>
            </w:r>
            <w:r>
              <w:rPr>
                <w:rFonts w:eastAsia="Times New Roman"/>
              </w:rPr>
              <w:t>.</w:t>
            </w:r>
          </w:p>
          <w:p w14:paraId="30FA4295" w14:textId="77777777" w:rsidR="002C72C2" w:rsidRDefault="002C72C2" w:rsidP="00A2709A">
            <w:pPr>
              <w:rPr>
                <w:rFonts w:eastAsia="Times New Roman"/>
              </w:rPr>
            </w:pPr>
          </w:p>
        </w:tc>
        <w:tc>
          <w:tcPr>
            <w:tcW w:w="8420" w:type="dxa"/>
            <w:shd w:val="clear" w:color="auto" w:fill="auto"/>
          </w:tcPr>
          <w:p w14:paraId="0BD91397" w14:textId="77777777" w:rsidR="002C72C2" w:rsidRDefault="002C72C2" w:rsidP="00A2709A">
            <w:pPr>
              <w:ind w:left="80"/>
              <w:jc w:val="both"/>
              <w:rPr>
                <w:rFonts w:eastAsia="Times New Roman"/>
              </w:rPr>
            </w:pPr>
            <w:r>
              <w:rPr>
                <w:rFonts w:eastAsia="Times New Roman"/>
              </w:rPr>
              <w:t xml:space="preserve">Dopuszcza się okresowo w sieci dystrybucyjnej OSDn pracę wyłączników </w:t>
            </w:r>
            <w:r>
              <w:rPr>
                <w:rFonts w:eastAsia="Times New Roman"/>
              </w:rPr>
              <w:br/>
              <w:t>z przekroczoną mocą wyłączalną, po wyrażeniu zgody na taką pracę przez OSDn</w:t>
            </w:r>
            <w:r w:rsidR="0031124F">
              <w:rPr>
                <w:rFonts w:eastAsia="Times New Roman"/>
              </w:rPr>
              <w:t>.</w:t>
            </w:r>
          </w:p>
        </w:tc>
      </w:tr>
      <w:tr w:rsidR="002C72C2" w14:paraId="496E41AA" w14:textId="77777777" w:rsidTr="00A2709A">
        <w:trPr>
          <w:trHeight w:val="68"/>
        </w:trPr>
        <w:tc>
          <w:tcPr>
            <w:tcW w:w="860" w:type="dxa"/>
            <w:shd w:val="clear" w:color="auto" w:fill="auto"/>
            <w:vAlign w:val="bottom"/>
          </w:tcPr>
          <w:p w14:paraId="750E8454" w14:textId="77777777" w:rsidR="002C72C2" w:rsidRDefault="002C72C2" w:rsidP="00A2709A">
            <w:pPr>
              <w:rPr>
                <w:rFonts w:eastAsia="Times New Roman"/>
              </w:rPr>
            </w:pPr>
            <w:r>
              <w:rPr>
                <w:rFonts w:eastAsia="Times New Roman"/>
              </w:rPr>
              <w:t>VII.</w:t>
            </w:r>
            <w:r w:rsidR="00681CDD">
              <w:rPr>
                <w:rFonts w:eastAsia="Times New Roman"/>
              </w:rPr>
              <w:t>4.</w:t>
            </w:r>
          </w:p>
          <w:p w14:paraId="48F78C4B" w14:textId="77777777" w:rsidR="002C72C2" w:rsidRDefault="002C72C2" w:rsidP="00A2709A">
            <w:pPr>
              <w:rPr>
                <w:rFonts w:eastAsia="Times New Roman"/>
              </w:rPr>
            </w:pPr>
          </w:p>
          <w:p w14:paraId="5BCDE3CC" w14:textId="77777777" w:rsidR="002C72C2" w:rsidRDefault="002C72C2" w:rsidP="00A2709A">
            <w:pPr>
              <w:rPr>
                <w:rFonts w:eastAsia="Times New Roman"/>
              </w:rPr>
            </w:pPr>
          </w:p>
          <w:p w14:paraId="04A8FF0D" w14:textId="77777777" w:rsidR="002C72C2" w:rsidRDefault="002C72C2" w:rsidP="00A2709A">
            <w:pPr>
              <w:rPr>
                <w:rFonts w:eastAsia="Times New Roman"/>
              </w:rPr>
            </w:pPr>
          </w:p>
        </w:tc>
        <w:tc>
          <w:tcPr>
            <w:tcW w:w="8420" w:type="dxa"/>
            <w:shd w:val="clear" w:color="auto" w:fill="auto"/>
            <w:vAlign w:val="bottom"/>
          </w:tcPr>
          <w:p w14:paraId="624D4573" w14:textId="77777777" w:rsidR="002C72C2" w:rsidRDefault="002C72C2" w:rsidP="00A2709A">
            <w:pPr>
              <w:ind w:left="80"/>
              <w:jc w:val="both"/>
              <w:rPr>
                <w:rFonts w:eastAsia="Times New Roman"/>
              </w:rPr>
            </w:pPr>
            <w:r>
              <w:rPr>
                <w:rFonts w:eastAsia="Times New Roman"/>
              </w:rPr>
              <w:t>Rozwiązania techniczne stosowane przy projektowaniu i budowie nowych oraz remoncie istniejących sieci dystrybucyjnych OSDn powinny spełniać wymagania określone w standardach/wytycznych budowy systemów elektroenergetycznych obowiązujących w OSDn.</w:t>
            </w:r>
          </w:p>
        </w:tc>
      </w:tr>
    </w:tbl>
    <w:p w14:paraId="25D9FE63" w14:textId="77777777" w:rsidR="00572BA3" w:rsidRDefault="00572BA3">
      <w:pPr>
        <w:rPr>
          <w:rFonts w:eastAsia="Times New Roman"/>
        </w:rPr>
        <w:sectPr w:rsidR="00572BA3" w:rsidSect="007C1A1B">
          <w:pgSz w:w="11900" w:h="16841"/>
          <w:pgMar w:top="909" w:right="1346" w:bottom="624" w:left="1280" w:header="454" w:footer="0" w:gutter="0"/>
          <w:cols w:space="0" w:equalWidth="0">
            <w:col w:w="9280"/>
          </w:cols>
          <w:docGrid w:linePitch="360"/>
        </w:sectPr>
      </w:pPr>
    </w:p>
    <w:p w14:paraId="3700D775" w14:textId="77777777" w:rsidR="00572BA3" w:rsidRDefault="00572BA3" w:rsidP="008A24BF">
      <w:pPr>
        <w:pStyle w:val="Nagwek1"/>
        <w:ind w:left="851" w:hanging="851"/>
        <w:jc w:val="both"/>
      </w:pPr>
      <w:bookmarkStart w:id="59" w:name="page102"/>
      <w:bookmarkStart w:id="60" w:name="_Toc141963901"/>
      <w:bookmarkEnd w:id="59"/>
      <w:r>
        <w:lastRenderedPageBreak/>
        <w:t>VIII.</w:t>
      </w:r>
      <w:r>
        <w:tab/>
        <w:t>PARAMETRY JAKOŚCIOWE ENERGII ELEKTRYCZNEJ, WSKAŹNIKI JAKOŚCI I NIEZAWODNOŚCI DOSTAW ENERGII ELEKTRYCZNEJ ORAZ STANDARDY JAKOŚCIOWE OBSŁUGI UŻYTKOWNIKÓW SYSTEMU</w:t>
      </w:r>
      <w:bookmarkEnd w:id="60"/>
    </w:p>
    <w:p w14:paraId="365685E3" w14:textId="77777777" w:rsidR="00572BA3" w:rsidRDefault="00572BA3" w:rsidP="008A24BF">
      <w:pPr>
        <w:pStyle w:val="Nagwek2"/>
      </w:pPr>
      <w:bookmarkStart w:id="61" w:name="_Toc141963902"/>
      <w:r>
        <w:t>VIII.1. PARAMETRY JAKOŚCIOWE ENERGII ELEKTRYCZNEJ</w:t>
      </w:r>
      <w:bookmarkEnd w:id="61"/>
    </w:p>
    <w:p w14:paraId="305B1BE6" w14:textId="77777777" w:rsidR="00572BA3" w:rsidRDefault="00572BA3">
      <w:pPr>
        <w:spacing w:line="200" w:lineRule="exact"/>
        <w:rPr>
          <w:rFonts w:eastAsia="Times New Roman"/>
        </w:rPr>
      </w:pPr>
    </w:p>
    <w:p w14:paraId="324A1681" w14:textId="77777777" w:rsidR="00572BA3" w:rsidRDefault="00572BA3">
      <w:pPr>
        <w:spacing w:line="311" w:lineRule="exact"/>
        <w:rPr>
          <w:rFonts w:eastAsia="Times New Roman"/>
        </w:rPr>
      </w:pPr>
    </w:p>
    <w:p w14:paraId="5F4E256F" w14:textId="77777777" w:rsidR="00572BA3" w:rsidRDefault="00572BA3">
      <w:pPr>
        <w:tabs>
          <w:tab w:val="left" w:pos="1040"/>
        </w:tabs>
        <w:spacing w:line="0" w:lineRule="atLeast"/>
        <w:rPr>
          <w:rFonts w:eastAsia="Times New Roman"/>
        </w:rPr>
      </w:pPr>
      <w:r>
        <w:rPr>
          <w:rFonts w:eastAsia="Times New Roman"/>
        </w:rPr>
        <w:t>VIII.1.1.</w:t>
      </w:r>
      <w:r>
        <w:rPr>
          <w:rFonts w:eastAsia="Times New Roman"/>
        </w:rPr>
        <w:tab/>
        <w:t>Wyróżnia się następujące parametry znamionowe sieci dystrybucyjnej:</w:t>
      </w:r>
    </w:p>
    <w:p w14:paraId="53FEF39B" w14:textId="77777777" w:rsidR="00572BA3" w:rsidRDefault="00572BA3">
      <w:pPr>
        <w:numPr>
          <w:ilvl w:val="0"/>
          <w:numId w:val="110"/>
        </w:numPr>
        <w:tabs>
          <w:tab w:val="left" w:pos="1420"/>
        </w:tabs>
        <w:spacing w:line="0" w:lineRule="atLeast"/>
        <w:rPr>
          <w:rFonts w:eastAsia="Times New Roman"/>
        </w:rPr>
      </w:pPr>
      <w:r>
        <w:rPr>
          <w:rFonts w:eastAsia="Times New Roman"/>
        </w:rPr>
        <w:t>napięcia znamionowe,</w:t>
      </w:r>
    </w:p>
    <w:p w14:paraId="76D46ACE" w14:textId="77777777" w:rsidR="00572BA3" w:rsidRDefault="00572BA3">
      <w:pPr>
        <w:numPr>
          <w:ilvl w:val="0"/>
          <w:numId w:val="110"/>
        </w:numPr>
        <w:tabs>
          <w:tab w:val="left" w:pos="1420"/>
        </w:tabs>
        <w:spacing w:line="0" w:lineRule="atLeast"/>
        <w:rPr>
          <w:rFonts w:eastAsia="Times New Roman"/>
        </w:rPr>
      </w:pPr>
      <w:r>
        <w:rPr>
          <w:rFonts w:eastAsia="Times New Roman"/>
        </w:rPr>
        <w:t>częstotliwość znamionowa.</w:t>
      </w:r>
    </w:p>
    <w:p w14:paraId="4E125772" w14:textId="77777777" w:rsidR="00572BA3" w:rsidRDefault="00572BA3">
      <w:pPr>
        <w:tabs>
          <w:tab w:val="left" w:pos="1040"/>
        </w:tabs>
        <w:spacing w:line="0" w:lineRule="atLeast"/>
        <w:rPr>
          <w:rFonts w:eastAsia="Times New Roman"/>
        </w:rPr>
      </w:pPr>
      <w:r>
        <w:rPr>
          <w:rFonts w:eastAsia="Times New Roman"/>
        </w:rPr>
        <w:t>VIII.1.2.</w:t>
      </w:r>
      <w:r>
        <w:rPr>
          <w:rFonts w:eastAsia="Times New Roman"/>
        </w:rPr>
        <w:tab/>
        <w:t>Regulacja częstotliwości w KSE jest prowadzona przez OSP.</w:t>
      </w:r>
    </w:p>
    <w:p w14:paraId="30B19EEF" w14:textId="77777777" w:rsidR="00572BA3" w:rsidRDefault="00572BA3" w:rsidP="00915FE3">
      <w:pPr>
        <w:tabs>
          <w:tab w:val="left" w:pos="1040"/>
        </w:tabs>
        <w:spacing w:line="238" w:lineRule="auto"/>
        <w:ind w:left="1060" w:right="126" w:hanging="1059"/>
        <w:jc w:val="both"/>
        <w:rPr>
          <w:rFonts w:eastAsia="Times New Roman"/>
        </w:rPr>
      </w:pPr>
      <w:r>
        <w:rPr>
          <w:rFonts w:eastAsia="Times New Roman"/>
        </w:rPr>
        <w:t>VIII.1.3.</w:t>
      </w:r>
      <w:r>
        <w:rPr>
          <w:rFonts w:eastAsia="Times New Roman"/>
        </w:rPr>
        <w:tab/>
        <w:t xml:space="preserve">W normalnych warunkach pracy sieci (wyłączając przerwy w zasilaniu), </w:t>
      </w:r>
      <w:r w:rsidR="008F279B">
        <w:rPr>
          <w:rFonts w:eastAsia="Times New Roman"/>
        </w:rPr>
        <w:br/>
      </w:r>
      <w:r>
        <w:rPr>
          <w:rFonts w:eastAsia="Times New Roman"/>
        </w:rPr>
        <w:t xml:space="preserve">w każdym tygodniu, 95% ze zbioru 10-minutowych średnich wartości skutecznych napięcia zasilającego powinno mieścić się w przedziale odchyleń </w:t>
      </w:r>
      <w:r>
        <w:rPr>
          <w:rFonts w:ascii="Symbol" w:eastAsia="Symbol" w:hAnsi="Symbol"/>
        </w:rPr>
        <w:t></w:t>
      </w:r>
      <w:r>
        <w:rPr>
          <w:rFonts w:eastAsia="Times New Roman"/>
        </w:rPr>
        <w:t xml:space="preserve">10% napięcia znamionowego lub deklarowanego (przy współczynniku tg </w:t>
      </w:r>
      <w:r>
        <w:rPr>
          <w:rFonts w:ascii="Symbol" w:eastAsia="Symbol" w:hAnsi="Symbol"/>
        </w:rPr>
        <w:t></w:t>
      </w:r>
      <w:r>
        <w:rPr>
          <w:rFonts w:eastAsia="Times New Roman"/>
        </w:rPr>
        <w:t xml:space="preserve"> nie większym niż 0,4) dla sieci o napięciu znamionowym nie wyższym niż 110 kV – w sieciach niskiego napięcia wartości napięć deklarowanych i znamionowych są równe.</w:t>
      </w:r>
    </w:p>
    <w:p w14:paraId="292B0D98" w14:textId="77777777" w:rsidR="00572BA3" w:rsidRDefault="00572BA3" w:rsidP="00915FE3">
      <w:pPr>
        <w:tabs>
          <w:tab w:val="left" w:pos="1040"/>
        </w:tabs>
        <w:spacing w:line="237" w:lineRule="auto"/>
        <w:ind w:left="1060" w:right="126" w:hanging="1059"/>
        <w:jc w:val="both"/>
        <w:rPr>
          <w:rFonts w:eastAsia="Times New Roman"/>
        </w:rPr>
      </w:pPr>
      <w:r>
        <w:rPr>
          <w:rFonts w:eastAsia="Times New Roman"/>
        </w:rPr>
        <w:t>VIII.1.4.</w:t>
      </w:r>
      <w:r>
        <w:rPr>
          <w:rFonts w:eastAsia="Times New Roman"/>
        </w:rPr>
        <w:tab/>
        <w:t>W normalnych warunkach pracy sieci, dla odbiorców których urządzenia, instalacje lub sieci przyłączone są bezpośrednio do sieci o napięciu znamionowym nie wyższym niż 110 kV ustala się następujące parametry techniczne energii elektrycznej:</w:t>
      </w:r>
    </w:p>
    <w:p w14:paraId="73B540BB" w14:textId="77777777" w:rsidR="00572BA3" w:rsidRDefault="00572BA3">
      <w:pPr>
        <w:numPr>
          <w:ilvl w:val="1"/>
          <w:numId w:val="111"/>
        </w:numPr>
        <w:spacing w:line="234" w:lineRule="auto"/>
        <w:ind w:right="126"/>
        <w:jc w:val="both"/>
        <w:rPr>
          <w:rFonts w:eastAsia="Times New Roman"/>
        </w:rPr>
      </w:pPr>
      <w:r>
        <w:rPr>
          <w:rFonts w:eastAsia="Times New Roman"/>
        </w:rPr>
        <w:t>wartość średnia częstotliwości, mierzonej przez 10 sekund w miejscach przyłączenia, powinna być zawarta w przedziale:</w:t>
      </w:r>
    </w:p>
    <w:p w14:paraId="0B812ED6" w14:textId="77777777" w:rsidR="00572BA3" w:rsidRDefault="00572BA3" w:rsidP="00915FE3">
      <w:pPr>
        <w:spacing w:line="120" w:lineRule="exact"/>
        <w:jc w:val="both"/>
        <w:rPr>
          <w:rFonts w:eastAsia="Times New Roman"/>
        </w:rPr>
      </w:pPr>
    </w:p>
    <w:p w14:paraId="75EE869B" w14:textId="77777777" w:rsidR="00572BA3" w:rsidRDefault="00572BA3">
      <w:pPr>
        <w:numPr>
          <w:ilvl w:val="0"/>
          <w:numId w:val="112"/>
        </w:numPr>
        <w:spacing w:line="0" w:lineRule="atLeast"/>
        <w:ind w:left="1843" w:hanging="425"/>
        <w:jc w:val="both"/>
        <w:rPr>
          <w:rFonts w:eastAsia="Times New Roman"/>
        </w:rPr>
      </w:pPr>
      <w:r>
        <w:rPr>
          <w:rFonts w:eastAsia="Times New Roman"/>
        </w:rPr>
        <w:t xml:space="preserve">50 Hz </w:t>
      </w:r>
      <w:r>
        <w:rPr>
          <w:rFonts w:ascii="Symbol" w:eastAsia="Symbol" w:hAnsi="Symbol"/>
        </w:rPr>
        <w:t></w:t>
      </w:r>
      <w:r>
        <w:rPr>
          <w:rFonts w:eastAsia="Times New Roman"/>
        </w:rPr>
        <w:t xml:space="preserve"> 1% (od 49,5 Hz do 50,5 Hz) przez 99,5% tygodnia,</w:t>
      </w:r>
    </w:p>
    <w:p w14:paraId="5AAED15B" w14:textId="77777777" w:rsidR="00572BA3" w:rsidRDefault="00572BA3" w:rsidP="00915FE3">
      <w:pPr>
        <w:spacing w:line="120" w:lineRule="exact"/>
        <w:jc w:val="both"/>
        <w:rPr>
          <w:rFonts w:eastAsia="Times New Roman"/>
        </w:rPr>
      </w:pPr>
    </w:p>
    <w:p w14:paraId="7FA2835F" w14:textId="77777777" w:rsidR="00572BA3" w:rsidRDefault="00572BA3">
      <w:pPr>
        <w:numPr>
          <w:ilvl w:val="0"/>
          <w:numId w:val="112"/>
        </w:numPr>
        <w:spacing w:line="0" w:lineRule="atLeast"/>
        <w:ind w:left="1843" w:hanging="425"/>
        <w:jc w:val="both"/>
        <w:rPr>
          <w:rFonts w:eastAsia="Times New Roman"/>
        </w:rPr>
      </w:pPr>
      <w:r>
        <w:rPr>
          <w:rFonts w:eastAsia="Times New Roman"/>
        </w:rPr>
        <w:t>50 Hz + 4%/-6% (od 47 Hz do 52 Hz) przez 100% tygodnia,</w:t>
      </w:r>
    </w:p>
    <w:p w14:paraId="1896C242" w14:textId="77777777" w:rsidR="00572BA3" w:rsidRDefault="00572BA3" w:rsidP="00915FE3">
      <w:pPr>
        <w:spacing w:line="132" w:lineRule="exact"/>
        <w:jc w:val="both"/>
        <w:rPr>
          <w:rFonts w:eastAsia="Times New Roman"/>
        </w:rPr>
      </w:pPr>
    </w:p>
    <w:p w14:paraId="6AA7236F" w14:textId="77777777" w:rsidR="00572BA3" w:rsidRPr="00714E16" w:rsidRDefault="00572BA3">
      <w:pPr>
        <w:numPr>
          <w:ilvl w:val="0"/>
          <w:numId w:val="113"/>
        </w:numPr>
        <w:tabs>
          <w:tab w:val="clear" w:pos="2706"/>
        </w:tabs>
        <w:spacing w:line="236" w:lineRule="auto"/>
        <w:ind w:left="1418" w:right="126" w:hanging="338"/>
        <w:jc w:val="both"/>
        <w:rPr>
          <w:rFonts w:eastAsia="Times New Roman"/>
        </w:rPr>
      </w:pPr>
      <w:r>
        <w:rPr>
          <w:rFonts w:eastAsia="Times New Roman"/>
        </w:rPr>
        <w:t>przez 95% czasu każdego tygodnia, wskaźnik długookresowego migotania światła P</w:t>
      </w:r>
      <w:r>
        <w:rPr>
          <w:rFonts w:eastAsia="Times New Roman"/>
          <w:sz w:val="16"/>
        </w:rPr>
        <w:t>lt</w:t>
      </w:r>
      <w:r>
        <w:rPr>
          <w:rFonts w:eastAsia="Times New Roman"/>
        </w:rPr>
        <w:t xml:space="preserve"> spowodowanego wahaniami napięcia zasilającego nie powinien być większy od</w:t>
      </w:r>
      <w:r w:rsidR="00714E16">
        <w:rPr>
          <w:rFonts w:eastAsia="Times New Roman"/>
        </w:rPr>
        <w:t xml:space="preserve"> 1 dla sieci o napięciu znamionowym mniejszym od 110 kV</w:t>
      </w:r>
    </w:p>
    <w:p w14:paraId="290741C7" w14:textId="77777777" w:rsidR="00572BA3" w:rsidRDefault="00572BA3">
      <w:pPr>
        <w:numPr>
          <w:ilvl w:val="0"/>
          <w:numId w:val="113"/>
        </w:numPr>
        <w:tabs>
          <w:tab w:val="clear" w:pos="2706"/>
        </w:tabs>
        <w:spacing w:line="234" w:lineRule="auto"/>
        <w:ind w:left="1418" w:right="126" w:hanging="338"/>
        <w:jc w:val="both"/>
        <w:rPr>
          <w:rFonts w:eastAsia="Times New Roman"/>
        </w:rPr>
      </w:pPr>
      <w:r>
        <w:rPr>
          <w:rFonts w:eastAsia="Times New Roman"/>
        </w:rPr>
        <w:t>w ciągu każdego tygodnia, 95% ze zbioru 10-minutowych średnich wartości skutecznych:</w:t>
      </w:r>
    </w:p>
    <w:p w14:paraId="16732AB7" w14:textId="77777777" w:rsidR="00572BA3" w:rsidRDefault="00572BA3">
      <w:pPr>
        <w:numPr>
          <w:ilvl w:val="0"/>
          <w:numId w:val="114"/>
        </w:numPr>
        <w:spacing w:line="237" w:lineRule="auto"/>
        <w:ind w:left="1701" w:right="126" w:hanging="283"/>
        <w:jc w:val="both"/>
        <w:rPr>
          <w:rFonts w:eastAsia="Times New Roman"/>
        </w:rPr>
      </w:pPr>
      <w:r>
        <w:rPr>
          <w:rFonts w:eastAsia="Times New Roman"/>
        </w:rPr>
        <w:t>składowej symetrycznej kolejności przeciwnej napięcia zasilającego, powinno mieścić się w od 0% do 2% dla sieci o napięciu znamionowym mniejszym od 110 kV</w:t>
      </w:r>
      <w:r w:rsidR="00406529">
        <w:rPr>
          <w:rFonts w:eastAsia="Times New Roman"/>
        </w:rPr>
        <w:t>,</w:t>
      </w:r>
    </w:p>
    <w:p w14:paraId="5B3A6387" w14:textId="77777777" w:rsidR="00572BA3" w:rsidRDefault="00572BA3">
      <w:pPr>
        <w:numPr>
          <w:ilvl w:val="0"/>
          <w:numId w:val="114"/>
        </w:numPr>
        <w:spacing w:line="234" w:lineRule="auto"/>
        <w:ind w:left="1701" w:right="126" w:hanging="283"/>
        <w:rPr>
          <w:rFonts w:eastAsia="Times New Roman"/>
        </w:rPr>
      </w:pPr>
      <w:r>
        <w:rPr>
          <w:rFonts w:eastAsia="Times New Roman"/>
        </w:rPr>
        <w:t>dla każdej harmonicznej napięcia zasilającego, powinno być mniejsze lub równe wartościom określonym w poniższych tabelach:</w:t>
      </w:r>
    </w:p>
    <w:p w14:paraId="6A0922F5" w14:textId="77777777" w:rsidR="00572BA3" w:rsidRDefault="00572BA3">
      <w:pPr>
        <w:spacing w:line="200" w:lineRule="exact"/>
        <w:rPr>
          <w:rFonts w:eastAsia="Times New Roman"/>
        </w:rPr>
      </w:pPr>
    </w:p>
    <w:p w14:paraId="7B8F06F0" w14:textId="77777777" w:rsidR="00572BA3" w:rsidRDefault="00572BA3">
      <w:pPr>
        <w:spacing w:line="329" w:lineRule="exact"/>
        <w:rPr>
          <w:rFonts w:eastAsia="Times New Roman"/>
        </w:rPr>
      </w:pPr>
      <w:bookmarkStart w:id="62" w:name="page103"/>
      <w:bookmarkEnd w:id="62"/>
    </w:p>
    <w:p w14:paraId="390A21A5" w14:textId="77777777" w:rsidR="007714DB" w:rsidRDefault="007714DB">
      <w:pPr>
        <w:spacing w:line="329" w:lineRule="exact"/>
        <w:rPr>
          <w:rFonts w:eastAsia="Times New Roman"/>
        </w:rPr>
      </w:pPr>
    </w:p>
    <w:p w14:paraId="54B9858A" w14:textId="77777777" w:rsidR="007714DB" w:rsidRDefault="007714DB">
      <w:pPr>
        <w:spacing w:line="329" w:lineRule="exact"/>
        <w:rPr>
          <w:rFonts w:eastAsia="Times New Roman"/>
        </w:rPr>
      </w:pPr>
    </w:p>
    <w:p w14:paraId="6C44EDB9" w14:textId="77777777" w:rsidR="007714DB" w:rsidRDefault="007714DB">
      <w:pPr>
        <w:spacing w:line="329" w:lineRule="exact"/>
        <w:rPr>
          <w:rFonts w:eastAsia="Times New Roman"/>
        </w:rPr>
      </w:pPr>
    </w:p>
    <w:p w14:paraId="2B60D64F" w14:textId="77777777" w:rsidR="007714DB" w:rsidRDefault="007714DB">
      <w:pPr>
        <w:spacing w:line="329" w:lineRule="exact"/>
        <w:rPr>
          <w:rFonts w:eastAsia="Times New Roman"/>
        </w:rPr>
      </w:pPr>
    </w:p>
    <w:p w14:paraId="3D0A512B" w14:textId="77777777" w:rsidR="007714DB" w:rsidRDefault="007714DB">
      <w:pPr>
        <w:spacing w:line="329" w:lineRule="exact"/>
        <w:rPr>
          <w:rFonts w:eastAsia="Times New Roman"/>
        </w:rPr>
      </w:pPr>
    </w:p>
    <w:p w14:paraId="4FD8A880" w14:textId="77777777" w:rsidR="007714DB" w:rsidRDefault="007714DB">
      <w:pPr>
        <w:spacing w:line="329" w:lineRule="exact"/>
        <w:rPr>
          <w:rFonts w:eastAsia="Times New Roman"/>
        </w:rPr>
      </w:pPr>
    </w:p>
    <w:p w14:paraId="45C51416" w14:textId="77777777" w:rsidR="007714DB" w:rsidRDefault="007714DB">
      <w:pPr>
        <w:spacing w:line="329" w:lineRule="exact"/>
        <w:rPr>
          <w:rFonts w:eastAsia="Times New Roman"/>
        </w:rPr>
      </w:pPr>
    </w:p>
    <w:p w14:paraId="34A064D0" w14:textId="77777777" w:rsidR="007714DB" w:rsidRDefault="007714DB">
      <w:pPr>
        <w:spacing w:line="329" w:lineRule="exact"/>
        <w:rPr>
          <w:rFonts w:eastAsia="Times New Roman"/>
        </w:rPr>
      </w:pPr>
    </w:p>
    <w:p w14:paraId="08484AB8" w14:textId="77777777" w:rsidR="00572BA3" w:rsidRDefault="00572BA3">
      <w:pPr>
        <w:spacing w:line="0" w:lineRule="atLeast"/>
        <w:ind w:left="80"/>
        <w:rPr>
          <w:rFonts w:eastAsia="Times New Roman"/>
          <w:i/>
        </w:rPr>
      </w:pPr>
      <w:r>
        <w:rPr>
          <w:rFonts w:eastAsia="Times New Roman"/>
          <w:i/>
        </w:rPr>
        <w:lastRenderedPageBreak/>
        <w:t>dla sieci o napięciu znamionowym niższym od 110 kV:</w:t>
      </w:r>
    </w:p>
    <w:tbl>
      <w:tblPr>
        <w:tblW w:w="0" w:type="auto"/>
        <w:tblInd w:w="10" w:type="dxa"/>
        <w:tblLayout w:type="fixed"/>
        <w:tblCellMar>
          <w:left w:w="0" w:type="dxa"/>
          <w:right w:w="0" w:type="dxa"/>
        </w:tblCellMar>
        <w:tblLook w:val="0000" w:firstRow="0" w:lastRow="0" w:firstColumn="0" w:lastColumn="0" w:noHBand="0" w:noVBand="0"/>
      </w:tblPr>
      <w:tblGrid>
        <w:gridCol w:w="1000"/>
        <w:gridCol w:w="2100"/>
        <w:gridCol w:w="960"/>
        <w:gridCol w:w="2100"/>
        <w:gridCol w:w="1020"/>
        <w:gridCol w:w="2060"/>
      </w:tblGrid>
      <w:tr w:rsidR="00572BA3" w14:paraId="7498D876" w14:textId="77777777">
        <w:trPr>
          <w:trHeight w:val="328"/>
        </w:trPr>
        <w:tc>
          <w:tcPr>
            <w:tcW w:w="1000" w:type="dxa"/>
            <w:tcBorders>
              <w:top w:val="single" w:sz="8" w:space="0" w:color="auto"/>
              <w:left w:val="single" w:sz="8" w:space="0" w:color="auto"/>
            </w:tcBorders>
            <w:shd w:val="clear" w:color="auto" w:fill="auto"/>
            <w:vAlign w:val="bottom"/>
          </w:tcPr>
          <w:p w14:paraId="58672F70" w14:textId="77777777" w:rsidR="00572BA3" w:rsidRDefault="00572BA3">
            <w:pPr>
              <w:spacing w:line="0" w:lineRule="atLeast"/>
              <w:rPr>
                <w:rFonts w:eastAsia="Times New Roman"/>
              </w:rPr>
            </w:pPr>
          </w:p>
        </w:tc>
        <w:tc>
          <w:tcPr>
            <w:tcW w:w="5160" w:type="dxa"/>
            <w:gridSpan w:val="3"/>
            <w:tcBorders>
              <w:top w:val="single" w:sz="8" w:space="0" w:color="auto"/>
              <w:right w:val="single" w:sz="8" w:space="0" w:color="auto"/>
            </w:tcBorders>
            <w:shd w:val="clear" w:color="auto" w:fill="auto"/>
            <w:vAlign w:val="bottom"/>
          </w:tcPr>
          <w:p w14:paraId="0993B72E" w14:textId="77777777" w:rsidR="00572BA3" w:rsidRDefault="00572BA3">
            <w:pPr>
              <w:spacing w:line="0" w:lineRule="atLeast"/>
              <w:ind w:left="760"/>
              <w:rPr>
                <w:rFonts w:eastAsia="Times New Roman"/>
                <w:b/>
              </w:rPr>
            </w:pPr>
            <w:r>
              <w:rPr>
                <w:rFonts w:eastAsia="Times New Roman"/>
                <w:b/>
              </w:rPr>
              <w:t>Harmoniczne nieparzyste</w:t>
            </w:r>
          </w:p>
        </w:tc>
        <w:tc>
          <w:tcPr>
            <w:tcW w:w="3080" w:type="dxa"/>
            <w:gridSpan w:val="2"/>
            <w:tcBorders>
              <w:top w:val="single" w:sz="8" w:space="0" w:color="auto"/>
              <w:right w:val="single" w:sz="8" w:space="0" w:color="auto"/>
            </w:tcBorders>
            <w:shd w:val="clear" w:color="auto" w:fill="auto"/>
            <w:vAlign w:val="bottom"/>
          </w:tcPr>
          <w:p w14:paraId="02E70AE0" w14:textId="77777777" w:rsidR="00572BA3" w:rsidRDefault="00572BA3">
            <w:pPr>
              <w:spacing w:line="0" w:lineRule="atLeast"/>
              <w:ind w:left="360"/>
              <w:rPr>
                <w:rFonts w:eastAsia="Times New Roman"/>
                <w:b/>
              </w:rPr>
            </w:pPr>
            <w:r>
              <w:rPr>
                <w:rFonts w:eastAsia="Times New Roman"/>
                <w:b/>
              </w:rPr>
              <w:t>Harmoniczne parzyste</w:t>
            </w:r>
          </w:p>
        </w:tc>
      </w:tr>
      <w:tr w:rsidR="00572BA3" w14:paraId="3FFF313D" w14:textId="77777777">
        <w:trPr>
          <w:trHeight w:val="55"/>
        </w:trPr>
        <w:tc>
          <w:tcPr>
            <w:tcW w:w="1000" w:type="dxa"/>
            <w:tcBorders>
              <w:left w:val="single" w:sz="8" w:space="0" w:color="auto"/>
              <w:bottom w:val="single" w:sz="8" w:space="0" w:color="auto"/>
            </w:tcBorders>
            <w:shd w:val="clear" w:color="auto" w:fill="auto"/>
            <w:vAlign w:val="bottom"/>
          </w:tcPr>
          <w:p w14:paraId="26B523B4" w14:textId="77777777" w:rsidR="00572BA3" w:rsidRDefault="00572BA3">
            <w:pPr>
              <w:spacing w:line="0" w:lineRule="atLeast"/>
              <w:rPr>
                <w:rFonts w:eastAsia="Times New Roman"/>
                <w:sz w:val="4"/>
              </w:rPr>
            </w:pPr>
          </w:p>
        </w:tc>
        <w:tc>
          <w:tcPr>
            <w:tcW w:w="2100" w:type="dxa"/>
            <w:tcBorders>
              <w:bottom w:val="single" w:sz="8" w:space="0" w:color="auto"/>
            </w:tcBorders>
            <w:shd w:val="clear" w:color="auto" w:fill="auto"/>
            <w:vAlign w:val="bottom"/>
          </w:tcPr>
          <w:p w14:paraId="0E276C1D" w14:textId="77777777" w:rsidR="00572BA3" w:rsidRDefault="00572BA3">
            <w:pPr>
              <w:spacing w:line="0" w:lineRule="atLeast"/>
              <w:rPr>
                <w:rFonts w:eastAsia="Times New Roman"/>
                <w:sz w:val="4"/>
              </w:rPr>
            </w:pPr>
          </w:p>
        </w:tc>
        <w:tc>
          <w:tcPr>
            <w:tcW w:w="960" w:type="dxa"/>
            <w:tcBorders>
              <w:bottom w:val="single" w:sz="8" w:space="0" w:color="auto"/>
            </w:tcBorders>
            <w:shd w:val="clear" w:color="auto" w:fill="auto"/>
            <w:vAlign w:val="bottom"/>
          </w:tcPr>
          <w:p w14:paraId="196B3F19" w14:textId="77777777" w:rsidR="00572BA3" w:rsidRDefault="00572BA3">
            <w:pPr>
              <w:spacing w:line="0" w:lineRule="atLeast"/>
              <w:rPr>
                <w:rFonts w:eastAsia="Times New Roman"/>
                <w:sz w:val="4"/>
              </w:rPr>
            </w:pPr>
          </w:p>
        </w:tc>
        <w:tc>
          <w:tcPr>
            <w:tcW w:w="2100" w:type="dxa"/>
            <w:tcBorders>
              <w:bottom w:val="single" w:sz="8" w:space="0" w:color="auto"/>
              <w:right w:val="single" w:sz="8" w:space="0" w:color="auto"/>
            </w:tcBorders>
            <w:shd w:val="clear" w:color="auto" w:fill="auto"/>
            <w:vAlign w:val="bottom"/>
          </w:tcPr>
          <w:p w14:paraId="42605C27" w14:textId="77777777" w:rsidR="00572BA3" w:rsidRDefault="00572BA3">
            <w:pPr>
              <w:spacing w:line="0" w:lineRule="atLeast"/>
              <w:rPr>
                <w:rFonts w:eastAsia="Times New Roman"/>
                <w:sz w:val="4"/>
              </w:rPr>
            </w:pPr>
          </w:p>
        </w:tc>
        <w:tc>
          <w:tcPr>
            <w:tcW w:w="1020" w:type="dxa"/>
            <w:tcBorders>
              <w:bottom w:val="single" w:sz="8" w:space="0" w:color="auto"/>
            </w:tcBorders>
            <w:shd w:val="clear" w:color="auto" w:fill="auto"/>
            <w:vAlign w:val="bottom"/>
          </w:tcPr>
          <w:p w14:paraId="05BC153F" w14:textId="77777777" w:rsidR="00572BA3" w:rsidRDefault="00572BA3">
            <w:pPr>
              <w:spacing w:line="0" w:lineRule="atLeast"/>
              <w:rPr>
                <w:rFonts w:eastAsia="Times New Roman"/>
                <w:sz w:val="4"/>
              </w:rPr>
            </w:pPr>
          </w:p>
        </w:tc>
        <w:tc>
          <w:tcPr>
            <w:tcW w:w="2060" w:type="dxa"/>
            <w:tcBorders>
              <w:bottom w:val="single" w:sz="8" w:space="0" w:color="auto"/>
              <w:right w:val="single" w:sz="8" w:space="0" w:color="auto"/>
            </w:tcBorders>
            <w:shd w:val="clear" w:color="auto" w:fill="auto"/>
            <w:vAlign w:val="bottom"/>
          </w:tcPr>
          <w:p w14:paraId="1B87B388" w14:textId="77777777" w:rsidR="00572BA3" w:rsidRDefault="00572BA3">
            <w:pPr>
              <w:spacing w:line="0" w:lineRule="atLeast"/>
              <w:rPr>
                <w:rFonts w:eastAsia="Times New Roman"/>
                <w:sz w:val="4"/>
              </w:rPr>
            </w:pPr>
          </w:p>
        </w:tc>
      </w:tr>
      <w:tr w:rsidR="00572BA3" w14:paraId="64773991" w14:textId="77777777">
        <w:trPr>
          <w:trHeight w:val="273"/>
        </w:trPr>
        <w:tc>
          <w:tcPr>
            <w:tcW w:w="3100" w:type="dxa"/>
            <w:gridSpan w:val="2"/>
            <w:tcBorders>
              <w:left w:val="single" w:sz="8" w:space="0" w:color="auto"/>
              <w:bottom w:val="single" w:sz="8" w:space="0" w:color="auto"/>
              <w:right w:val="single" w:sz="8" w:space="0" w:color="auto"/>
            </w:tcBorders>
            <w:shd w:val="clear" w:color="auto" w:fill="auto"/>
            <w:vAlign w:val="bottom"/>
          </w:tcPr>
          <w:p w14:paraId="3C10B9EB" w14:textId="77777777" w:rsidR="00572BA3" w:rsidRDefault="00572BA3">
            <w:pPr>
              <w:spacing w:line="273" w:lineRule="exact"/>
              <w:ind w:left="560"/>
              <w:rPr>
                <w:rFonts w:eastAsia="Times New Roman"/>
                <w:b/>
              </w:rPr>
            </w:pPr>
            <w:r>
              <w:rPr>
                <w:rFonts w:eastAsia="Times New Roman"/>
                <w:b/>
              </w:rPr>
              <w:t>nie będące krotnością 3</w:t>
            </w:r>
          </w:p>
        </w:tc>
        <w:tc>
          <w:tcPr>
            <w:tcW w:w="3060" w:type="dxa"/>
            <w:gridSpan w:val="2"/>
            <w:tcBorders>
              <w:bottom w:val="single" w:sz="8" w:space="0" w:color="auto"/>
              <w:right w:val="single" w:sz="8" w:space="0" w:color="auto"/>
            </w:tcBorders>
            <w:shd w:val="clear" w:color="auto" w:fill="auto"/>
            <w:vAlign w:val="bottom"/>
          </w:tcPr>
          <w:p w14:paraId="68B92E28" w14:textId="77777777" w:rsidR="00572BA3" w:rsidRDefault="00572BA3">
            <w:pPr>
              <w:spacing w:line="273" w:lineRule="exact"/>
              <w:ind w:left="700"/>
              <w:rPr>
                <w:rFonts w:eastAsia="Times New Roman"/>
                <w:b/>
              </w:rPr>
            </w:pPr>
            <w:r>
              <w:rPr>
                <w:rFonts w:eastAsia="Times New Roman"/>
                <w:b/>
              </w:rPr>
              <w:t>będące krotnością 3</w:t>
            </w:r>
          </w:p>
        </w:tc>
        <w:tc>
          <w:tcPr>
            <w:tcW w:w="1020" w:type="dxa"/>
            <w:tcBorders>
              <w:right w:val="single" w:sz="8" w:space="0" w:color="auto"/>
            </w:tcBorders>
            <w:shd w:val="clear" w:color="auto" w:fill="auto"/>
            <w:vAlign w:val="bottom"/>
          </w:tcPr>
          <w:p w14:paraId="232CA0CE" w14:textId="77777777" w:rsidR="00572BA3" w:rsidRDefault="00572BA3">
            <w:pPr>
              <w:spacing w:line="268" w:lineRule="exact"/>
              <w:jc w:val="center"/>
              <w:rPr>
                <w:rFonts w:eastAsia="Times New Roman"/>
              </w:rPr>
            </w:pPr>
            <w:r>
              <w:rPr>
                <w:rFonts w:eastAsia="Times New Roman"/>
              </w:rPr>
              <w:t>Rząd</w:t>
            </w:r>
          </w:p>
        </w:tc>
        <w:tc>
          <w:tcPr>
            <w:tcW w:w="2060" w:type="dxa"/>
            <w:tcBorders>
              <w:right w:val="single" w:sz="8" w:space="0" w:color="auto"/>
            </w:tcBorders>
            <w:shd w:val="clear" w:color="auto" w:fill="auto"/>
            <w:vAlign w:val="bottom"/>
          </w:tcPr>
          <w:p w14:paraId="0221C460" w14:textId="77777777" w:rsidR="00572BA3" w:rsidRDefault="00572BA3">
            <w:pPr>
              <w:spacing w:line="268" w:lineRule="exact"/>
              <w:jc w:val="center"/>
              <w:rPr>
                <w:rFonts w:eastAsia="Times New Roman"/>
              </w:rPr>
            </w:pPr>
            <w:r>
              <w:rPr>
                <w:rFonts w:eastAsia="Times New Roman"/>
              </w:rPr>
              <w:t>Wartość względna</w:t>
            </w:r>
          </w:p>
        </w:tc>
      </w:tr>
      <w:tr w:rsidR="00572BA3" w14:paraId="2398DA3D" w14:textId="77777777">
        <w:trPr>
          <w:trHeight w:val="261"/>
        </w:trPr>
        <w:tc>
          <w:tcPr>
            <w:tcW w:w="1000" w:type="dxa"/>
            <w:tcBorders>
              <w:left w:val="single" w:sz="8" w:space="0" w:color="auto"/>
              <w:right w:val="single" w:sz="8" w:space="0" w:color="auto"/>
            </w:tcBorders>
            <w:shd w:val="clear" w:color="auto" w:fill="auto"/>
            <w:vAlign w:val="bottom"/>
          </w:tcPr>
          <w:p w14:paraId="4CE84D57" w14:textId="77777777" w:rsidR="00572BA3" w:rsidRDefault="00572BA3">
            <w:pPr>
              <w:spacing w:line="260" w:lineRule="exact"/>
              <w:jc w:val="center"/>
              <w:rPr>
                <w:rFonts w:eastAsia="Times New Roman"/>
              </w:rPr>
            </w:pPr>
            <w:r>
              <w:rPr>
                <w:rFonts w:eastAsia="Times New Roman"/>
              </w:rPr>
              <w:t>Rząd</w:t>
            </w:r>
          </w:p>
        </w:tc>
        <w:tc>
          <w:tcPr>
            <w:tcW w:w="2100" w:type="dxa"/>
            <w:tcBorders>
              <w:right w:val="single" w:sz="8" w:space="0" w:color="auto"/>
            </w:tcBorders>
            <w:shd w:val="clear" w:color="auto" w:fill="auto"/>
            <w:vAlign w:val="bottom"/>
          </w:tcPr>
          <w:p w14:paraId="06EBCF09" w14:textId="77777777" w:rsidR="00572BA3" w:rsidRDefault="00572BA3">
            <w:pPr>
              <w:spacing w:line="260" w:lineRule="exact"/>
              <w:jc w:val="center"/>
              <w:rPr>
                <w:rFonts w:eastAsia="Times New Roman"/>
              </w:rPr>
            </w:pPr>
            <w:r>
              <w:rPr>
                <w:rFonts w:eastAsia="Times New Roman"/>
              </w:rPr>
              <w:t>Wartość względna</w:t>
            </w:r>
          </w:p>
        </w:tc>
        <w:tc>
          <w:tcPr>
            <w:tcW w:w="960" w:type="dxa"/>
            <w:tcBorders>
              <w:right w:val="single" w:sz="8" w:space="0" w:color="auto"/>
            </w:tcBorders>
            <w:shd w:val="clear" w:color="auto" w:fill="auto"/>
            <w:vAlign w:val="bottom"/>
          </w:tcPr>
          <w:p w14:paraId="1F724A3D" w14:textId="77777777" w:rsidR="00572BA3" w:rsidRDefault="00572BA3">
            <w:pPr>
              <w:spacing w:line="260" w:lineRule="exact"/>
              <w:jc w:val="center"/>
              <w:rPr>
                <w:rFonts w:eastAsia="Times New Roman"/>
              </w:rPr>
            </w:pPr>
            <w:r>
              <w:rPr>
                <w:rFonts w:eastAsia="Times New Roman"/>
              </w:rPr>
              <w:t>Rząd</w:t>
            </w:r>
          </w:p>
        </w:tc>
        <w:tc>
          <w:tcPr>
            <w:tcW w:w="2100" w:type="dxa"/>
            <w:tcBorders>
              <w:right w:val="single" w:sz="8" w:space="0" w:color="auto"/>
            </w:tcBorders>
            <w:shd w:val="clear" w:color="auto" w:fill="auto"/>
            <w:vAlign w:val="bottom"/>
          </w:tcPr>
          <w:p w14:paraId="7E96C1F3" w14:textId="77777777" w:rsidR="00572BA3" w:rsidRDefault="00572BA3">
            <w:pPr>
              <w:spacing w:line="260" w:lineRule="exact"/>
              <w:jc w:val="center"/>
              <w:rPr>
                <w:rFonts w:eastAsia="Times New Roman"/>
              </w:rPr>
            </w:pPr>
            <w:r>
              <w:rPr>
                <w:rFonts w:eastAsia="Times New Roman"/>
              </w:rPr>
              <w:t>Wartość względna</w:t>
            </w:r>
          </w:p>
        </w:tc>
        <w:tc>
          <w:tcPr>
            <w:tcW w:w="1020" w:type="dxa"/>
            <w:tcBorders>
              <w:right w:val="single" w:sz="8" w:space="0" w:color="auto"/>
            </w:tcBorders>
            <w:shd w:val="clear" w:color="auto" w:fill="auto"/>
            <w:vAlign w:val="bottom"/>
          </w:tcPr>
          <w:p w14:paraId="789B8587" w14:textId="77777777" w:rsidR="00572BA3" w:rsidRDefault="00572BA3">
            <w:pPr>
              <w:spacing w:line="251" w:lineRule="exact"/>
              <w:jc w:val="center"/>
              <w:rPr>
                <w:rFonts w:eastAsia="Times New Roman"/>
              </w:rPr>
            </w:pPr>
            <w:r>
              <w:rPr>
                <w:rFonts w:eastAsia="Times New Roman"/>
              </w:rPr>
              <w:t>harmo-</w:t>
            </w:r>
          </w:p>
        </w:tc>
        <w:tc>
          <w:tcPr>
            <w:tcW w:w="2060" w:type="dxa"/>
            <w:tcBorders>
              <w:right w:val="single" w:sz="8" w:space="0" w:color="auto"/>
            </w:tcBorders>
            <w:shd w:val="clear" w:color="auto" w:fill="auto"/>
            <w:vAlign w:val="bottom"/>
          </w:tcPr>
          <w:p w14:paraId="015E8ECC" w14:textId="77777777" w:rsidR="00572BA3" w:rsidRDefault="00572BA3">
            <w:pPr>
              <w:spacing w:line="251" w:lineRule="exact"/>
              <w:jc w:val="center"/>
              <w:rPr>
                <w:rFonts w:eastAsia="Times New Roman"/>
                <w:w w:val="99"/>
              </w:rPr>
            </w:pPr>
            <w:r>
              <w:rPr>
                <w:rFonts w:eastAsia="Times New Roman"/>
                <w:w w:val="99"/>
              </w:rPr>
              <w:t>napięcia wyrażona</w:t>
            </w:r>
          </w:p>
        </w:tc>
      </w:tr>
      <w:tr w:rsidR="00572BA3" w14:paraId="67C4DBEA" w14:textId="77777777">
        <w:trPr>
          <w:trHeight w:val="276"/>
        </w:trPr>
        <w:tc>
          <w:tcPr>
            <w:tcW w:w="1000" w:type="dxa"/>
            <w:tcBorders>
              <w:left w:val="single" w:sz="8" w:space="0" w:color="auto"/>
              <w:right w:val="single" w:sz="8" w:space="0" w:color="auto"/>
            </w:tcBorders>
            <w:shd w:val="clear" w:color="auto" w:fill="auto"/>
            <w:vAlign w:val="bottom"/>
          </w:tcPr>
          <w:p w14:paraId="39F91D7E" w14:textId="77777777" w:rsidR="00572BA3" w:rsidRDefault="00572BA3">
            <w:pPr>
              <w:spacing w:line="0" w:lineRule="atLeast"/>
              <w:jc w:val="center"/>
              <w:rPr>
                <w:rFonts w:eastAsia="Times New Roman"/>
              </w:rPr>
            </w:pPr>
            <w:r>
              <w:rPr>
                <w:rFonts w:eastAsia="Times New Roman"/>
              </w:rPr>
              <w:t>harmo-</w:t>
            </w:r>
          </w:p>
        </w:tc>
        <w:tc>
          <w:tcPr>
            <w:tcW w:w="2100" w:type="dxa"/>
            <w:tcBorders>
              <w:right w:val="single" w:sz="8" w:space="0" w:color="auto"/>
            </w:tcBorders>
            <w:shd w:val="clear" w:color="auto" w:fill="auto"/>
            <w:vAlign w:val="bottom"/>
          </w:tcPr>
          <w:p w14:paraId="24ED4D1E" w14:textId="77777777" w:rsidR="00572BA3" w:rsidRDefault="00572BA3">
            <w:pPr>
              <w:spacing w:line="0" w:lineRule="atLeast"/>
              <w:jc w:val="center"/>
              <w:rPr>
                <w:rFonts w:eastAsia="Times New Roman"/>
              </w:rPr>
            </w:pPr>
            <w:r>
              <w:rPr>
                <w:rFonts w:eastAsia="Times New Roman"/>
              </w:rPr>
              <w:t>napięcia wyrażona</w:t>
            </w:r>
          </w:p>
        </w:tc>
        <w:tc>
          <w:tcPr>
            <w:tcW w:w="960" w:type="dxa"/>
            <w:tcBorders>
              <w:right w:val="single" w:sz="8" w:space="0" w:color="auto"/>
            </w:tcBorders>
            <w:shd w:val="clear" w:color="auto" w:fill="auto"/>
            <w:vAlign w:val="bottom"/>
          </w:tcPr>
          <w:p w14:paraId="3EB44E11" w14:textId="77777777" w:rsidR="00572BA3" w:rsidRDefault="00572BA3">
            <w:pPr>
              <w:spacing w:line="0" w:lineRule="atLeast"/>
              <w:jc w:val="center"/>
              <w:rPr>
                <w:rFonts w:eastAsia="Times New Roman"/>
              </w:rPr>
            </w:pPr>
            <w:r>
              <w:rPr>
                <w:rFonts w:eastAsia="Times New Roman"/>
              </w:rPr>
              <w:t>harmo-</w:t>
            </w:r>
          </w:p>
        </w:tc>
        <w:tc>
          <w:tcPr>
            <w:tcW w:w="2100" w:type="dxa"/>
            <w:tcBorders>
              <w:right w:val="single" w:sz="8" w:space="0" w:color="auto"/>
            </w:tcBorders>
            <w:shd w:val="clear" w:color="auto" w:fill="auto"/>
            <w:vAlign w:val="bottom"/>
          </w:tcPr>
          <w:p w14:paraId="2623B7AC" w14:textId="77777777" w:rsidR="00572BA3" w:rsidRDefault="00572BA3">
            <w:pPr>
              <w:spacing w:line="0" w:lineRule="atLeast"/>
              <w:jc w:val="center"/>
              <w:rPr>
                <w:rFonts w:eastAsia="Times New Roman"/>
                <w:w w:val="99"/>
              </w:rPr>
            </w:pPr>
            <w:r>
              <w:rPr>
                <w:rFonts w:eastAsia="Times New Roman"/>
                <w:w w:val="99"/>
              </w:rPr>
              <w:t>napięcia wyrażona</w:t>
            </w:r>
          </w:p>
        </w:tc>
        <w:tc>
          <w:tcPr>
            <w:tcW w:w="1020" w:type="dxa"/>
            <w:tcBorders>
              <w:right w:val="single" w:sz="8" w:space="0" w:color="auto"/>
            </w:tcBorders>
            <w:shd w:val="clear" w:color="auto" w:fill="auto"/>
            <w:vAlign w:val="bottom"/>
          </w:tcPr>
          <w:p w14:paraId="4349FEA0" w14:textId="77777777" w:rsidR="00572BA3" w:rsidRDefault="00572BA3">
            <w:pPr>
              <w:spacing w:line="266" w:lineRule="exact"/>
              <w:jc w:val="center"/>
              <w:rPr>
                <w:rFonts w:eastAsia="Times New Roman"/>
              </w:rPr>
            </w:pPr>
            <w:r>
              <w:rPr>
                <w:rFonts w:eastAsia="Times New Roman"/>
              </w:rPr>
              <w:t>nicznej</w:t>
            </w:r>
          </w:p>
        </w:tc>
        <w:tc>
          <w:tcPr>
            <w:tcW w:w="2060" w:type="dxa"/>
            <w:tcBorders>
              <w:right w:val="single" w:sz="8" w:space="0" w:color="auto"/>
            </w:tcBorders>
            <w:shd w:val="clear" w:color="auto" w:fill="auto"/>
            <w:vAlign w:val="bottom"/>
          </w:tcPr>
          <w:p w14:paraId="08BA225C" w14:textId="77777777" w:rsidR="00572BA3" w:rsidRDefault="00572BA3">
            <w:pPr>
              <w:spacing w:line="266" w:lineRule="exact"/>
              <w:jc w:val="center"/>
              <w:rPr>
                <w:rFonts w:eastAsia="Times New Roman"/>
              </w:rPr>
            </w:pPr>
            <w:r>
              <w:rPr>
                <w:rFonts w:eastAsia="Times New Roman"/>
              </w:rPr>
              <w:t>w procentach</w:t>
            </w:r>
          </w:p>
        </w:tc>
      </w:tr>
      <w:tr w:rsidR="00572BA3" w14:paraId="09810A20" w14:textId="77777777">
        <w:trPr>
          <w:trHeight w:val="276"/>
        </w:trPr>
        <w:tc>
          <w:tcPr>
            <w:tcW w:w="1000" w:type="dxa"/>
            <w:tcBorders>
              <w:left w:val="single" w:sz="8" w:space="0" w:color="auto"/>
              <w:right w:val="single" w:sz="8" w:space="0" w:color="auto"/>
            </w:tcBorders>
            <w:shd w:val="clear" w:color="auto" w:fill="auto"/>
            <w:vAlign w:val="bottom"/>
          </w:tcPr>
          <w:p w14:paraId="06359E91" w14:textId="77777777" w:rsidR="00572BA3" w:rsidRDefault="00572BA3">
            <w:pPr>
              <w:spacing w:line="0" w:lineRule="atLeast"/>
              <w:jc w:val="center"/>
              <w:rPr>
                <w:rFonts w:eastAsia="Times New Roman"/>
              </w:rPr>
            </w:pPr>
            <w:r>
              <w:rPr>
                <w:rFonts w:eastAsia="Times New Roman"/>
              </w:rPr>
              <w:t>nicznej</w:t>
            </w:r>
          </w:p>
        </w:tc>
        <w:tc>
          <w:tcPr>
            <w:tcW w:w="2100" w:type="dxa"/>
            <w:tcBorders>
              <w:right w:val="single" w:sz="8" w:space="0" w:color="auto"/>
            </w:tcBorders>
            <w:shd w:val="clear" w:color="auto" w:fill="auto"/>
            <w:vAlign w:val="bottom"/>
          </w:tcPr>
          <w:p w14:paraId="5210CC22" w14:textId="77777777" w:rsidR="00572BA3" w:rsidRDefault="00572BA3">
            <w:pPr>
              <w:spacing w:line="0" w:lineRule="atLeast"/>
              <w:jc w:val="center"/>
              <w:rPr>
                <w:rFonts w:eastAsia="Times New Roman"/>
                <w:w w:val="99"/>
              </w:rPr>
            </w:pPr>
            <w:r>
              <w:rPr>
                <w:rFonts w:eastAsia="Times New Roman"/>
                <w:w w:val="99"/>
              </w:rPr>
              <w:t>w procentach</w:t>
            </w:r>
          </w:p>
        </w:tc>
        <w:tc>
          <w:tcPr>
            <w:tcW w:w="960" w:type="dxa"/>
            <w:tcBorders>
              <w:right w:val="single" w:sz="8" w:space="0" w:color="auto"/>
            </w:tcBorders>
            <w:shd w:val="clear" w:color="auto" w:fill="auto"/>
            <w:vAlign w:val="bottom"/>
          </w:tcPr>
          <w:p w14:paraId="69741BAD" w14:textId="77777777" w:rsidR="00572BA3" w:rsidRDefault="00572BA3">
            <w:pPr>
              <w:spacing w:line="0" w:lineRule="atLeast"/>
              <w:jc w:val="center"/>
              <w:rPr>
                <w:rFonts w:eastAsia="Times New Roman"/>
              </w:rPr>
            </w:pPr>
            <w:r>
              <w:rPr>
                <w:rFonts w:eastAsia="Times New Roman"/>
              </w:rPr>
              <w:t>nicznej</w:t>
            </w:r>
          </w:p>
        </w:tc>
        <w:tc>
          <w:tcPr>
            <w:tcW w:w="2100" w:type="dxa"/>
            <w:tcBorders>
              <w:right w:val="single" w:sz="8" w:space="0" w:color="auto"/>
            </w:tcBorders>
            <w:shd w:val="clear" w:color="auto" w:fill="auto"/>
            <w:vAlign w:val="bottom"/>
          </w:tcPr>
          <w:p w14:paraId="2656A832" w14:textId="77777777" w:rsidR="00572BA3" w:rsidRDefault="00572BA3">
            <w:pPr>
              <w:spacing w:line="0" w:lineRule="atLeast"/>
              <w:jc w:val="center"/>
              <w:rPr>
                <w:rFonts w:eastAsia="Times New Roman"/>
              </w:rPr>
            </w:pPr>
            <w:r>
              <w:rPr>
                <w:rFonts w:eastAsia="Times New Roman"/>
              </w:rPr>
              <w:t>w procentach</w:t>
            </w:r>
          </w:p>
        </w:tc>
        <w:tc>
          <w:tcPr>
            <w:tcW w:w="1020" w:type="dxa"/>
            <w:tcBorders>
              <w:right w:val="single" w:sz="8" w:space="0" w:color="auto"/>
            </w:tcBorders>
            <w:shd w:val="clear" w:color="auto" w:fill="auto"/>
            <w:vAlign w:val="bottom"/>
          </w:tcPr>
          <w:p w14:paraId="657F52AA" w14:textId="77777777" w:rsidR="00572BA3" w:rsidRDefault="00572BA3">
            <w:pPr>
              <w:spacing w:line="266" w:lineRule="exact"/>
              <w:jc w:val="center"/>
              <w:rPr>
                <w:rFonts w:eastAsia="Times New Roman"/>
                <w:w w:val="99"/>
              </w:rPr>
            </w:pPr>
            <w:r>
              <w:rPr>
                <w:rFonts w:eastAsia="Times New Roman"/>
                <w:w w:val="99"/>
              </w:rPr>
              <w:t>(h)</w:t>
            </w:r>
          </w:p>
        </w:tc>
        <w:tc>
          <w:tcPr>
            <w:tcW w:w="2060" w:type="dxa"/>
            <w:tcBorders>
              <w:right w:val="single" w:sz="8" w:space="0" w:color="auto"/>
            </w:tcBorders>
            <w:shd w:val="clear" w:color="auto" w:fill="auto"/>
            <w:vAlign w:val="bottom"/>
          </w:tcPr>
          <w:p w14:paraId="60932F0E" w14:textId="77777777" w:rsidR="00572BA3" w:rsidRDefault="00572BA3">
            <w:pPr>
              <w:spacing w:line="266" w:lineRule="exact"/>
              <w:jc w:val="center"/>
              <w:rPr>
                <w:rFonts w:eastAsia="Times New Roman"/>
              </w:rPr>
            </w:pPr>
            <w:r>
              <w:rPr>
                <w:rFonts w:eastAsia="Times New Roman"/>
              </w:rPr>
              <w:t>składowej</w:t>
            </w:r>
          </w:p>
        </w:tc>
      </w:tr>
      <w:tr w:rsidR="00572BA3" w14:paraId="4947A09E" w14:textId="77777777">
        <w:trPr>
          <w:trHeight w:val="276"/>
        </w:trPr>
        <w:tc>
          <w:tcPr>
            <w:tcW w:w="1000" w:type="dxa"/>
            <w:tcBorders>
              <w:left w:val="single" w:sz="8" w:space="0" w:color="auto"/>
              <w:right w:val="single" w:sz="8" w:space="0" w:color="auto"/>
            </w:tcBorders>
            <w:shd w:val="clear" w:color="auto" w:fill="auto"/>
            <w:vAlign w:val="bottom"/>
          </w:tcPr>
          <w:p w14:paraId="366E1F87" w14:textId="77777777" w:rsidR="00572BA3" w:rsidRDefault="00572BA3">
            <w:pPr>
              <w:spacing w:line="0" w:lineRule="atLeast"/>
              <w:jc w:val="center"/>
              <w:rPr>
                <w:rFonts w:eastAsia="Times New Roman"/>
                <w:w w:val="99"/>
              </w:rPr>
            </w:pPr>
            <w:r>
              <w:rPr>
                <w:rFonts w:eastAsia="Times New Roman"/>
                <w:w w:val="99"/>
              </w:rPr>
              <w:t>(h)</w:t>
            </w:r>
          </w:p>
        </w:tc>
        <w:tc>
          <w:tcPr>
            <w:tcW w:w="2100" w:type="dxa"/>
            <w:tcBorders>
              <w:right w:val="single" w:sz="8" w:space="0" w:color="auto"/>
            </w:tcBorders>
            <w:shd w:val="clear" w:color="auto" w:fill="auto"/>
            <w:vAlign w:val="bottom"/>
          </w:tcPr>
          <w:p w14:paraId="39BC56D5" w14:textId="77777777" w:rsidR="00572BA3" w:rsidRDefault="00572BA3">
            <w:pPr>
              <w:spacing w:line="0" w:lineRule="atLeast"/>
              <w:jc w:val="center"/>
              <w:rPr>
                <w:rFonts w:eastAsia="Times New Roman"/>
              </w:rPr>
            </w:pPr>
            <w:r>
              <w:rPr>
                <w:rFonts w:eastAsia="Times New Roman"/>
              </w:rPr>
              <w:t>składowej</w:t>
            </w:r>
          </w:p>
        </w:tc>
        <w:tc>
          <w:tcPr>
            <w:tcW w:w="960" w:type="dxa"/>
            <w:tcBorders>
              <w:right w:val="single" w:sz="8" w:space="0" w:color="auto"/>
            </w:tcBorders>
            <w:shd w:val="clear" w:color="auto" w:fill="auto"/>
            <w:vAlign w:val="bottom"/>
          </w:tcPr>
          <w:p w14:paraId="095C0C96" w14:textId="77777777" w:rsidR="00572BA3" w:rsidRDefault="00572BA3">
            <w:pPr>
              <w:spacing w:line="0" w:lineRule="atLeast"/>
              <w:jc w:val="center"/>
              <w:rPr>
                <w:rFonts w:eastAsia="Times New Roman"/>
                <w:w w:val="99"/>
              </w:rPr>
            </w:pPr>
            <w:r>
              <w:rPr>
                <w:rFonts w:eastAsia="Times New Roman"/>
                <w:w w:val="99"/>
              </w:rPr>
              <w:t>(h)</w:t>
            </w:r>
          </w:p>
        </w:tc>
        <w:tc>
          <w:tcPr>
            <w:tcW w:w="2100" w:type="dxa"/>
            <w:tcBorders>
              <w:right w:val="single" w:sz="8" w:space="0" w:color="auto"/>
            </w:tcBorders>
            <w:shd w:val="clear" w:color="auto" w:fill="auto"/>
            <w:vAlign w:val="bottom"/>
          </w:tcPr>
          <w:p w14:paraId="2B5B9CDA" w14:textId="77777777" w:rsidR="00572BA3" w:rsidRDefault="00572BA3">
            <w:pPr>
              <w:spacing w:line="0" w:lineRule="atLeast"/>
              <w:jc w:val="center"/>
              <w:rPr>
                <w:rFonts w:eastAsia="Times New Roman"/>
              </w:rPr>
            </w:pPr>
            <w:r>
              <w:rPr>
                <w:rFonts w:eastAsia="Times New Roman"/>
              </w:rPr>
              <w:t>składowej</w:t>
            </w:r>
          </w:p>
        </w:tc>
        <w:tc>
          <w:tcPr>
            <w:tcW w:w="1020" w:type="dxa"/>
            <w:tcBorders>
              <w:right w:val="single" w:sz="8" w:space="0" w:color="auto"/>
            </w:tcBorders>
            <w:shd w:val="clear" w:color="auto" w:fill="auto"/>
            <w:vAlign w:val="bottom"/>
          </w:tcPr>
          <w:p w14:paraId="749D202C" w14:textId="77777777" w:rsidR="00572BA3" w:rsidRDefault="00572BA3">
            <w:pPr>
              <w:spacing w:line="0" w:lineRule="atLeast"/>
              <w:rPr>
                <w:rFonts w:eastAsia="Times New Roman"/>
              </w:rPr>
            </w:pPr>
          </w:p>
        </w:tc>
        <w:tc>
          <w:tcPr>
            <w:tcW w:w="2060" w:type="dxa"/>
            <w:tcBorders>
              <w:right w:val="single" w:sz="8" w:space="0" w:color="auto"/>
            </w:tcBorders>
            <w:shd w:val="clear" w:color="auto" w:fill="auto"/>
            <w:vAlign w:val="bottom"/>
          </w:tcPr>
          <w:p w14:paraId="4AE8350A" w14:textId="77777777" w:rsidR="00572BA3" w:rsidRDefault="00572BA3">
            <w:pPr>
              <w:spacing w:line="270" w:lineRule="exact"/>
              <w:jc w:val="center"/>
              <w:rPr>
                <w:rFonts w:eastAsia="Times New Roman"/>
              </w:rPr>
            </w:pPr>
            <w:r>
              <w:rPr>
                <w:rFonts w:eastAsia="Times New Roman"/>
              </w:rPr>
              <w:t>podstawowej (u</w:t>
            </w:r>
            <w:r>
              <w:rPr>
                <w:rFonts w:eastAsia="Times New Roman"/>
                <w:sz w:val="16"/>
              </w:rPr>
              <w:t>h</w:t>
            </w:r>
            <w:r>
              <w:rPr>
                <w:rFonts w:eastAsia="Times New Roman"/>
              </w:rPr>
              <w:t>)</w:t>
            </w:r>
          </w:p>
        </w:tc>
      </w:tr>
      <w:tr w:rsidR="00572BA3" w14:paraId="1E009407" w14:textId="77777777">
        <w:trPr>
          <w:trHeight w:val="281"/>
        </w:trPr>
        <w:tc>
          <w:tcPr>
            <w:tcW w:w="1000" w:type="dxa"/>
            <w:tcBorders>
              <w:left w:val="single" w:sz="8" w:space="0" w:color="auto"/>
              <w:bottom w:val="single" w:sz="8" w:space="0" w:color="auto"/>
              <w:right w:val="single" w:sz="8" w:space="0" w:color="auto"/>
            </w:tcBorders>
            <w:shd w:val="clear" w:color="auto" w:fill="auto"/>
            <w:vAlign w:val="bottom"/>
          </w:tcPr>
          <w:p w14:paraId="5BE99B06" w14:textId="77777777" w:rsidR="00572BA3" w:rsidRDefault="00572BA3">
            <w:pPr>
              <w:spacing w:line="0" w:lineRule="atLeast"/>
              <w:rPr>
                <w:rFonts w:eastAsia="Times New Roman"/>
              </w:rPr>
            </w:pPr>
          </w:p>
        </w:tc>
        <w:tc>
          <w:tcPr>
            <w:tcW w:w="2100" w:type="dxa"/>
            <w:tcBorders>
              <w:bottom w:val="single" w:sz="8" w:space="0" w:color="auto"/>
              <w:right w:val="single" w:sz="8" w:space="0" w:color="auto"/>
            </w:tcBorders>
            <w:shd w:val="clear" w:color="auto" w:fill="auto"/>
            <w:vAlign w:val="bottom"/>
          </w:tcPr>
          <w:p w14:paraId="2BED15EA" w14:textId="77777777" w:rsidR="00572BA3" w:rsidRDefault="00572BA3">
            <w:pPr>
              <w:spacing w:line="0" w:lineRule="atLeast"/>
              <w:jc w:val="center"/>
              <w:rPr>
                <w:rFonts w:eastAsia="Times New Roman"/>
                <w:w w:val="99"/>
              </w:rPr>
            </w:pPr>
            <w:r>
              <w:rPr>
                <w:rFonts w:eastAsia="Times New Roman"/>
                <w:w w:val="99"/>
              </w:rPr>
              <w:t>podstawowej (u</w:t>
            </w:r>
            <w:r>
              <w:rPr>
                <w:rFonts w:eastAsia="Times New Roman"/>
                <w:w w:val="99"/>
                <w:sz w:val="16"/>
              </w:rPr>
              <w:t>h</w:t>
            </w:r>
            <w:r>
              <w:rPr>
                <w:rFonts w:eastAsia="Times New Roman"/>
                <w:w w:val="99"/>
              </w:rPr>
              <w:t>)</w:t>
            </w:r>
          </w:p>
        </w:tc>
        <w:tc>
          <w:tcPr>
            <w:tcW w:w="960" w:type="dxa"/>
            <w:tcBorders>
              <w:bottom w:val="single" w:sz="8" w:space="0" w:color="auto"/>
              <w:right w:val="single" w:sz="8" w:space="0" w:color="auto"/>
            </w:tcBorders>
            <w:shd w:val="clear" w:color="auto" w:fill="auto"/>
            <w:vAlign w:val="bottom"/>
          </w:tcPr>
          <w:p w14:paraId="416E7897" w14:textId="77777777" w:rsidR="00572BA3" w:rsidRDefault="00572BA3">
            <w:pPr>
              <w:spacing w:line="0" w:lineRule="atLeast"/>
              <w:rPr>
                <w:rFonts w:eastAsia="Times New Roman"/>
              </w:rPr>
            </w:pPr>
          </w:p>
        </w:tc>
        <w:tc>
          <w:tcPr>
            <w:tcW w:w="2100" w:type="dxa"/>
            <w:tcBorders>
              <w:bottom w:val="single" w:sz="8" w:space="0" w:color="auto"/>
              <w:right w:val="single" w:sz="8" w:space="0" w:color="auto"/>
            </w:tcBorders>
            <w:shd w:val="clear" w:color="auto" w:fill="auto"/>
            <w:vAlign w:val="bottom"/>
          </w:tcPr>
          <w:p w14:paraId="461516BE" w14:textId="77777777" w:rsidR="00572BA3" w:rsidRDefault="00572BA3">
            <w:pPr>
              <w:spacing w:line="0" w:lineRule="atLeast"/>
              <w:jc w:val="center"/>
              <w:rPr>
                <w:rFonts w:eastAsia="Times New Roman"/>
              </w:rPr>
            </w:pPr>
            <w:r>
              <w:rPr>
                <w:rFonts w:eastAsia="Times New Roman"/>
              </w:rPr>
              <w:t>podstawowej (u</w:t>
            </w:r>
            <w:r>
              <w:rPr>
                <w:rFonts w:eastAsia="Times New Roman"/>
                <w:sz w:val="16"/>
              </w:rPr>
              <w:t>h</w:t>
            </w:r>
            <w:r>
              <w:rPr>
                <w:rFonts w:eastAsia="Times New Roman"/>
              </w:rPr>
              <w:t>)</w:t>
            </w:r>
          </w:p>
        </w:tc>
        <w:tc>
          <w:tcPr>
            <w:tcW w:w="1020" w:type="dxa"/>
            <w:tcBorders>
              <w:bottom w:val="single" w:sz="8" w:space="0" w:color="auto"/>
              <w:right w:val="single" w:sz="8" w:space="0" w:color="auto"/>
            </w:tcBorders>
            <w:shd w:val="clear" w:color="auto" w:fill="auto"/>
            <w:vAlign w:val="bottom"/>
          </w:tcPr>
          <w:p w14:paraId="3216415A" w14:textId="77777777" w:rsidR="00572BA3" w:rsidRDefault="00572BA3">
            <w:pPr>
              <w:spacing w:line="0" w:lineRule="atLeast"/>
              <w:rPr>
                <w:rFonts w:eastAsia="Times New Roman"/>
              </w:rPr>
            </w:pPr>
          </w:p>
        </w:tc>
        <w:tc>
          <w:tcPr>
            <w:tcW w:w="2060" w:type="dxa"/>
            <w:tcBorders>
              <w:bottom w:val="single" w:sz="8" w:space="0" w:color="auto"/>
              <w:right w:val="single" w:sz="8" w:space="0" w:color="auto"/>
            </w:tcBorders>
            <w:shd w:val="clear" w:color="auto" w:fill="auto"/>
            <w:vAlign w:val="bottom"/>
          </w:tcPr>
          <w:p w14:paraId="1AD5FABB" w14:textId="77777777" w:rsidR="00572BA3" w:rsidRDefault="00572BA3">
            <w:pPr>
              <w:spacing w:line="0" w:lineRule="atLeast"/>
              <w:rPr>
                <w:rFonts w:eastAsia="Times New Roman"/>
              </w:rPr>
            </w:pPr>
          </w:p>
        </w:tc>
      </w:tr>
      <w:tr w:rsidR="00572BA3" w14:paraId="388BB22D" w14:textId="77777777">
        <w:trPr>
          <w:trHeight w:val="260"/>
        </w:trPr>
        <w:tc>
          <w:tcPr>
            <w:tcW w:w="1000" w:type="dxa"/>
            <w:tcBorders>
              <w:left w:val="single" w:sz="8" w:space="0" w:color="auto"/>
              <w:right w:val="single" w:sz="8" w:space="0" w:color="auto"/>
            </w:tcBorders>
            <w:shd w:val="clear" w:color="auto" w:fill="auto"/>
            <w:vAlign w:val="bottom"/>
          </w:tcPr>
          <w:p w14:paraId="173B9DF2" w14:textId="77777777" w:rsidR="00572BA3" w:rsidRDefault="00572BA3">
            <w:pPr>
              <w:spacing w:line="260" w:lineRule="exact"/>
              <w:jc w:val="center"/>
              <w:rPr>
                <w:rFonts w:eastAsia="Times New Roman"/>
                <w:w w:val="99"/>
              </w:rPr>
            </w:pPr>
            <w:r>
              <w:rPr>
                <w:rFonts w:eastAsia="Times New Roman"/>
                <w:w w:val="99"/>
              </w:rPr>
              <w:t>5</w:t>
            </w:r>
          </w:p>
        </w:tc>
        <w:tc>
          <w:tcPr>
            <w:tcW w:w="2100" w:type="dxa"/>
            <w:tcBorders>
              <w:right w:val="single" w:sz="8" w:space="0" w:color="auto"/>
            </w:tcBorders>
            <w:shd w:val="clear" w:color="auto" w:fill="auto"/>
            <w:vAlign w:val="bottom"/>
          </w:tcPr>
          <w:p w14:paraId="652718BD" w14:textId="77777777" w:rsidR="00572BA3" w:rsidRDefault="00572BA3">
            <w:pPr>
              <w:spacing w:line="260" w:lineRule="exact"/>
              <w:jc w:val="center"/>
              <w:rPr>
                <w:rFonts w:eastAsia="Times New Roman"/>
                <w:w w:val="99"/>
              </w:rPr>
            </w:pPr>
            <w:r>
              <w:rPr>
                <w:rFonts w:eastAsia="Times New Roman"/>
                <w:w w:val="99"/>
              </w:rPr>
              <w:t>6%</w:t>
            </w:r>
          </w:p>
        </w:tc>
        <w:tc>
          <w:tcPr>
            <w:tcW w:w="960" w:type="dxa"/>
            <w:tcBorders>
              <w:right w:val="single" w:sz="8" w:space="0" w:color="auto"/>
            </w:tcBorders>
            <w:shd w:val="clear" w:color="auto" w:fill="auto"/>
            <w:vAlign w:val="bottom"/>
          </w:tcPr>
          <w:p w14:paraId="27ED03F9" w14:textId="77777777" w:rsidR="00572BA3" w:rsidRDefault="00572BA3">
            <w:pPr>
              <w:spacing w:line="260" w:lineRule="exact"/>
              <w:jc w:val="center"/>
              <w:rPr>
                <w:rFonts w:eastAsia="Times New Roman"/>
                <w:w w:val="99"/>
              </w:rPr>
            </w:pPr>
            <w:r>
              <w:rPr>
                <w:rFonts w:eastAsia="Times New Roman"/>
                <w:w w:val="99"/>
              </w:rPr>
              <w:t>3</w:t>
            </w:r>
          </w:p>
        </w:tc>
        <w:tc>
          <w:tcPr>
            <w:tcW w:w="2100" w:type="dxa"/>
            <w:tcBorders>
              <w:right w:val="single" w:sz="8" w:space="0" w:color="auto"/>
            </w:tcBorders>
            <w:shd w:val="clear" w:color="auto" w:fill="auto"/>
            <w:vAlign w:val="bottom"/>
          </w:tcPr>
          <w:p w14:paraId="4ABE1DDB" w14:textId="77777777" w:rsidR="00572BA3" w:rsidRDefault="00572BA3">
            <w:pPr>
              <w:spacing w:line="260" w:lineRule="exact"/>
              <w:jc w:val="center"/>
              <w:rPr>
                <w:rFonts w:eastAsia="Times New Roman"/>
                <w:w w:val="99"/>
              </w:rPr>
            </w:pPr>
            <w:r>
              <w:rPr>
                <w:rFonts w:eastAsia="Times New Roman"/>
                <w:w w:val="99"/>
              </w:rPr>
              <w:t>5%</w:t>
            </w:r>
          </w:p>
        </w:tc>
        <w:tc>
          <w:tcPr>
            <w:tcW w:w="1020" w:type="dxa"/>
            <w:tcBorders>
              <w:right w:val="single" w:sz="8" w:space="0" w:color="auto"/>
            </w:tcBorders>
            <w:shd w:val="clear" w:color="auto" w:fill="auto"/>
            <w:vAlign w:val="bottom"/>
          </w:tcPr>
          <w:p w14:paraId="7A8C2F73" w14:textId="77777777" w:rsidR="00572BA3" w:rsidRDefault="00572BA3">
            <w:pPr>
              <w:spacing w:line="260" w:lineRule="exact"/>
              <w:jc w:val="center"/>
              <w:rPr>
                <w:rFonts w:eastAsia="Times New Roman"/>
                <w:w w:val="99"/>
              </w:rPr>
            </w:pPr>
            <w:r>
              <w:rPr>
                <w:rFonts w:eastAsia="Times New Roman"/>
                <w:w w:val="99"/>
              </w:rPr>
              <w:t>2</w:t>
            </w:r>
          </w:p>
        </w:tc>
        <w:tc>
          <w:tcPr>
            <w:tcW w:w="2060" w:type="dxa"/>
            <w:tcBorders>
              <w:right w:val="single" w:sz="8" w:space="0" w:color="auto"/>
            </w:tcBorders>
            <w:shd w:val="clear" w:color="auto" w:fill="auto"/>
            <w:vAlign w:val="bottom"/>
          </w:tcPr>
          <w:p w14:paraId="6F054742" w14:textId="77777777" w:rsidR="00572BA3" w:rsidRDefault="00572BA3">
            <w:pPr>
              <w:spacing w:line="260" w:lineRule="exact"/>
              <w:jc w:val="center"/>
              <w:rPr>
                <w:rFonts w:eastAsia="Times New Roman"/>
                <w:w w:val="99"/>
              </w:rPr>
            </w:pPr>
            <w:r>
              <w:rPr>
                <w:rFonts w:eastAsia="Times New Roman"/>
                <w:w w:val="99"/>
              </w:rPr>
              <w:t>2%</w:t>
            </w:r>
          </w:p>
        </w:tc>
      </w:tr>
      <w:tr w:rsidR="00572BA3" w14:paraId="42FC8342" w14:textId="77777777">
        <w:trPr>
          <w:trHeight w:val="276"/>
        </w:trPr>
        <w:tc>
          <w:tcPr>
            <w:tcW w:w="1000" w:type="dxa"/>
            <w:tcBorders>
              <w:left w:val="single" w:sz="8" w:space="0" w:color="auto"/>
              <w:right w:val="single" w:sz="8" w:space="0" w:color="auto"/>
            </w:tcBorders>
            <w:shd w:val="clear" w:color="auto" w:fill="auto"/>
            <w:vAlign w:val="bottom"/>
          </w:tcPr>
          <w:p w14:paraId="623F4448" w14:textId="77777777" w:rsidR="00572BA3" w:rsidRDefault="00572BA3">
            <w:pPr>
              <w:spacing w:line="0" w:lineRule="atLeast"/>
              <w:jc w:val="center"/>
              <w:rPr>
                <w:rFonts w:eastAsia="Times New Roman"/>
                <w:w w:val="99"/>
              </w:rPr>
            </w:pPr>
            <w:r>
              <w:rPr>
                <w:rFonts w:eastAsia="Times New Roman"/>
                <w:w w:val="99"/>
              </w:rPr>
              <w:t>7</w:t>
            </w:r>
          </w:p>
        </w:tc>
        <w:tc>
          <w:tcPr>
            <w:tcW w:w="2100" w:type="dxa"/>
            <w:tcBorders>
              <w:right w:val="single" w:sz="8" w:space="0" w:color="auto"/>
            </w:tcBorders>
            <w:shd w:val="clear" w:color="auto" w:fill="auto"/>
            <w:vAlign w:val="bottom"/>
          </w:tcPr>
          <w:p w14:paraId="302B797D" w14:textId="77777777" w:rsidR="00572BA3" w:rsidRDefault="00572BA3">
            <w:pPr>
              <w:spacing w:line="0" w:lineRule="atLeast"/>
              <w:jc w:val="center"/>
              <w:rPr>
                <w:rFonts w:eastAsia="Times New Roman"/>
                <w:w w:val="99"/>
              </w:rPr>
            </w:pPr>
            <w:r>
              <w:rPr>
                <w:rFonts w:eastAsia="Times New Roman"/>
                <w:w w:val="99"/>
              </w:rPr>
              <w:t>5%</w:t>
            </w:r>
          </w:p>
        </w:tc>
        <w:tc>
          <w:tcPr>
            <w:tcW w:w="960" w:type="dxa"/>
            <w:tcBorders>
              <w:right w:val="single" w:sz="8" w:space="0" w:color="auto"/>
            </w:tcBorders>
            <w:shd w:val="clear" w:color="auto" w:fill="auto"/>
            <w:vAlign w:val="bottom"/>
          </w:tcPr>
          <w:p w14:paraId="0EE08981" w14:textId="77777777" w:rsidR="00572BA3" w:rsidRDefault="00572BA3">
            <w:pPr>
              <w:spacing w:line="0" w:lineRule="atLeast"/>
              <w:jc w:val="center"/>
              <w:rPr>
                <w:rFonts w:eastAsia="Times New Roman"/>
                <w:w w:val="99"/>
              </w:rPr>
            </w:pPr>
            <w:r>
              <w:rPr>
                <w:rFonts w:eastAsia="Times New Roman"/>
                <w:w w:val="99"/>
              </w:rPr>
              <w:t>9</w:t>
            </w:r>
          </w:p>
        </w:tc>
        <w:tc>
          <w:tcPr>
            <w:tcW w:w="2100" w:type="dxa"/>
            <w:tcBorders>
              <w:right w:val="single" w:sz="8" w:space="0" w:color="auto"/>
            </w:tcBorders>
            <w:shd w:val="clear" w:color="auto" w:fill="auto"/>
            <w:vAlign w:val="bottom"/>
          </w:tcPr>
          <w:p w14:paraId="5707CC37" w14:textId="77777777" w:rsidR="00572BA3" w:rsidRDefault="00572BA3">
            <w:pPr>
              <w:spacing w:line="0" w:lineRule="atLeast"/>
              <w:jc w:val="center"/>
              <w:rPr>
                <w:rFonts w:eastAsia="Times New Roman"/>
                <w:w w:val="99"/>
              </w:rPr>
            </w:pPr>
            <w:r>
              <w:rPr>
                <w:rFonts w:eastAsia="Times New Roman"/>
                <w:w w:val="99"/>
              </w:rPr>
              <w:t>1,5%</w:t>
            </w:r>
          </w:p>
        </w:tc>
        <w:tc>
          <w:tcPr>
            <w:tcW w:w="1020" w:type="dxa"/>
            <w:tcBorders>
              <w:right w:val="single" w:sz="8" w:space="0" w:color="auto"/>
            </w:tcBorders>
            <w:shd w:val="clear" w:color="auto" w:fill="auto"/>
            <w:vAlign w:val="bottom"/>
          </w:tcPr>
          <w:p w14:paraId="61323637" w14:textId="77777777" w:rsidR="00572BA3" w:rsidRDefault="00572BA3">
            <w:pPr>
              <w:spacing w:line="0" w:lineRule="atLeast"/>
              <w:jc w:val="center"/>
              <w:rPr>
                <w:rFonts w:eastAsia="Times New Roman"/>
                <w:w w:val="99"/>
              </w:rPr>
            </w:pPr>
            <w:r>
              <w:rPr>
                <w:rFonts w:eastAsia="Times New Roman"/>
                <w:w w:val="99"/>
              </w:rPr>
              <w:t>4</w:t>
            </w:r>
          </w:p>
        </w:tc>
        <w:tc>
          <w:tcPr>
            <w:tcW w:w="2060" w:type="dxa"/>
            <w:tcBorders>
              <w:right w:val="single" w:sz="8" w:space="0" w:color="auto"/>
            </w:tcBorders>
            <w:shd w:val="clear" w:color="auto" w:fill="auto"/>
            <w:vAlign w:val="bottom"/>
          </w:tcPr>
          <w:p w14:paraId="5E56CCD2" w14:textId="77777777" w:rsidR="00572BA3" w:rsidRDefault="00572BA3">
            <w:pPr>
              <w:spacing w:line="0" w:lineRule="atLeast"/>
              <w:jc w:val="center"/>
              <w:rPr>
                <w:rFonts w:eastAsia="Times New Roman"/>
                <w:w w:val="99"/>
              </w:rPr>
            </w:pPr>
            <w:r>
              <w:rPr>
                <w:rFonts w:eastAsia="Times New Roman"/>
                <w:w w:val="99"/>
              </w:rPr>
              <w:t>1%</w:t>
            </w:r>
          </w:p>
        </w:tc>
      </w:tr>
      <w:tr w:rsidR="00572BA3" w14:paraId="4E06B8CC" w14:textId="77777777">
        <w:trPr>
          <w:trHeight w:val="276"/>
        </w:trPr>
        <w:tc>
          <w:tcPr>
            <w:tcW w:w="1000" w:type="dxa"/>
            <w:tcBorders>
              <w:left w:val="single" w:sz="8" w:space="0" w:color="auto"/>
              <w:right w:val="single" w:sz="8" w:space="0" w:color="auto"/>
            </w:tcBorders>
            <w:shd w:val="clear" w:color="auto" w:fill="auto"/>
            <w:vAlign w:val="bottom"/>
          </w:tcPr>
          <w:p w14:paraId="6C445530" w14:textId="77777777" w:rsidR="00572BA3" w:rsidRDefault="00572BA3">
            <w:pPr>
              <w:spacing w:line="0" w:lineRule="atLeast"/>
              <w:jc w:val="center"/>
              <w:rPr>
                <w:rFonts w:eastAsia="Times New Roman"/>
                <w:w w:val="99"/>
              </w:rPr>
            </w:pPr>
            <w:r>
              <w:rPr>
                <w:rFonts w:eastAsia="Times New Roman"/>
                <w:w w:val="99"/>
              </w:rPr>
              <w:t>11</w:t>
            </w:r>
          </w:p>
        </w:tc>
        <w:tc>
          <w:tcPr>
            <w:tcW w:w="2100" w:type="dxa"/>
            <w:tcBorders>
              <w:right w:val="single" w:sz="8" w:space="0" w:color="auto"/>
            </w:tcBorders>
            <w:shd w:val="clear" w:color="auto" w:fill="auto"/>
            <w:vAlign w:val="bottom"/>
          </w:tcPr>
          <w:p w14:paraId="148506F4" w14:textId="77777777" w:rsidR="00572BA3" w:rsidRDefault="00572BA3">
            <w:pPr>
              <w:spacing w:line="0" w:lineRule="atLeast"/>
              <w:jc w:val="center"/>
              <w:rPr>
                <w:rFonts w:eastAsia="Times New Roman"/>
                <w:w w:val="99"/>
              </w:rPr>
            </w:pPr>
            <w:r>
              <w:rPr>
                <w:rFonts w:eastAsia="Times New Roman"/>
                <w:w w:val="99"/>
              </w:rPr>
              <w:t>3,5%</w:t>
            </w:r>
          </w:p>
        </w:tc>
        <w:tc>
          <w:tcPr>
            <w:tcW w:w="960" w:type="dxa"/>
            <w:tcBorders>
              <w:right w:val="single" w:sz="8" w:space="0" w:color="auto"/>
            </w:tcBorders>
            <w:shd w:val="clear" w:color="auto" w:fill="auto"/>
            <w:vAlign w:val="bottom"/>
          </w:tcPr>
          <w:p w14:paraId="4E688380" w14:textId="77777777" w:rsidR="00572BA3" w:rsidRDefault="00572BA3">
            <w:pPr>
              <w:spacing w:line="0" w:lineRule="atLeast"/>
              <w:jc w:val="center"/>
              <w:rPr>
                <w:rFonts w:eastAsia="Times New Roman"/>
                <w:w w:val="99"/>
              </w:rPr>
            </w:pPr>
            <w:r>
              <w:rPr>
                <w:rFonts w:eastAsia="Times New Roman"/>
                <w:w w:val="99"/>
              </w:rPr>
              <w:t>15</w:t>
            </w:r>
          </w:p>
        </w:tc>
        <w:tc>
          <w:tcPr>
            <w:tcW w:w="2100" w:type="dxa"/>
            <w:tcBorders>
              <w:right w:val="single" w:sz="8" w:space="0" w:color="auto"/>
            </w:tcBorders>
            <w:shd w:val="clear" w:color="auto" w:fill="auto"/>
            <w:vAlign w:val="bottom"/>
          </w:tcPr>
          <w:p w14:paraId="1A899C92" w14:textId="77777777" w:rsidR="00572BA3" w:rsidRDefault="00572BA3">
            <w:pPr>
              <w:spacing w:line="0" w:lineRule="atLeast"/>
              <w:jc w:val="center"/>
              <w:rPr>
                <w:rFonts w:eastAsia="Times New Roman"/>
                <w:w w:val="99"/>
              </w:rPr>
            </w:pPr>
            <w:r>
              <w:rPr>
                <w:rFonts w:eastAsia="Times New Roman"/>
                <w:w w:val="99"/>
              </w:rPr>
              <w:t>0,5%</w:t>
            </w:r>
          </w:p>
        </w:tc>
        <w:tc>
          <w:tcPr>
            <w:tcW w:w="1020" w:type="dxa"/>
            <w:tcBorders>
              <w:right w:val="single" w:sz="8" w:space="0" w:color="auto"/>
            </w:tcBorders>
            <w:shd w:val="clear" w:color="auto" w:fill="auto"/>
            <w:vAlign w:val="bottom"/>
          </w:tcPr>
          <w:p w14:paraId="2C484310" w14:textId="77777777" w:rsidR="00572BA3" w:rsidRDefault="00572BA3">
            <w:pPr>
              <w:spacing w:line="0" w:lineRule="atLeast"/>
              <w:jc w:val="center"/>
              <w:rPr>
                <w:rFonts w:eastAsia="Times New Roman"/>
              </w:rPr>
            </w:pPr>
            <w:r>
              <w:rPr>
                <w:rFonts w:eastAsia="Times New Roman"/>
              </w:rPr>
              <w:t>&gt;4</w:t>
            </w:r>
          </w:p>
        </w:tc>
        <w:tc>
          <w:tcPr>
            <w:tcW w:w="2060" w:type="dxa"/>
            <w:tcBorders>
              <w:right w:val="single" w:sz="8" w:space="0" w:color="auto"/>
            </w:tcBorders>
            <w:shd w:val="clear" w:color="auto" w:fill="auto"/>
            <w:vAlign w:val="bottom"/>
          </w:tcPr>
          <w:p w14:paraId="6B41953A" w14:textId="77777777" w:rsidR="00572BA3" w:rsidRDefault="00572BA3">
            <w:pPr>
              <w:spacing w:line="0" w:lineRule="atLeast"/>
              <w:jc w:val="center"/>
              <w:rPr>
                <w:rFonts w:eastAsia="Times New Roman"/>
                <w:w w:val="99"/>
              </w:rPr>
            </w:pPr>
            <w:r>
              <w:rPr>
                <w:rFonts w:eastAsia="Times New Roman"/>
                <w:w w:val="99"/>
              </w:rPr>
              <w:t>0,5%</w:t>
            </w:r>
          </w:p>
        </w:tc>
      </w:tr>
      <w:tr w:rsidR="00572BA3" w14:paraId="0F341C64" w14:textId="77777777">
        <w:trPr>
          <w:trHeight w:val="276"/>
        </w:trPr>
        <w:tc>
          <w:tcPr>
            <w:tcW w:w="1000" w:type="dxa"/>
            <w:tcBorders>
              <w:left w:val="single" w:sz="8" w:space="0" w:color="auto"/>
              <w:right w:val="single" w:sz="8" w:space="0" w:color="auto"/>
            </w:tcBorders>
            <w:shd w:val="clear" w:color="auto" w:fill="auto"/>
            <w:vAlign w:val="bottom"/>
          </w:tcPr>
          <w:p w14:paraId="72EC4525" w14:textId="77777777" w:rsidR="00572BA3" w:rsidRDefault="00572BA3">
            <w:pPr>
              <w:spacing w:line="0" w:lineRule="atLeast"/>
              <w:jc w:val="center"/>
              <w:rPr>
                <w:rFonts w:eastAsia="Times New Roman"/>
                <w:w w:val="99"/>
              </w:rPr>
            </w:pPr>
            <w:r>
              <w:rPr>
                <w:rFonts w:eastAsia="Times New Roman"/>
                <w:w w:val="99"/>
              </w:rPr>
              <w:t>13</w:t>
            </w:r>
          </w:p>
        </w:tc>
        <w:tc>
          <w:tcPr>
            <w:tcW w:w="2100" w:type="dxa"/>
            <w:tcBorders>
              <w:right w:val="single" w:sz="8" w:space="0" w:color="auto"/>
            </w:tcBorders>
            <w:shd w:val="clear" w:color="auto" w:fill="auto"/>
            <w:vAlign w:val="bottom"/>
          </w:tcPr>
          <w:p w14:paraId="6D2590E1" w14:textId="77777777" w:rsidR="00572BA3" w:rsidRDefault="00572BA3">
            <w:pPr>
              <w:spacing w:line="0" w:lineRule="atLeast"/>
              <w:jc w:val="center"/>
              <w:rPr>
                <w:rFonts w:eastAsia="Times New Roman"/>
                <w:w w:val="99"/>
              </w:rPr>
            </w:pPr>
            <w:r>
              <w:rPr>
                <w:rFonts w:eastAsia="Times New Roman"/>
                <w:w w:val="99"/>
              </w:rPr>
              <w:t>3%</w:t>
            </w:r>
          </w:p>
        </w:tc>
        <w:tc>
          <w:tcPr>
            <w:tcW w:w="960" w:type="dxa"/>
            <w:tcBorders>
              <w:right w:val="single" w:sz="8" w:space="0" w:color="auto"/>
            </w:tcBorders>
            <w:shd w:val="clear" w:color="auto" w:fill="auto"/>
            <w:vAlign w:val="bottom"/>
          </w:tcPr>
          <w:p w14:paraId="5533EC11" w14:textId="77777777" w:rsidR="00572BA3" w:rsidRDefault="00572BA3">
            <w:pPr>
              <w:spacing w:line="0" w:lineRule="atLeast"/>
              <w:jc w:val="center"/>
              <w:rPr>
                <w:rFonts w:eastAsia="Times New Roman"/>
              </w:rPr>
            </w:pPr>
            <w:r>
              <w:rPr>
                <w:rFonts w:eastAsia="Times New Roman"/>
              </w:rPr>
              <w:t>&gt;15</w:t>
            </w:r>
          </w:p>
        </w:tc>
        <w:tc>
          <w:tcPr>
            <w:tcW w:w="2100" w:type="dxa"/>
            <w:tcBorders>
              <w:right w:val="single" w:sz="8" w:space="0" w:color="auto"/>
            </w:tcBorders>
            <w:shd w:val="clear" w:color="auto" w:fill="auto"/>
            <w:vAlign w:val="bottom"/>
          </w:tcPr>
          <w:p w14:paraId="43F42A68" w14:textId="77777777" w:rsidR="00572BA3" w:rsidRDefault="00572BA3">
            <w:pPr>
              <w:spacing w:line="0" w:lineRule="atLeast"/>
              <w:jc w:val="center"/>
              <w:rPr>
                <w:rFonts w:eastAsia="Times New Roman"/>
                <w:w w:val="99"/>
              </w:rPr>
            </w:pPr>
            <w:r>
              <w:rPr>
                <w:rFonts w:eastAsia="Times New Roman"/>
                <w:w w:val="99"/>
              </w:rPr>
              <w:t>0,5%</w:t>
            </w:r>
          </w:p>
        </w:tc>
        <w:tc>
          <w:tcPr>
            <w:tcW w:w="1020" w:type="dxa"/>
            <w:tcBorders>
              <w:right w:val="single" w:sz="8" w:space="0" w:color="auto"/>
            </w:tcBorders>
            <w:shd w:val="clear" w:color="auto" w:fill="auto"/>
            <w:vAlign w:val="bottom"/>
          </w:tcPr>
          <w:p w14:paraId="090BB6A5" w14:textId="77777777" w:rsidR="00572BA3" w:rsidRDefault="00572BA3">
            <w:pPr>
              <w:spacing w:line="0" w:lineRule="atLeast"/>
              <w:rPr>
                <w:rFonts w:eastAsia="Times New Roman"/>
              </w:rPr>
            </w:pPr>
          </w:p>
        </w:tc>
        <w:tc>
          <w:tcPr>
            <w:tcW w:w="2060" w:type="dxa"/>
            <w:tcBorders>
              <w:right w:val="single" w:sz="8" w:space="0" w:color="auto"/>
            </w:tcBorders>
            <w:shd w:val="clear" w:color="auto" w:fill="auto"/>
            <w:vAlign w:val="bottom"/>
          </w:tcPr>
          <w:p w14:paraId="216A89C5" w14:textId="77777777" w:rsidR="00572BA3" w:rsidRDefault="00572BA3">
            <w:pPr>
              <w:spacing w:line="0" w:lineRule="atLeast"/>
              <w:rPr>
                <w:rFonts w:eastAsia="Times New Roman"/>
              </w:rPr>
            </w:pPr>
          </w:p>
        </w:tc>
      </w:tr>
      <w:tr w:rsidR="00572BA3" w14:paraId="2CE5FB2B" w14:textId="77777777">
        <w:trPr>
          <w:trHeight w:val="277"/>
        </w:trPr>
        <w:tc>
          <w:tcPr>
            <w:tcW w:w="1000" w:type="dxa"/>
            <w:tcBorders>
              <w:left w:val="single" w:sz="8" w:space="0" w:color="auto"/>
              <w:right w:val="single" w:sz="8" w:space="0" w:color="auto"/>
            </w:tcBorders>
            <w:shd w:val="clear" w:color="auto" w:fill="auto"/>
            <w:vAlign w:val="bottom"/>
          </w:tcPr>
          <w:p w14:paraId="5D31E94A" w14:textId="77777777" w:rsidR="00572BA3" w:rsidRDefault="00572BA3">
            <w:pPr>
              <w:spacing w:line="0" w:lineRule="atLeast"/>
              <w:jc w:val="center"/>
              <w:rPr>
                <w:rFonts w:eastAsia="Times New Roman"/>
                <w:w w:val="99"/>
              </w:rPr>
            </w:pPr>
            <w:r>
              <w:rPr>
                <w:rFonts w:eastAsia="Times New Roman"/>
                <w:w w:val="99"/>
              </w:rPr>
              <w:t>17</w:t>
            </w:r>
          </w:p>
        </w:tc>
        <w:tc>
          <w:tcPr>
            <w:tcW w:w="2100" w:type="dxa"/>
            <w:tcBorders>
              <w:right w:val="single" w:sz="8" w:space="0" w:color="auto"/>
            </w:tcBorders>
            <w:shd w:val="clear" w:color="auto" w:fill="auto"/>
            <w:vAlign w:val="bottom"/>
          </w:tcPr>
          <w:p w14:paraId="5ECFA83A" w14:textId="77777777" w:rsidR="00572BA3" w:rsidRDefault="00572BA3">
            <w:pPr>
              <w:spacing w:line="0" w:lineRule="atLeast"/>
              <w:jc w:val="center"/>
              <w:rPr>
                <w:rFonts w:eastAsia="Times New Roman"/>
                <w:w w:val="99"/>
              </w:rPr>
            </w:pPr>
            <w:r>
              <w:rPr>
                <w:rFonts w:eastAsia="Times New Roman"/>
                <w:w w:val="99"/>
              </w:rPr>
              <w:t>2%</w:t>
            </w:r>
          </w:p>
        </w:tc>
        <w:tc>
          <w:tcPr>
            <w:tcW w:w="960" w:type="dxa"/>
            <w:tcBorders>
              <w:right w:val="single" w:sz="8" w:space="0" w:color="auto"/>
            </w:tcBorders>
            <w:shd w:val="clear" w:color="auto" w:fill="auto"/>
            <w:vAlign w:val="bottom"/>
          </w:tcPr>
          <w:p w14:paraId="5F75ABEF" w14:textId="77777777" w:rsidR="00572BA3" w:rsidRDefault="00572BA3">
            <w:pPr>
              <w:spacing w:line="0" w:lineRule="atLeast"/>
              <w:rPr>
                <w:rFonts w:eastAsia="Times New Roman"/>
              </w:rPr>
            </w:pPr>
          </w:p>
        </w:tc>
        <w:tc>
          <w:tcPr>
            <w:tcW w:w="2100" w:type="dxa"/>
            <w:tcBorders>
              <w:right w:val="single" w:sz="8" w:space="0" w:color="auto"/>
            </w:tcBorders>
            <w:shd w:val="clear" w:color="auto" w:fill="auto"/>
            <w:vAlign w:val="bottom"/>
          </w:tcPr>
          <w:p w14:paraId="4051DB1F" w14:textId="77777777" w:rsidR="00572BA3" w:rsidRDefault="00572BA3">
            <w:pPr>
              <w:spacing w:line="0" w:lineRule="atLeast"/>
              <w:rPr>
                <w:rFonts w:eastAsia="Times New Roman"/>
              </w:rPr>
            </w:pPr>
          </w:p>
        </w:tc>
        <w:tc>
          <w:tcPr>
            <w:tcW w:w="1020" w:type="dxa"/>
            <w:tcBorders>
              <w:right w:val="single" w:sz="8" w:space="0" w:color="auto"/>
            </w:tcBorders>
            <w:shd w:val="clear" w:color="auto" w:fill="auto"/>
            <w:vAlign w:val="bottom"/>
          </w:tcPr>
          <w:p w14:paraId="1F50124D" w14:textId="77777777" w:rsidR="00572BA3" w:rsidRDefault="00572BA3">
            <w:pPr>
              <w:spacing w:line="0" w:lineRule="atLeast"/>
              <w:rPr>
                <w:rFonts w:eastAsia="Times New Roman"/>
              </w:rPr>
            </w:pPr>
          </w:p>
        </w:tc>
        <w:tc>
          <w:tcPr>
            <w:tcW w:w="2060" w:type="dxa"/>
            <w:tcBorders>
              <w:right w:val="single" w:sz="8" w:space="0" w:color="auto"/>
            </w:tcBorders>
            <w:shd w:val="clear" w:color="auto" w:fill="auto"/>
            <w:vAlign w:val="bottom"/>
          </w:tcPr>
          <w:p w14:paraId="5DDAC5E0" w14:textId="77777777" w:rsidR="00572BA3" w:rsidRDefault="00572BA3">
            <w:pPr>
              <w:spacing w:line="0" w:lineRule="atLeast"/>
              <w:rPr>
                <w:rFonts w:eastAsia="Times New Roman"/>
              </w:rPr>
            </w:pPr>
          </w:p>
        </w:tc>
      </w:tr>
      <w:tr w:rsidR="00572BA3" w14:paraId="514761FE" w14:textId="77777777">
        <w:trPr>
          <w:trHeight w:val="276"/>
        </w:trPr>
        <w:tc>
          <w:tcPr>
            <w:tcW w:w="1000" w:type="dxa"/>
            <w:tcBorders>
              <w:left w:val="single" w:sz="8" w:space="0" w:color="auto"/>
              <w:right w:val="single" w:sz="8" w:space="0" w:color="auto"/>
            </w:tcBorders>
            <w:shd w:val="clear" w:color="auto" w:fill="auto"/>
            <w:vAlign w:val="bottom"/>
          </w:tcPr>
          <w:p w14:paraId="0DE15D77" w14:textId="77777777" w:rsidR="00572BA3" w:rsidRDefault="00572BA3">
            <w:pPr>
              <w:spacing w:line="0" w:lineRule="atLeast"/>
              <w:jc w:val="center"/>
              <w:rPr>
                <w:rFonts w:eastAsia="Times New Roman"/>
                <w:w w:val="99"/>
              </w:rPr>
            </w:pPr>
            <w:r>
              <w:rPr>
                <w:rFonts w:eastAsia="Times New Roman"/>
                <w:w w:val="99"/>
              </w:rPr>
              <w:t>19</w:t>
            </w:r>
          </w:p>
        </w:tc>
        <w:tc>
          <w:tcPr>
            <w:tcW w:w="2100" w:type="dxa"/>
            <w:tcBorders>
              <w:right w:val="single" w:sz="8" w:space="0" w:color="auto"/>
            </w:tcBorders>
            <w:shd w:val="clear" w:color="auto" w:fill="auto"/>
            <w:vAlign w:val="bottom"/>
          </w:tcPr>
          <w:p w14:paraId="19CB6497" w14:textId="77777777" w:rsidR="00572BA3" w:rsidRDefault="00572BA3">
            <w:pPr>
              <w:spacing w:line="0" w:lineRule="atLeast"/>
              <w:jc w:val="center"/>
              <w:rPr>
                <w:rFonts w:eastAsia="Times New Roman"/>
                <w:w w:val="99"/>
              </w:rPr>
            </w:pPr>
            <w:r>
              <w:rPr>
                <w:rFonts w:eastAsia="Times New Roman"/>
                <w:w w:val="99"/>
              </w:rPr>
              <w:t>1,5%</w:t>
            </w:r>
          </w:p>
        </w:tc>
        <w:tc>
          <w:tcPr>
            <w:tcW w:w="960" w:type="dxa"/>
            <w:tcBorders>
              <w:right w:val="single" w:sz="8" w:space="0" w:color="auto"/>
            </w:tcBorders>
            <w:shd w:val="clear" w:color="auto" w:fill="auto"/>
            <w:vAlign w:val="bottom"/>
          </w:tcPr>
          <w:p w14:paraId="2ADEBDD6" w14:textId="77777777" w:rsidR="00572BA3" w:rsidRDefault="00572BA3">
            <w:pPr>
              <w:spacing w:line="0" w:lineRule="atLeast"/>
              <w:rPr>
                <w:rFonts w:eastAsia="Times New Roman"/>
              </w:rPr>
            </w:pPr>
          </w:p>
        </w:tc>
        <w:tc>
          <w:tcPr>
            <w:tcW w:w="2100" w:type="dxa"/>
            <w:tcBorders>
              <w:right w:val="single" w:sz="8" w:space="0" w:color="auto"/>
            </w:tcBorders>
            <w:shd w:val="clear" w:color="auto" w:fill="auto"/>
            <w:vAlign w:val="bottom"/>
          </w:tcPr>
          <w:p w14:paraId="3E25916F" w14:textId="77777777" w:rsidR="00572BA3" w:rsidRDefault="00572BA3">
            <w:pPr>
              <w:spacing w:line="0" w:lineRule="atLeast"/>
              <w:rPr>
                <w:rFonts w:eastAsia="Times New Roman"/>
              </w:rPr>
            </w:pPr>
          </w:p>
        </w:tc>
        <w:tc>
          <w:tcPr>
            <w:tcW w:w="1020" w:type="dxa"/>
            <w:tcBorders>
              <w:right w:val="single" w:sz="8" w:space="0" w:color="auto"/>
            </w:tcBorders>
            <w:shd w:val="clear" w:color="auto" w:fill="auto"/>
            <w:vAlign w:val="bottom"/>
          </w:tcPr>
          <w:p w14:paraId="42492F3C" w14:textId="77777777" w:rsidR="00572BA3" w:rsidRDefault="00572BA3">
            <w:pPr>
              <w:spacing w:line="0" w:lineRule="atLeast"/>
              <w:rPr>
                <w:rFonts w:eastAsia="Times New Roman"/>
              </w:rPr>
            </w:pPr>
          </w:p>
        </w:tc>
        <w:tc>
          <w:tcPr>
            <w:tcW w:w="2060" w:type="dxa"/>
            <w:tcBorders>
              <w:right w:val="single" w:sz="8" w:space="0" w:color="auto"/>
            </w:tcBorders>
            <w:shd w:val="clear" w:color="auto" w:fill="auto"/>
            <w:vAlign w:val="bottom"/>
          </w:tcPr>
          <w:p w14:paraId="0CA5D775" w14:textId="77777777" w:rsidR="00572BA3" w:rsidRDefault="00572BA3">
            <w:pPr>
              <w:spacing w:line="0" w:lineRule="atLeast"/>
              <w:rPr>
                <w:rFonts w:eastAsia="Times New Roman"/>
              </w:rPr>
            </w:pPr>
          </w:p>
        </w:tc>
      </w:tr>
      <w:tr w:rsidR="00572BA3" w14:paraId="59E0D931" w14:textId="77777777">
        <w:trPr>
          <w:trHeight w:val="276"/>
        </w:trPr>
        <w:tc>
          <w:tcPr>
            <w:tcW w:w="1000" w:type="dxa"/>
            <w:tcBorders>
              <w:left w:val="single" w:sz="8" w:space="0" w:color="auto"/>
              <w:right w:val="single" w:sz="8" w:space="0" w:color="auto"/>
            </w:tcBorders>
            <w:shd w:val="clear" w:color="auto" w:fill="auto"/>
            <w:vAlign w:val="bottom"/>
          </w:tcPr>
          <w:p w14:paraId="3A8739D8" w14:textId="77777777" w:rsidR="00572BA3" w:rsidRDefault="00572BA3">
            <w:pPr>
              <w:spacing w:line="0" w:lineRule="atLeast"/>
              <w:jc w:val="center"/>
              <w:rPr>
                <w:rFonts w:eastAsia="Times New Roman"/>
                <w:w w:val="99"/>
              </w:rPr>
            </w:pPr>
            <w:r>
              <w:rPr>
                <w:rFonts w:eastAsia="Times New Roman"/>
                <w:w w:val="99"/>
              </w:rPr>
              <w:t>23</w:t>
            </w:r>
          </w:p>
        </w:tc>
        <w:tc>
          <w:tcPr>
            <w:tcW w:w="2100" w:type="dxa"/>
            <w:tcBorders>
              <w:right w:val="single" w:sz="8" w:space="0" w:color="auto"/>
            </w:tcBorders>
            <w:shd w:val="clear" w:color="auto" w:fill="auto"/>
            <w:vAlign w:val="bottom"/>
          </w:tcPr>
          <w:p w14:paraId="70C2F4DF" w14:textId="77777777" w:rsidR="00572BA3" w:rsidRDefault="00572BA3">
            <w:pPr>
              <w:spacing w:line="0" w:lineRule="atLeast"/>
              <w:jc w:val="center"/>
              <w:rPr>
                <w:rFonts w:eastAsia="Times New Roman"/>
                <w:w w:val="99"/>
              </w:rPr>
            </w:pPr>
            <w:r>
              <w:rPr>
                <w:rFonts w:eastAsia="Times New Roman"/>
                <w:w w:val="99"/>
              </w:rPr>
              <w:t>1,5%</w:t>
            </w:r>
          </w:p>
        </w:tc>
        <w:tc>
          <w:tcPr>
            <w:tcW w:w="960" w:type="dxa"/>
            <w:tcBorders>
              <w:right w:val="single" w:sz="8" w:space="0" w:color="auto"/>
            </w:tcBorders>
            <w:shd w:val="clear" w:color="auto" w:fill="auto"/>
            <w:vAlign w:val="bottom"/>
          </w:tcPr>
          <w:p w14:paraId="02391450" w14:textId="77777777" w:rsidR="00572BA3" w:rsidRDefault="00572BA3">
            <w:pPr>
              <w:spacing w:line="0" w:lineRule="atLeast"/>
              <w:rPr>
                <w:rFonts w:eastAsia="Times New Roman"/>
              </w:rPr>
            </w:pPr>
          </w:p>
        </w:tc>
        <w:tc>
          <w:tcPr>
            <w:tcW w:w="2100" w:type="dxa"/>
            <w:tcBorders>
              <w:right w:val="single" w:sz="8" w:space="0" w:color="auto"/>
            </w:tcBorders>
            <w:shd w:val="clear" w:color="auto" w:fill="auto"/>
            <w:vAlign w:val="bottom"/>
          </w:tcPr>
          <w:p w14:paraId="62CCF9EE" w14:textId="77777777" w:rsidR="00572BA3" w:rsidRDefault="00572BA3">
            <w:pPr>
              <w:spacing w:line="0" w:lineRule="atLeast"/>
              <w:rPr>
                <w:rFonts w:eastAsia="Times New Roman"/>
              </w:rPr>
            </w:pPr>
          </w:p>
        </w:tc>
        <w:tc>
          <w:tcPr>
            <w:tcW w:w="1020" w:type="dxa"/>
            <w:tcBorders>
              <w:right w:val="single" w:sz="8" w:space="0" w:color="auto"/>
            </w:tcBorders>
            <w:shd w:val="clear" w:color="auto" w:fill="auto"/>
            <w:vAlign w:val="bottom"/>
          </w:tcPr>
          <w:p w14:paraId="6C9D1A7E" w14:textId="77777777" w:rsidR="00572BA3" w:rsidRDefault="00572BA3">
            <w:pPr>
              <w:spacing w:line="0" w:lineRule="atLeast"/>
              <w:rPr>
                <w:rFonts w:eastAsia="Times New Roman"/>
              </w:rPr>
            </w:pPr>
          </w:p>
        </w:tc>
        <w:tc>
          <w:tcPr>
            <w:tcW w:w="2060" w:type="dxa"/>
            <w:tcBorders>
              <w:right w:val="single" w:sz="8" w:space="0" w:color="auto"/>
            </w:tcBorders>
            <w:shd w:val="clear" w:color="auto" w:fill="auto"/>
            <w:vAlign w:val="bottom"/>
          </w:tcPr>
          <w:p w14:paraId="620E4E5B" w14:textId="77777777" w:rsidR="00572BA3" w:rsidRDefault="00572BA3">
            <w:pPr>
              <w:spacing w:line="0" w:lineRule="atLeast"/>
              <w:rPr>
                <w:rFonts w:eastAsia="Times New Roman"/>
              </w:rPr>
            </w:pPr>
          </w:p>
        </w:tc>
      </w:tr>
      <w:tr w:rsidR="00572BA3" w14:paraId="72E1B2B4" w14:textId="77777777">
        <w:trPr>
          <w:trHeight w:val="295"/>
        </w:trPr>
        <w:tc>
          <w:tcPr>
            <w:tcW w:w="1000" w:type="dxa"/>
            <w:tcBorders>
              <w:left w:val="single" w:sz="8" w:space="0" w:color="auto"/>
              <w:bottom w:val="single" w:sz="8" w:space="0" w:color="auto"/>
              <w:right w:val="single" w:sz="8" w:space="0" w:color="auto"/>
            </w:tcBorders>
            <w:shd w:val="clear" w:color="auto" w:fill="auto"/>
            <w:vAlign w:val="bottom"/>
          </w:tcPr>
          <w:p w14:paraId="21F9085E" w14:textId="77777777" w:rsidR="00572BA3" w:rsidRDefault="00572BA3">
            <w:pPr>
              <w:spacing w:line="0" w:lineRule="atLeast"/>
              <w:jc w:val="center"/>
              <w:rPr>
                <w:rFonts w:eastAsia="Times New Roman"/>
                <w:w w:val="99"/>
              </w:rPr>
            </w:pPr>
            <w:r>
              <w:rPr>
                <w:rFonts w:eastAsia="Times New Roman"/>
                <w:w w:val="99"/>
              </w:rPr>
              <w:t>25</w:t>
            </w:r>
          </w:p>
        </w:tc>
        <w:tc>
          <w:tcPr>
            <w:tcW w:w="2100" w:type="dxa"/>
            <w:tcBorders>
              <w:bottom w:val="single" w:sz="8" w:space="0" w:color="auto"/>
              <w:right w:val="single" w:sz="8" w:space="0" w:color="auto"/>
            </w:tcBorders>
            <w:shd w:val="clear" w:color="auto" w:fill="auto"/>
            <w:vAlign w:val="bottom"/>
          </w:tcPr>
          <w:p w14:paraId="69C2B046" w14:textId="77777777" w:rsidR="00572BA3" w:rsidRDefault="00572BA3">
            <w:pPr>
              <w:spacing w:line="0" w:lineRule="atLeast"/>
              <w:jc w:val="center"/>
              <w:rPr>
                <w:rFonts w:eastAsia="Times New Roman"/>
                <w:w w:val="99"/>
              </w:rPr>
            </w:pPr>
            <w:r>
              <w:rPr>
                <w:rFonts w:eastAsia="Times New Roman"/>
                <w:w w:val="99"/>
              </w:rPr>
              <w:t>1,5%</w:t>
            </w:r>
          </w:p>
        </w:tc>
        <w:tc>
          <w:tcPr>
            <w:tcW w:w="960" w:type="dxa"/>
            <w:tcBorders>
              <w:bottom w:val="single" w:sz="8" w:space="0" w:color="auto"/>
              <w:right w:val="single" w:sz="8" w:space="0" w:color="auto"/>
            </w:tcBorders>
            <w:shd w:val="clear" w:color="auto" w:fill="auto"/>
            <w:vAlign w:val="bottom"/>
          </w:tcPr>
          <w:p w14:paraId="6CF15B1F" w14:textId="77777777" w:rsidR="00572BA3" w:rsidRDefault="00572BA3">
            <w:pPr>
              <w:spacing w:line="0" w:lineRule="atLeast"/>
              <w:rPr>
                <w:rFonts w:eastAsia="Times New Roman"/>
              </w:rPr>
            </w:pPr>
          </w:p>
        </w:tc>
        <w:tc>
          <w:tcPr>
            <w:tcW w:w="2100" w:type="dxa"/>
            <w:tcBorders>
              <w:bottom w:val="single" w:sz="8" w:space="0" w:color="auto"/>
              <w:right w:val="single" w:sz="8" w:space="0" w:color="auto"/>
            </w:tcBorders>
            <w:shd w:val="clear" w:color="auto" w:fill="auto"/>
            <w:vAlign w:val="bottom"/>
          </w:tcPr>
          <w:p w14:paraId="0241B179" w14:textId="77777777" w:rsidR="00572BA3" w:rsidRDefault="00572BA3">
            <w:pPr>
              <w:spacing w:line="0" w:lineRule="atLeast"/>
              <w:rPr>
                <w:rFonts w:eastAsia="Times New Roman"/>
              </w:rPr>
            </w:pPr>
          </w:p>
        </w:tc>
        <w:tc>
          <w:tcPr>
            <w:tcW w:w="1020" w:type="dxa"/>
            <w:tcBorders>
              <w:bottom w:val="single" w:sz="8" w:space="0" w:color="auto"/>
              <w:right w:val="single" w:sz="8" w:space="0" w:color="auto"/>
            </w:tcBorders>
            <w:shd w:val="clear" w:color="auto" w:fill="auto"/>
            <w:vAlign w:val="bottom"/>
          </w:tcPr>
          <w:p w14:paraId="2D421027" w14:textId="77777777" w:rsidR="00572BA3" w:rsidRDefault="00572BA3">
            <w:pPr>
              <w:spacing w:line="0" w:lineRule="atLeast"/>
              <w:rPr>
                <w:rFonts w:eastAsia="Times New Roman"/>
              </w:rPr>
            </w:pPr>
          </w:p>
        </w:tc>
        <w:tc>
          <w:tcPr>
            <w:tcW w:w="2060" w:type="dxa"/>
            <w:tcBorders>
              <w:bottom w:val="single" w:sz="8" w:space="0" w:color="auto"/>
              <w:right w:val="single" w:sz="8" w:space="0" w:color="auto"/>
            </w:tcBorders>
            <w:shd w:val="clear" w:color="auto" w:fill="auto"/>
            <w:vAlign w:val="bottom"/>
          </w:tcPr>
          <w:p w14:paraId="5A726D8D" w14:textId="77777777" w:rsidR="00572BA3" w:rsidRDefault="00572BA3">
            <w:pPr>
              <w:spacing w:line="0" w:lineRule="atLeast"/>
              <w:rPr>
                <w:rFonts w:eastAsia="Times New Roman"/>
              </w:rPr>
            </w:pPr>
          </w:p>
        </w:tc>
      </w:tr>
    </w:tbl>
    <w:p w14:paraId="5791A697" w14:textId="77777777" w:rsidR="00572BA3" w:rsidRDefault="00572BA3">
      <w:pPr>
        <w:spacing w:line="295" w:lineRule="exact"/>
        <w:rPr>
          <w:rFonts w:eastAsia="Times New Roman"/>
        </w:rPr>
      </w:pPr>
    </w:p>
    <w:p w14:paraId="09B0CACC" w14:textId="77777777" w:rsidR="00572BA3" w:rsidRDefault="00572BA3">
      <w:pPr>
        <w:spacing w:line="0" w:lineRule="atLeast"/>
        <w:ind w:left="280"/>
        <w:rPr>
          <w:rFonts w:eastAsia="Times New Roman"/>
          <w:i/>
        </w:rPr>
      </w:pPr>
    </w:p>
    <w:p w14:paraId="5E60A2B7" w14:textId="77777777" w:rsidR="00572BA3" w:rsidRDefault="00215949" w:rsidP="00E30771">
      <w:pPr>
        <w:spacing w:line="20" w:lineRule="exact"/>
        <w:rPr>
          <w:rFonts w:eastAsia="Times New Roman"/>
        </w:rPr>
      </w:pPr>
      <w:r>
        <w:rPr>
          <w:rFonts w:eastAsia="Times New Roman"/>
          <w:noProof/>
          <w:sz w:val="16"/>
        </w:rPr>
        <mc:AlternateContent>
          <mc:Choice Requires="wps">
            <w:drawing>
              <wp:anchor distT="0" distB="0" distL="114300" distR="114300" simplePos="0" relativeHeight="251657216" behindDoc="1" locked="0" layoutInCell="1" allowOverlap="1" wp14:anchorId="0A324B74" wp14:editId="46855C09">
                <wp:simplePos x="0" y="0"/>
                <wp:positionH relativeFrom="column">
                  <wp:posOffset>5979795</wp:posOffset>
                </wp:positionH>
                <wp:positionV relativeFrom="paragraph">
                  <wp:posOffset>-17780</wp:posOffset>
                </wp:positionV>
                <wp:extent cx="18415" cy="17780"/>
                <wp:effectExtent l="0" t="1270" r="2540" b="0"/>
                <wp:wrapNone/>
                <wp:docPr id="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7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A08466" id="Rectangle 112" o:spid="_x0000_s1026" style="position:absolute;margin-left:470.85pt;margin-top:-1.4pt;width:1.4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" fillcolor="black" strokecolor="white"/>
            </w:pict>
          </mc:Fallback>
        </mc:AlternateContent>
      </w:r>
    </w:p>
    <w:p w14:paraId="3C4F1F92" w14:textId="77777777" w:rsidR="00572BA3" w:rsidRDefault="00572BA3">
      <w:pPr>
        <w:numPr>
          <w:ilvl w:val="0"/>
          <w:numId w:val="115"/>
        </w:numPr>
        <w:tabs>
          <w:tab w:val="clear" w:pos="1626"/>
        </w:tabs>
        <w:spacing w:line="237" w:lineRule="auto"/>
        <w:ind w:left="1418" w:right="80" w:hanging="284"/>
        <w:jc w:val="both"/>
        <w:rPr>
          <w:rFonts w:eastAsia="Times New Roman"/>
        </w:rPr>
      </w:pPr>
      <w:r>
        <w:rPr>
          <w:rFonts w:eastAsia="Times New Roman"/>
        </w:rPr>
        <w:t>współczynnik odkształcenia harmonicznymi napięcia zasilającego THD, uwzględniający wyższe harmoniczne do rzędu 40, powinien mniejszy lub równy 8 % dla sieci napięciu znamionowym mniejszym od 110 kV,</w:t>
      </w:r>
    </w:p>
    <w:p w14:paraId="427AFCC1" w14:textId="77777777" w:rsidR="00572BA3" w:rsidRDefault="00572BA3">
      <w:pPr>
        <w:spacing w:line="134" w:lineRule="exact"/>
        <w:rPr>
          <w:rFonts w:eastAsia="Times New Roman"/>
        </w:rPr>
      </w:pPr>
    </w:p>
    <w:p w14:paraId="033F545B" w14:textId="17097B85" w:rsidR="00572BA3" w:rsidRPr="007E796E" w:rsidRDefault="00572BA3">
      <w:pPr>
        <w:spacing w:line="249" w:lineRule="auto"/>
        <w:ind w:left="1360" w:right="80"/>
        <w:jc w:val="both"/>
        <w:rPr>
          <w:rFonts w:eastAsia="Times New Roman"/>
          <w:szCs w:val="24"/>
        </w:rPr>
      </w:pPr>
      <w:r w:rsidRPr="007E796E">
        <w:rPr>
          <w:rFonts w:eastAsia="Times New Roman"/>
          <w:szCs w:val="24"/>
        </w:rPr>
        <w:t>Warunkiem utrzymania parametrów napięcia zasilającego w granicach określonych w powyższych podpunktach 1)</w:t>
      </w:r>
      <w:r w:rsidR="0012048E">
        <w:rPr>
          <w:rFonts w:eastAsia="Times New Roman"/>
          <w:szCs w:val="24"/>
        </w:rPr>
        <w:t xml:space="preserve"> </w:t>
      </w:r>
      <w:r w:rsidRPr="007E796E">
        <w:rPr>
          <w:rFonts w:eastAsia="Times New Roman"/>
          <w:szCs w:val="24"/>
        </w:rPr>
        <w:t>-</w:t>
      </w:r>
      <w:r w:rsidR="0012048E">
        <w:rPr>
          <w:rFonts w:eastAsia="Times New Roman"/>
          <w:szCs w:val="24"/>
        </w:rPr>
        <w:t xml:space="preserve"> </w:t>
      </w:r>
      <w:r w:rsidRPr="007E796E">
        <w:rPr>
          <w:rFonts w:eastAsia="Times New Roman"/>
          <w:szCs w:val="24"/>
        </w:rPr>
        <w:t>4), jest pobieranie przez odbiorcę mocy nie większej od mocy umownej, przy współczynniku tg</w:t>
      </w:r>
      <w:r w:rsidRPr="007E796E">
        <w:rPr>
          <w:rFonts w:ascii="Symbol" w:eastAsia="Symbol" w:hAnsi="Symbol"/>
          <w:szCs w:val="24"/>
        </w:rPr>
        <w:t></w:t>
      </w:r>
      <w:r w:rsidRPr="007E796E">
        <w:rPr>
          <w:rFonts w:eastAsia="Times New Roman"/>
          <w:szCs w:val="24"/>
        </w:rPr>
        <w:t xml:space="preserve"> nie większym </w:t>
      </w:r>
      <w:r w:rsidR="007E796E">
        <w:rPr>
          <w:rFonts w:eastAsia="Times New Roman"/>
          <w:szCs w:val="24"/>
        </w:rPr>
        <w:br/>
      </w:r>
      <w:r w:rsidRPr="007E796E">
        <w:rPr>
          <w:rFonts w:eastAsia="Times New Roman"/>
          <w:szCs w:val="24"/>
        </w:rPr>
        <w:t>niż 0,4.</w:t>
      </w:r>
    </w:p>
    <w:p w14:paraId="2F93CB2D" w14:textId="77777777" w:rsidR="00572BA3" w:rsidRDefault="00572BA3">
      <w:pPr>
        <w:spacing w:line="200" w:lineRule="exact"/>
        <w:rPr>
          <w:rFonts w:eastAsia="Times New Roman"/>
        </w:rPr>
      </w:pPr>
    </w:p>
    <w:p w14:paraId="53E645F4" w14:textId="77777777" w:rsidR="00572BA3" w:rsidRDefault="00572BA3">
      <w:pPr>
        <w:spacing w:line="200" w:lineRule="exact"/>
        <w:rPr>
          <w:rFonts w:eastAsia="Times New Roman"/>
        </w:rPr>
      </w:pPr>
    </w:p>
    <w:p w14:paraId="441692DB" w14:textId="77777777" w:rsidR="00572BA3" w:rsidRDefault="00572BA3" w:rsidP="00D84E71">
      <w:pPr>
        <w:pStyle w:val="Nagwek2"/>
        <w:ind w:left="851" w:hanging="851"/>
        <w:jc w:val="both"/>
      </w:pPr>
      <w:bookmarkStart w:id="63" w:name="_Toc141963903"/>
      <w:r>
        <w:t>VIII.2.</w:t>
      </w:r>
      <w:r>
        <w:tab/>
        <w:t>WSKAŹNIKI JAKOŚCI I NIEZAWODNOŚCI DOSTAW ENERGII ELEKTRYCZNEJ</w:t>
      </w:r>
      <w:bookmarkEnd w:id="63"/>
    </w:p>
    <w:p w14:paraId="310CC702" w14:textId="77777777" w:rsidR="00572BA3" w:rsidRDefault="00572BA3">
      <w:pPr>
        <w:spacing w:line="200" w:lineRule="exact"/>
        <w:rPr>
          <w:rFonts w:eastAsia="Times New Roman"/>
        </w:rPr>
      </w:pPr>
    </w:p>
    <w:p w14:paraId="523B5D56" w14:textId="77777777" w:rsidR="00572BA3" w:rsidRDefault="00572BA3">
      <w:pPr>
        <w:spacing w:line="325" w:lineRule="exact"/>
        <w:rPr>
          <w:rFonts w:eastAsia="Times New Roman"/>
        </w:rPr>
      </w:pPr>
    </w:p>
    <w:p w14:paraId="4A787C44" w14:textId="77777777" w:rsidR="00572BA3" w:rsidRDefault="00572BA3">
      <w:pPr>
        <w:tabs>
          <w:tab w:val="left" w:pos="1120"/>
        </w:tabs>
        <w:spacing w:line="234" w:lineRule="auto"/>
        <w:ind w:left="1140" w:hanging="1279"/>
        <w:rPr>
          <w:rFonts w:eastAsia="Times New Roman"/>
        </w:rPr>
      </w:pPr>
      <w:r>
        <w:rPr>
          <w:rFonts w:eastAsia="Times New Roman"/>
        </w:rPr>
        <w:t>VIII.2.1.</w:t>
      </w:r>
      <w:r>
        <w:rPr>
          <w:rFonts w:eastAsia="Times New Roman"/>
        </w:rPr>
        <w:tab/>
        <w:t>Przerwy w dostarczaniu energii elektrycznej, w zależności od czasu ich trwania, dzieli się na:</w:t>
      </w:r>
    </w:p>
    <w:p w14:paraId="0B44163F" w14:textId="77777777" w:rsidR="00572BA3" w:rsidRDefault="00572BA3">
      <w:pPr>
        <w:numPr>
          <w:ilvl w:val="0"/>
          <w:numId w:val="116"/>
        </w:numPr>
        <w:tabs>
          <w:tab w:val="clear" w:pos="1626"/>
        </w:tabs>
        <w:spacing w:line="0" w:lineRule="atLeast"/>
        <w:ind w:left="1276"/>
        <w:rPr>
          <w:rFonts w:eastAsia="Times New Roman"/>
        </w:rPr>
      </w:pPr>
      <w:r>
        <w:rPr>
          <w:rFonts w:eastAsia="Times New Roman"/>
        </w:rPr>
        <w:t>przemijające (mikroprzerwy), trwające nie dłużej niż 1 sekundę;</w:t>
      </w:r>
    </w:p>
    <w:p w14:paraId="4E1624AF" w14:textId="77777777" w:rsidR="00572BA3" w:rsidRDefault="00572BA3">
      <w:pPr>
        <w:numPr>
          <w:ilvl w:val="0"/>
          <w:numId w:val="116"/>
        </w:numPr>
        <w:tabs>
          <w:tab w:val="clear" w:pos="1626"/>
        </w:tabs>
        <w:spacing w:line="0" w:lineRule="atLeast"/>
        <w:ind w:left="1276"/>
        <w:rPr>
          <w:rFonts w:eastAsia="Times New Roman"/>
        </w:rPr>
      </w:pPr>
      <w:r>
        <w:rPr>
          <w:rFonts w:eastAsia="Times New Roman"/>
        </w:rPr>
        <w:t>krótkie, trwające dłużej niż 1 sekundę i nie dłużej niż 3 minuty;</w:t>
      </w:r>
    </w:p>
    <w:p w14:paraId="428A3773" w14:textId="77777777" w:rsidR="00572BA3" w:rsidRDefault="00572BA3">
      <w:pPr>
        <w:numPr>
          <w:ilvl w:val="0"/>
          <w:numId w:val="116"/>
        </w:numPr>
        <w:tabs>
          <w:tab w:val="clear" w:pos="1626"/>
        </w:tabs>
        <w:spacing w:line="0" w:lineRule="atLeast"/>
        <w:ind w:left="1276"/>
        <w:rPr>
          <w:rFonts w:eastAsia="Times New Roman"/>
        </w:rPr>
      </w:pPr>
      <w:r>
        <w:rPr>
          <w:rFonts w:eastAsia="Times New Roman"/>
        </w:rPr>
        <w:t>długie, trwające dłużej niż 3 minuty i nie dłużej niż 12 godzin;</w:t>
      </w:r>
    </w:p>
    <w:p w14:paraId="4B7E0381" w14:textId="77777777" w:rsidR="00572BA3" w:rsidRDefault="00572BA3">
      <w:pPr>
        <w:numPr>
          <w:ilvl w:val="0"/>
          <w:numId w:val="116"/>
        </w:numPr>
        <w:tabs>
          <w:tab w:val="clear" w:pos="1626"/>
        </w:tabs>
        <w:spacing w:line="0" w:lineRule="atLeast"/>
        <w:ind w:left="1276"/>
        <w:rPr>
          <w:rFonts w:eastAsia="Times New Roman"/>
        </w:rPr>
      </w:pPr>
      <w:r>
        <w:rPr>
          <w:rFonts w:eastAsia="Times New Roman"/>
        </w:rPr>
        <w:t>bardzo długie, trwające dłużej niż 12 godzin i nie dłużej niż 24 godziny;</w:t>
      </w:r>
    </w:p>
    <w:p w14:paraId="3C5945B4" w14:textId="77777777" w:rsidR="00572BA3" w:rsidRDefault="00572BA3">
      <w:pPr>
        <w:numPr>
          <w:ilvl w:val="0"/>
          <w:numId w:val="116"/>
        </w:numPr>
        <w:tabs>
          <w:tab w:val="clear" w:pos="1626"/>
        </w:tabs>
        <w:spacing w:line="0" w:lineRule="atLeast"/>
        <w:ind w:left="1276"/>
        <w:rPr>
          <w:rFonts w:eastAsia="Times New Roman"/>
        </w:rPr>
      </w:pPr>
      <w:r>
        <w:rPr>
          <w:rFonts w:eastAsia="Times New Roman"/>
        </w:rPr>
        <w:t>katastrofalne, trwające dłużej niż 24 godziny.</w:t>
      </w:r>
    </w:p>
    <w:p w14:paraId="47D3DC10" w14:textId="77777777" w:rsidR="00572BA3" w:rsidRDefault="00572BA3">
      <w:pPr>
        <w:tabs>
          <w:tab w:val="left" w:pos="1120"/>
        </w:tabs>
        <w:spacing w:line="234" w:lineRule="auto"/>
        <w:ind w:left="1140" w:hanging="1279"/>
        <w:jc w:val="both"/>
        <w:rPr>
          <w:rFonts w:eastAsia="Times New Roman"/>
        </w:rPr>
      </w:pPr>
      <w:r>
        <w:rPr>
          <w:rFonts w:eastAsia="Times New Roman"/>
        </w:rPr>
        <w:t>VIII.2.2.</w:t>
      </w:r>
      <w:r>
        <w:rPr>
          <w:rFonts w:eastAsia="Times New Roman"/>
        </w:rPr>
        <w:tab/>
        <w:t>Przerwa planowana, o której odbiorca nie został powiadomiony w formie, o której mowa w pkt.</w:t>
      </w:r>
      <w:r w:rsidR="00DD311E">
        <w:rPr>
          <w:rFonts w:eastAsia="Times New Roman"/>
        </w:rPr>
        <w:t xml:space="preserve"> </w:t>
      </w:r>
      <w:r>
        <w:rPr>
          <w:rFonts w:eastAsia="Times New Roman"/>
        </w:rPr>
        <w:t>VIII.4.1.4), jest traktowana jako przerwa nieplanowana</w:t>
      </w:r>
    </w:p>
    <w:p w14:paraId="25AE2B34" w14:textId="77777777" w:rsidR="00572BA3" w:rsidRPr="00FA49B5" w:rsidRDefault="00572BA3" w:rsidP="00E053E6">
      <w:pPr>
        <w:tabs>
          <w:tab w:val="left" w:pos="1120"/>
        </w:tabs>
        <w:spacing w:line="276" w:lineRule="auto"/>
        <w:ind w:left="1140" w:hanging="1279"/>
        <w:jc w:val="both"/>
        <w:rPr>
          <w:rFonts w:eastAsia="Times New Roman"/>
          <w:color w:val="000000"/>
        </w:rPr>
      </w:pPr>
      <w:r>
        <w:rPr>
          <w:rFonts w:eastAsia="Times New Roman"/>
        </w:rPr>
        <w:t>VIII.2.3.</w:t>
      </w:r>
      <w:r>
        <w:rPr>
          <w:rFonts w:eastAsia="Times New Roman"/>
        </w:rPr>
        <w:tab/>
        <w:t>Dla podmiotów zaliczanych do grup przyłączeniowych</w:t>
      </w:r>
      <w:r w:rsidR="00FF4816">
        <w:rPr>
          <w:rFonts w:eastAsia="Times New Roman"/>
        </w:rPr>
        <w:t xml:space="preserve"> </w:t>
      </w:r>
      <w:r>
        <w:rPr>
          <w:rFonts w:eastAsia="Times New Roman"/>
        </w:rPr>
        <w:t xml:space="preserve">III i VI dopuszczalny czas trwania jednorazowej przerwy planowanej i nieplanowanej w dostarczaniu energii </w:t>
      </w:r>
      <w:r w:rsidRPr="00FA49B5">
        <w:rPr>
          <w:rFonts w:eastAsia="Times New Roman"/>
          <w:color w:val="000000"/>
        </w:rPr>
        <w:t>elektrycznej oraz dopuszczalny łączny czas trwania w ciągu roku kalendarzowego wyłączeń planowanych i nieplanowanych określa umowa o świadczenie usług dystrybucji lub umowa kompleksowa.</w:t>
      </w:r>
    </w:p>
    <w:p w14:paraId="25BC381E" w14:textId="77777777" w:rsidR="00572BA3" w:rsidRPr="00FA49B5" w:rsidRDefault="00572BA3" w:rsidP="00E053E6">
      <w:pPr>
        <w:tabs>
          <w:tab w:val="left" w:pos="1120"/>
        </w:tabs>
        <w:spacing w:line="276" w:lineRule="auto"/>
        <w:ind w:left="1140" w:hanging="1279"/>
        <w:jc w:val="both"/>
        <w:rPr>
          <w:rFonts w:eastAsia="Times New Roman"/>
          <w:color w:val="000000"/>
        </w:rPr>
      </w:pPr>
      <w:r w:rsidRPr="00FA49B5">
        <w:rPr>
          <w:rFonts w:eastAsia="Times New Roman"/>
          <w:color w:val="000000"/>
        </w:rPr>
        <w:t>VIII.2.4.</w:t>
      </w:r>
      <w:r w:rsidRPr="00FA49B5">
        <w:rPr>
          <w:rFonts w:eastAsia="Times New Roman"/>
          <w:color w:val="000000"/>
        </w:rPr>
        <w:tab/>
        <w:t>Dla podmiotów zaliczanych do grup przyłączeniowych IV i V dopuszczalny czas trwania:</w:t>
      </w:r>
    </w:p>
    <w:p w14:paraId="40C1A2A7" w14:textId="77777777" w:rsidR="00572BA3" w:rsidRPr="00FA49B5" w:rsidRDefault="00572BA3">
      <w:pPr>
        <w:numPr>
          <w:ilvl w:val="0"/>
          <w:numId w:val="117"/>
        </w:numPr>
        <w:tabs>
          <w:tab w:val="clear" w:pos="1626"/>
        </w:tabs>
        <w:spacing w:line="276" w:lineRule="auto"/>
        <w:ind w:left="1418" w:hanging="142"/>
        <w:jc w:val="both"/>
        <w:rPr>
          <w:rFonts w:eastAsia="Times New Roman"/>
          <w:color w:val="000000"/>
        </w:rPr>
      </w:pPr>
      <w:r w:rsidRPr="00FA49B5">
        <w:rPr>
          <w:rFonts w:eastAsia="Times New Roman"/>
          <w:color w:val="000000"/>
        </w:rPr>
        <w:lastRenderedPageBreak/>
        <w:t>jednorazowej przerwy w dostarczaniu energii elektrycznej nie może przekroczyć w przypadku:</w:t>
      </w:r>
    </w:p>
    <w:p w14:paraId="5F89ACA5" w14:textId="77777777" w:rsidR="00572BA3" w:rsidRPr="00FA49B5" w:rsidRDefault="00572BA3">
      <w:pPr>
        <w:numPr>
          <w:ilvl w:val="1"/>
          <w:numId w:val="117"/>
        </w:numPr>
        <w:spacing w:line="276" w:lineRule="auto"/>
        <w:ind w:left="1701" w:hanging="283"/>
        <w:jc w:val="both"/>
        <w:rPr>
          <w:rFonts w:eastAsia="Times New Roman"/>
          <w:color w:val="000000"/>
        </w:rPr>
      </w:pPr>
      <w:r w:rsidRPr="00FA49B5">
        <w:rPr>
          <w:rFonts w:eastAsia="Times New Roman"/>
          <w:color w:val="000000"/>
        </w:rPr>
        <w:t>przerwy planowanej – 16 godzin,</w:t>
      </w:r>
    </w:p>
    <w:p w14:paraId="3FB116D3" w14:textId="77777777" w:rsidR="00572BA3" w:rsidRPr="00FA49B5" w:rsidRDefault="00572BA3">
      <w:pPr>
        <w:numPr>
          <w:ilvl w:val="1"/>
          <w:numId w:val="117"/>
        </w:numPr>
        <w:spacing w:line="276" w:lineRule="auto"/>
        <w:ind w:left="1701" w:hanging="283"/>
        <w:jc w:val="both"/>
        <w:rPr>
          <w:rFonts w:eastAsia="Times New Roman"/>
          <w:color w:val="000000"/>
        </w:rPr>
      </w:pPr>
      <w:r w:rsidRPr="00FA49B5">
        <w:rPr>
          <w:rFonts w:eastAsia="Times New Roman"/>
          <w:color w:val="000000"/>
        </w:rPr>
        <w:t>przerwy nieplanowanej – 24 godzin.</w:t>
      </w:r>
    </w:p>
    <w:p w14:paraId="07C5712D" w14:textId="77777777" w:rsidR="00572BA3" w:rsidRPr="00FA49B5" w:rsidRDefault="00572BA3">
      <w:pPr>
        <w:numPr>
          <w:ilvl w:val="0"/>
          <w:numId w:val="117"/>
        </w:numPr>
        <w:tabs>
          <w:tab w:val="clear" w:pos="1626"/>
        </w:tabs>
        <w:spacing w:line="276" w:lineRule="auto"/>
        <w:ind w:left="1560" w:hanging="284"/>
        <w:jc w:val="both"/>
        <w:rPr>
          <w:rFonts w:eastAsia="Times New Roman"/>
          <w:color w:val="000000"/>
        </w:rPr>
      </w:pPr>
      <w:r w:rsidRPr="00FA49B5">
        <w:rPr>
          <w:rFonts w:eastAsia="Times New Roman"/>
          <w:color w:val="000000"/>
        </w:rPr>
        <w:t>przerw w ciągu roku, stanowiący sumę czasów trwania przerw jednorazowych długich i bardzo długich nie może przekroczyć w przypadku:</w:t>
      </w:r>
    </w:p>
    <w:p w14:paraId="3C937AA1" w14:textId="77777777" w:rsidR="00572BA3" w:rsidRPr="00FA49B5" w:rsidRDefault="00572BA3">
      <w:pPr>
        <w:numPr>
          <w:ilvl w:val="1"/>
          <w:numId w:val="117"/>
        </w:numPr>
        <w:tabs>
          <w:tab w:val="left" w:pos="1820"/>
        </w:tabs>
        <w:spacing w:line="276" w:lineRule="auto"/>
        <w:ind w:left="1701" w:hanging="141"/>
        <w:jc w:val="both"/>
        <w:rPr>
          <w:rFonts w:eastAsia="Times New Roman"/>
          <w:color w:val="000000"/>
        </w:rPr>
      </w:pPr>
      <w:r w:rsidRPr="00FA49B5">
        <w:rPr>
          <w:rFonts w:eastAsia="Times New Roman"/>
          <w:color w:val="000000"/>
        </w:rPr>
        <w:t>przerw planowanych – 35 godzin,</w:t>
      </w:r>
    </w:p>
    <w:p w14:paraId="00D43D92" w14:textId="77777777" w:rsidR="00572BA3" w:rsidRPr="00FA49B5" w:rsidRDefault="00572BA3">
      <w:pPr>
        <w:numPr>
          <w:ilvl w:val="1"/>
          <w:numId w:val="117"/>
        </w:numPr>
        <w:tabs>
          <w:tab w:val="left" w:pos="1820"/>
        </w:tabs>
        <w:spacing w:line="276" w:lineRule="auto"/>
        <w:ind w:left="1701" w:hanging="141"/>
        <w:jc w:val="both"/>
        <w:rPr>
          <w:rFonts w:eastAsia="Times New Roman"/>
          <w:color w:val="000000"/>
        </w:rPr>
      </w:pPr>
      <w:r w:rsidRPr="00FA49B5">
        <w:rPr>
          <w:rFonts w:eastAsia="Times New Roman"/>
          <w:color w:val="000000"/>
        </w:rPr>
        <w:t>przerw nieplanowanych – 48 godzin.</w:t>
      </w:r>
    </w:p>
    <w:p w14:paraId="694ABDAA" w14:textId="77777777" w:rsidR="00572BA3" w:rsidRPr="00FA49B5" w:rsidRDefault="00572BA3" w:rsidP="00E053E6">
      <w:pPr>
        <w:tabs>
          <w:tab w:val="left" w:pos="1120"/>
        </w:tabs>
        <w:spacing w:line="276" w:lineRule="auto"/>
        <w:ind w:left="1140" w:hanging="1279"/>
        <w:jc w:val="both"/>
        <w:rPr>
          <w:rFonts w:eastAsia="Times New Roman"/>
          <w:color w:val="000000"/>
          <w:szCs w:val="24"/>
        </w:rPr>
      </w:pPr>
      <w:r w:rsidRPr="00FA49B5">
        <w:rPr>
          <w:rFonts w:eastAsia="Times New Roman"/>
          <w:color w:val="000000"/>
        </w:rPr>
        <w:t>VIII.2.5.</w:t>
      </w:r>
      <w:r w:rsidRPr="00FA49B5">
        <w:rPr>
          <w:rFonts w:eastAsia="Times New Roman"/>
          <w:color w:val="000000"/>
        </w:rPr>
        <w:tab/>
      </w:r>
      <w:r w:rsidR="00C874A7" w:rsidRPr="00FA49B5">
        <w:rPr>
          <w:rFonts w:eastAsia="Times New Roman"/>
          <w:color w:val="000000"/>
        </w:rPr>
        <w:t>OSDn</w:t>
      </w:r>
      <w:r w:rsidRPr="00FA49B5">
        <w:rPr>
          <w:rFonts w:eastAsia="Times New Roman"/>
          <w:color w:val="000000"/>
        </w:rPr>
        <w:t xml:space="preserve"> w terminie do dnia 31 marca każdego roku, podaje do publicznej wiadomości przez zamieszczenie na swojej stronie internetowej następujące wskaźniki dotyczące czasu trwania przerw w dostarczaniu energii elektrycznej wyznaczone dla </w:t>
      </w:r>
      <w:r w:rsidRPr="00FA49B5">
        <w:rPr>
          <w:rFonts w:eastAsia="Times New Roman"/>
          <w:color w:val="000000"/>
          <w:szCs w:val="24"/>
        </w:rPr>
        <w:t>poprzedniego roku kalendarzowego:</w:t>
      </w:r>
    </w:p>
    <w:p w14:paraId="735B025D" w14:textId="77777777" w:rsidR="00572BA3" w:rsidRPr="00FA49B5" w:rsidRDefault="00572BA3">
      <w:pPr>
        <w:numPr>
          <w:ilvl w:val="0"/>
          <w:numId w:val="118"/>
        </w:numPr>
        <w:tabs>
          <w:tab w:val="clear" w:pos="1626"/>
        </w:tabs>
        <w:spacing w:line="276" w:lineRule="auto"/>
        <w:ind w:left="1418" w:hanging="142"/>
        <w:jc w:val="both"/>
        <w:rPr>
          <w:rFonts w:eastAsia="Times New Roman"/>
          <w:color w:val="000000"/>
          <w:szCs w:val="24"/>
        </w:rPr>
      </w:pPr>
      <w:r w:rsidRPr="00FA49B5">
        <w:rPr>
          <w:rFonts w:eastAsia="Times New Roman"/>
          <w:color w:val="000000"/>
          <w:szCs w:val="24"/>
        </w:rPr>
        <w:t>wskaźnik przeciętnego systemowego czasu trwania przerwy długiej i bardzo długiej (SAIDI), wyrażony w minutach na odbiorcę na rok, stanowiący sumę iloczynów czasu jej trwania i liczby odbiorców narażonych na skutki tej przerwy w ciągu roku podzieloną przez łączną liczbę obsługiwanych odbiorców,</w:t>
      </w:r>
    </w:p>
    <w:p w14:paraId="0576ACC4" w14:textId="77777777" w:rsidR="00572BA3" w:rsidRPr="00FA49B5" w:rsidRDefault="00572BA3">
      <w:pPr>
        <w:numPr>
          <w:ilvl w:val="0"/>
          <w:numId w:val="119"/>
        </w:numPr>
        <w:tabs>
          <w:tab w:val="clear" w:pos="1626"/>
        </w:tabs>
        <w:spacing w:line="276" w:lineRule="auto"/>
        <w:ind w:left="1418" w:hanging="142"/>
        <w:jc w:val="both"/>
        <w:rPr>
          <w:rFonts w:eastAsia="Times New Roman"/>
          <w:color w:val="000000"/>
          <w:szCs w:val="24"/>
        </w:rPr>
      </w:pPr>
      <w:r w:rsidRPr="00FA49B5">
        <w:rPr>
          <w:rFonts w:eastAsia="Times New Roman"/>
          <w:color w:val="000000"/>
          <w:szCs w:val="24"/>
        </w:rPr>
        <w:t>wskaźnik przeciętnej systemowej częstości przerw długich i bardzo długich (SAIFI), stanowiący liczbę odbiorców narażonych na skutki wszystkich tych przerw w ciągu roku podzieloną przez łączną liczbę obsługiwanych odbiorców,</w:t>
      </w:r>
    </w:p>
    <w:p w14:paraId="34CE7BCC" w14:textId="77777777" w:rsidR="00572BA3" w:rsidRPr="00FA49B5" w:rsidRDefault="00572BA3">
      <w:pPr>
        <w:numPr>
          <w:ilvl w:val="0"/>
          <w:numId w:val="119"/>
        </w:numPr>
        <w:tabs>
          <w:tab w:val="clear" w:pos="1626"/>
        </w:tabs>
        <w:spacing w:line="276" w:lineRule="auto"/>
        <w:ind w:left="1418" w:hanging="142"/>
        <w:jc w:val="both"/>
        <w:rPr>
          <w:rFonts w:eastAsia="Times New Roman"/>
          <w:color w:val="000000"/>
          <w:szCs w:val="24"/>
        </w:rPr>
      </w:pPr>
      <w:r w:rsidRPr="00FA49B5">
        <w:rPr>
          <w:rFonts w:eastAsia="Times New Roman"/>
          <w:color w:val="000000"/>
          <w:szCs w:val="24"/>
        </w:rPr>
        <w:t>wskaźnik przeciętnej częstości przerw krótkich (MAIFI), stanowiący liczbę odbiorców narażonych na skutki wszystkich przerw krótkich w ciągu roku podzieloną przez łączną liczbę obsługiwanych odbiorców.</w:t>
      </w:r>
    </w:p>
    <w:p w14:paraId="17DACD0C" w14:textId="77777777" w:rsidR="00572BA3" w:rsidRPr="00C874A7" w:rsidRDefault="00572BA3" w:rsidP="00E053E6">
      <w:pPr>
        <w:spacing w:line="276" w:lineRule="auto"/>
        <w:ind w:left="1280"/>
        <w:jc w:val="both"/>
        <w:rPr>
          <w:rFonts w:eastAsia="Times New Roman"/>
          <w:szCs w:val="24"/>
        </w:rPr>
      </w:pPr>
      <w:r w:rsidRPr="00FA49B5">
        <w:rPr>
          <w:rFonts w:eastAsia="Times New Roman"/>
          <w:color w:val="000000"/>
          <w:szCs w:val="24"/>
        </w:rPr>
        <w:t>Wskaźniki określone w podpunktach</w:t>
      </w:r>
      <w:r w:rsidRPr="00C874A7">
        <w:rPr>
          <w:rFonts w:eastAsia="Times New Roman"/>
          <w:szCs w:val="24"/>
        </w:rPr>
        <w:t xml:space="preserve"> 1) i 2) wyznacza si</w:t>
      </w:r>
      <w:r w:rsidR="00B305CB">
        <w:rPr>
          <w:rFonts w:eastAsia="Times New Roman"/>
          <w:szCs w:val="24"/>
        </w:rPr>
        <w:t>ę</w:t>
      </w:r>
      <w:r w:rsidRPr="00C874A7">
        <w:rPr>
          <w:rFonts w:eastAsia="Times New Roman"/>
          <w:szCs w:val="24"/>
        </w:rPr>
        <w:t xml:space="preserve"> oddzielnie dla przerw planowanych i nieplanowanych z uwzględnieniem przerw katastrofalnych oraz bez uwzględnienia tych przerw.</w:t>
      </w:r>
    </w:p>
    <w:p w14:paraId="4ECDABA3" w14:textId="77777777" w:rsidR="00572BA3" w:rsidRDefault="00572BA3" w:rsidP="00E053E6">
      <w:pPr>
        <w:spacing w:line="276" w:lineRule="auto"/>
        <w:ind w:left="1280"/>
        <w:jc w:val="both"/>
        <w:rPr>
          <w:rFonts w:eastAsia="Times New Roman"/>
        </w:rPr>
      </w:pPr>
      <w:r w:rsidRPr="00C874A7">
        <w:rPr>
          <w:rFonts w:eastAsia="Times New Roman"/>
          <w:szCs w:val="24"/>
        </w:rPr>
        <w:t>Dla każdego wskaźnika, o którym mowa w podpunktach 1), 2) i 3), należy podać liczbę obsługiwanych odbiorców przyjętą</w:t>
      </w:r>
      <w:r>
        <w:rPr>
          <w:rFonts w:eastAsia="Times New Roman"/>
        </w:rPr>
        <w:t xml:space="preserve"> do jego wyznaczenia.</w:t>
      </w:r>
    </w:p>
    <w:p w14:paraId="4B318084" w14:textId="77777777" w:rsidR="00572BA3" w:rsidRPr="009357DF" w:rsidRDefault="00572BA3" w:rsidP="00D84E71">
      <w:pPr>
        <w:pStyle w:val="Nagwek2"/>
        <w:ind w:left="709" w:hanging="709"/>
        <w:jc w:val="both"/>
      </w:pPr>
      <w:bookmarkStart w:id="64" w:name="_Toc141963904"/>
      <w:r w:rsidRPr="009357DF">
        <w:t>VIII.3.</w:t>
      </w:r>
      <w:r w:rsidRPr="009357DF">
        <w:tab/>
        <w:t>DOPUSZCZALNE POZIOMY ZABURZEŃ PARAMETRÓW JAKOŚCIOWYCH ENERGII ELEKTRYCZNEJ</w:t>
      </w:r>
      <w:bookmarkEnd w:id="64"/>
    </w:p>
    <w:p w14:paraId="65C75DB5" w14:textId="77777777" w:rsidR="00572BA3" w:rsidRDefault="00572BA3">
      <w:pPr>
        <w:spacing w:line="330" w:lineRule="exact"/>
        <w:rPr>
          <w:rFonts w:eastAsia="Times New Roman"/>
        </w:rPr>
      </w:pPr>
    </w:p>
    <w:p w14:paraId="2C62C7FD" w14:textId="77777777" w:rsidR="00572BA3" w:rsidRDefault="00572BA3">
      <w:pPr>
        <w:tabs>
          <w:tab w:val="left" w:pos="1260"/>
        </w:tabs>
        <w:spacing w:line="234" w:lineRule="auto"/>
        <w:ind w:left="1280" w:hanging="1279"/>
        <w:rPr>
          <w:rFonts w:eastAsia="Times New Roman"/>
          <w:b/>
        </w:rPr>
      </w:pPr>
      <w:r>
        <w:rPr>
          <w:rFonts w:eastAsia="Times New Roman"/>
          <w:b/>
        </w:rPr>
        <w:t>VIII.3.</w:t>
      </w:r>
      <w:r w:rsidR="008C6F7B">
        <w:rPr>
          <w:rFonts w:eastAsia="Times New Roman"/>
          <w:b/>
        </w:rPr>
        <w:t>1</w:t>
      </w:r>
      <w:r>
        <w:rPr>
          <w:rFonts w:eastAsia="Times New Roman"/>
          <w:b/>
        </w:rPr>
        <w:t>.</w:t>
      </w:r>
      <w:r>
        <w:rPr>
          <w:rFonts w:eastAsia="Times New Roman"/>
        </w:rPr>
        <w:tab/>
      </w:r>
      <w:r>
        <w:rPr>
          <w:rFonts w:eastAsia="Times New Roman"/>
          <w:b/>
        </w:rPr>
        <w:t>Dopuszczalne poziomy zaburzeń parametrów jakościowych energii elektrycznej wprowadzanych przez odbiorniki w sieciach niskich napięć</w:t>
      </w:r>
    </w:p>
    <w:p w14:paraId="443F5658" w14:textId="77777777" w:rsidR="00572BA3" w:rsidRPr="00D84E71" w:rsidRDefault="00572BA3" w:rsidP="008C6F7B">
      <w:pPr>
        <w:spacing w:line="117" w:lineRule="exact"/>
        <w:rPr>
          <w:rFonts w:eastAsia="Times New Roman"/>
        </w:rPr>
      </w:pPr>
    </w:p>
    <w:p w14:paraId="4CE0572B" w14:textId="77777777" w:rsidR="00572BA3" w:rsidRPr="00FA49B5" w:rsidRDefault="00572BA3" w:rsidP="008C6F7B">
      <w:pPr>
        <w:tabs>
          <w:tab w:val="left" w:pos="1260"/>
        </w:tabs>
        <w:spacing w:line="360" w:lineRule="auto"/>
        <w:rPr>
          <w:rFonts w:eastAsia="Times New Roman"/>
          <w:color w:val="000000"/>
        </w:rPr>
      </w:pPr>
      <w:r w:rsidRPr="00D84E71">
        <w:rPr>
          <w:rFonts w:eastAsia="Times New Roman"/>
        </w:rPr>
        <w:t>VIII.3.</w:t>
      </w:r>
      <w:r w:rsidRPr="00FA49B5">
        <w:rPr>
          <w:rFonts w:eastAsia="Times New Roman"/>
          <w:color w:val="000000"/>
        </w:rPr>
        <w:t>2.1.</w:t>
      </w:r>
      <w:r w:rsidRPr="00FA49B5">
        <w:rPr>
          <w:rFonts w:eastAsia="Times New Roman"/>
          <w:color w:val="000000"/>
        </w:rPr>
        <w:tab/>
        <w:t>Dopuszczalne poziomy wahań napięcia i migotania światła</w:t>
      </w:r>
    </w:p>
    <w:p w14:paraId="557CE75C" w14:textId="77777777" w:rsidR="00572BA3" w:rsidRPr="00FA49B5" w:rsidRDefault="00572BA3" w:rsidP="008C6F7B">
      <w:pPr>
        <w:ind w:left="1280"/>
        <w:jc w:val="both"/>
        <w:rPr>
          <w:rFonts w:eastAsia="Times New Roman"/>
          <w:color w:val="000000"/>
        </w:rPr>
      </w:pPr>
      <w:r w:rsidRPr="00FA49B5">
        <w:rPr>
          <w:rFonts w:eastAsia="Times New Roman"/>
          <w:color w:val="000000"/>
        </w:rPr>
        <w:t>W przypadku odbiorników o fazowym prądzie znamionowym ≤75A, wprowadza się następujące maksymalnie dopuszczalne poziomy:</w:t>
      </w:r>
    </w:p>
    <w:p w14:paraId="16619437" w14:textId="77777777" w:rsidR="00572BA3" w:rsidRPr="00FA49B5" w:rsidRDefault="00572BA3">
      <w:pPr>
        <w:numPr>
          <w:ilvl w:val="0"/>
          <w:numId w:val="120"/>
        </w:numPr>
        <w:tabs>
          <w:tab w:val="clear" w:pos="1626"/>
        </w:tabs>
        <w:ind w:left="1701" w:hanging="426"/>
        <w:jc w:val="both"/>
        <w:rPr>
          <w:rFonts w:eastAsia="Times New Roman"/>
          <w:color w:val="000000"/>
        </w:rPr>
      </w:pPr>
      <w:r w:rsidRPr="00FA49B5">
        <w:rPr>
          <w:rFonts w:eastAsia="Times New Roman"/>
          <w:color w:val="000000"/>
        </w:rPr>
        <w:t>wartość P</w:t>
      </w:r>
      <w:r w:rsidRPr="00FA49B5">
        <w:rPr>
          <w:rFonts w:eastAsia="Times New Roman"/>
          <w:color w:val="000000"/>
          <w:sz w:val="16"/>
        </w:rPr>
        <w:t>st</w:t>
      </w:r>
      <w:r w:rsidRPr="00FA49B5">
        <w:rPr>
          <w:rFonts w:eastAsia="Times New Roman"/>
          <w:color w:val="000000"/>
        </w:rPr>
        <w:t xml:space="preserve"> nie powinna być większa niż 1,</w:t>
      </w:r>
    </w:p>
    <w:p w14:paraId="387FAE57" w14:textId="77777777" w:rsidR="00572BA3" w:rsidRPr="00FA49B5" w:rsidRDefault="00572BA3">
      <w:pPr>
        <w:numPr>
          <w:ilvl w:val="0"/>
          <w:numId w:val="120"/>
        </w:numPr>
        <w:tabs>
          <w:tab w:val="clear" w:pos="1626"/>
        </w:tabs>
        <w:ind w:left="1701" w:hanging="426"/>
        <w:jc w:val="both"/>
        <w:rPr>
          <w:rFonts w:eastAsia="Times New Roman"/>
          <w:color w:val="000000"/>
        </w:rPr>
      </w:pPr>
      <w:r w:rsidRPr="00FA49B5">
        <w:rPr>
          <w:rFonts w:eastAsia="Times New Roman"/>
          <w:color w:val="000000"/>
        </w:rPr>
        <w:t>wartość P</w:t>
      </w:r>
      <w:r w:rsidRPr="00FA49B5">
        <w:rPr>
          <w:rFonts w:eastAsia="Times New Roman"/>
          <w:color w:val="000000"/>
          <w:sz w:val="16"/>
        </w:rPr>
        <w:t>lt</w:t>
      </w:r>
      <w:r w:rsidRPr="00FA49B5">
        <w:rPr>
          <w:rFonts w:eastAsia="Times New Roman"/>
          <w:color w:val="000000"/>
        </w:rPr>
        <w:t xml:space="preserve"> nie powinna być większa niż 0,65,</w:t>
      </w:r>
    </w:p>
    <w:p w14:paraId="3A3B1B20" w14:textId="77777777" w:rsidR="008C6F7B" w:rsidRPr="00FA49B5" w:rsidRDefault="00572BA3">
      <w:pPr>
        <w:numPr>
          <w:ilvl w:val="0"/>
          <w:numId w:val="120"/>
        </w:numPr>
        <w:tabs>
          <w:tab w:val="clear" w:pos="1626"/>
        </w:tabs>
        <w:ind w:left="1701" w:hanging="425"/>
        <w:jc w:val="both"/>
        <w:rPr>
          <w:color w:val="000000"/>
        </w:rPr>
      </w:pPr>
      <w:r w:rsidRPr="00FA49B5">
        <w:rPr>
          <w:rFonts w:eastAsia="Times New Roman"/>
          <w:color w:val="000000"/>
          <w:sz w:val="23"/>
        </w:rPr>
        <w:t xml:space="preserve">wartość </w:t>
      </w:r>
      <w:r w:rsidR="008C6F7B" w:rsidRPr="00FA49B5">
        <w:rPr>
          <w:rFonts w:eastAsia="Times New Roman"/>
          <w:color w:val="000000"/>
          <w:sz w:val="23"/>
        </w:rPr>
        <w:t xml:space="preserve">  </w:t>
      </w:r>
      <m:oMath>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cs="Times New Roman"/>
                <w:i/>
                <w:noProof/>
                <w:sz w:val="22"/>
                <w:szCs w:val="22"/>
                <w:lang w:eastAsia="en-US"/>
              </w:rPr>
            </m:ctrlPr>
          </m:fPr>
          <m:num>
            <m:r>
              <w:rPr>
                <w:rFonts w:ascii="Cambria Math" w:hAnsi="Cambria Math"/>
              </w:rPr>
              <m:t>∆U(t)</m:t>
            </m:r>
          </m:num>
          <m:den>
            <m:sSub>
              <m:sSubPr>
                <m:ctrlPr>
                  <w:rPr>
                    <w:rFonts w:ascii="Cambria Math" w:hAnsi="Cambria Math" w:cs="Times New Roman"/>
                    <w:i/>
                    <w:noProof/>
                    <w:sz w:val="22"/>
                    <w:szCs w:val="22"/>
                    <w:lang w:eastAsia="en-US"/>
                  </w:rPr>
                </m:ctrlPr>
              </m:sSubPr>
              <m:e>
                <m:r>
                  <w:rPr>
                    <w:rFonts w:ascii="Cambria Math" w:hAnsi="Cambria Math"/>
                  </w:rPr>
                  <m:t>U</m:t>
                </m:r>
              </m:e>
              <m:sub>
                <m:r>
                  <w:rPr>
                    <w:rFonts w:ascii="Cambria Math" w:hAnsi="Cambria Math"/>
                  </w:rPr>
                  <m:t>n</m:t>
                </m:r>
              </m:sub>
            </m:sSub>
          </m:den>
        </m:f>
      </m:oMath>
      <w:r w:rsidR="008C6F7B" w:rsidRPr="00FA49B5">
        <w:rPr>
          <w:color w:val="000000"/>
        </w:rPr>
        <w:t xml:space="preserve">   </w:t>
      </w:r>
      <w:r w:rsidR="008C6F7B" w:rsidRPr="00FA49B5">
        <w:rPr>
          <w:rFonts w:eastAsia="Times New Roman"/>
          <w:color w:val="000000"/>
          <w:sz w:val="23"/>
        </w:rPr>
        <w:t xml:space="preserve">podczas zmiany napięcia nie powinna przekraczać </w:t>
      </w:r>
      <w:r w:rsidR="008C6F7B" w:rsidRPr="00FA49B5">
        <w:rPr>
          <w:rFonts w:eastAsia="Times New Roman"/>
          <w:color w:val="000000"/>
          <w:szCs w:val="24"/>
        </w:rPr>
        <w:t xml:space="preserve">3,3% </w:t>
      </w:r>
      <w:r w:rsidR="008C6F7B" w:rsidRPr="00FA49B5">
        <w:rPr>
          <w:rFonts w:eastAsia="Times New Roman"/>
          <w:color w:val="000000"/>
        </w:rPr>
        <w:t>przez czas dłuższy niż 500ms,</w:t>
      </w:r>
    </w:p>
    <w:p w14:paraId="0E099A2B" w14:textId="77777777" w:rsidR="00730348" w:rsidRPr="00FA49B5" w:rsidRDefault="008C6F7B">
      <w:pPr>
        <w:numPr>
          <w:ilvl w:val="0"/>
          <w:numId w:val="120"/>
        </w:numPr>
        <w:tabs>
          <w:tab w:val="clear" w:pos="1626"/>
        </w:tabs>
        <w:ind w:left="1560" w:hanging="284"/>
        <w:jc w:val="both"/>
        <w:rPr>
          <w:color w:val="000000"/>
        </w:rPr>
      </w:pPr>
      <w:r w:rsidRPr="00FA49B5">
        <w:rPr>
          <w:rFonts w:eastAsia="Times New Roman"/>
          <w:color w:val="000000"/>
        </w:rPr>
        <w:t xml:space="preserve">względna zmiana napięcia w stanie </w:t>
      </w:r>
      <w:r w:rsidRPr="00FA49B5">
        <w:rPr>
          <w:rFonts w:eastAsia="Times New Roman"/>
          <w:color w:val="000000"/>
          <w:sz w:val="23"/>
        </w:rPr>
        <w:t>ustalonym</w:t>
      </w:r>
      <w:r w:rsidR="00730348" w:rsidRPr="00FA49B5">
        <w:rPr>
          <w:rFonts w:eastAsia="Times New Roman"/>
          <w:color w:val="000000"/>
          <w:sz w:val="23"/>
        </w:rPr>
        <w:t xml:space="preserve"> </w:t>
      </w:r>
      <m:oMath>
        <m:r>
          <w:rPr>
            <w:rFonts w:ascii="Cambria Math" w:hAnsi="Cambria Math"/>
          </w:rPr>
          <m:t>d=</m:t>
        </m:r>
        <m:f>
          <m:fPr>
            <m:ctrlPr>
              <w:rPr>
                <w:rFonts w:ascii="Cambria Math" w:hAnsi="Cambria Math" w:cs="Times New Roman"/>
                <w:i/>
                <w:noProof/>
                <w:sz w:val="22"/>
                <w:szCs w:val="22"/>
                <w:lang w:eastAsia="en-US"/>
              </w:rPr>
            </m:ctrlPr>
          </m:fPr>
          <m:num>
            <m:r>
              <w:rPr>
                <w:rFonts w:ascii="Cambria Math" w:hAnsi="Cambria Math"/>
              </w:rPr>
              <m:t>∆U</m:t>
            </m:r>
          </m:num>
          <m:den>
            <m:sSub>
              <m:sSubPr>
                <m:ctrlPr>
                  <w:rPr>
                    <w:rFonts w:ascii="Cambria Math" w:hAnsi="Cambria Math" w:cs="Times New Roman"/>
                    <w:i/>
                    <w:noProof/>
                    <w:sz w:val="22"/>
                    <w:szCs w:val="22"/>
                    <w:lang w:eastAsia="en-US"/>
                  </w:rPr>
                </m:ctrlPr>
              </m:sSubPr>
              <m:e>
                <m:r>
                  <w:rPr>
                    <w:rFonts w:ascii="Cambria Math" w:hAnsi="Cambria Math"/>
                  </w:rPr>
                  <m:t>U</m:t>
                </m:r>
              </m:e>
              <m:sub>
                <m:r>
                  <w:rPr>
                    <w:rFonts w:ascii="Cambria Math" w:hAnsi="Cambria Math"/>
                  </w:rPr>
                  <m:t>n</m:t>
                </m:r>
              </m:sub>
            </m:sSub>
          </m:den>
        </m:f>
      </m:oMath>
      <w:r w:rsidR="00730348" w:rsidRPr="00FA49B5">
        <w:rPr>
          <w:color w:val="000000"/>
        </w:rPr>
        <w:t xml:space="preserve">  nie powinna przekraczać 3,3% gdzie:</w:t>
      </w:r>
    </w:p>
    <w:p w14:paraId="48D081FF" w14:textId="77777777" w:rsidR="00730348" w:rsidRPr="00FA49B5" w:rsidRDefault="00730348" w:rsidP="007714DB">
      <w:pPr>
        <w:pStyle w:val="Akapitzlist"/>
        <w:ind w:left="1276"/>
        <w:jc w:val="both"/>
        <w:rPr>
          <w:rFonts w:eastAsia="Times New Roman"/>
          <w:color w:val="000000"/>
        </w:rPr>
      </w:pPr>
      <w:r w:rsidRPr="00FA49B5">
        <w:rPr>
          <w:color w:val="000000"/>
        </w:rPr>
        <w:lastRenderedPageBreak/>
        <w:sym w:font="Symbol" w:char="F044"/>
      </w:r>
      <w:r w:rsidRPr="00FA49B5">
        <w:rPr>
          <w:color w:val="000000"/>
        </w:rPr>
        <w:t xml:space="preserve">U - </w:t>
      </w:r>
      <w:r w:rsidRPr="00FA49B5">
        <w:rPr>
          <w:rFonts w:eastAsia="Times New Roman"/>
          <w:color w:val="000000"/>
        </w:rPr>
        <w:t>zmiana wartości skutecznej napięcia, wyznaczona jako pojedyncza wartość dla każdego kolejnego półokresu napięcia źródła, pomiędzy jego przejściami przez zero, występująca między okresami, gdy napięcie jest w stanie ustalonym co najmniej przez 1s.</w:t>
      </w:r>
    </w:p>
    <w:p w14:paraId="6DAA5436" w14:textId="77777777" w:rsidR="00572BA3" w:rsidRDefault="007714DB">
      <w:pPr>
        <w:tabs>
          <w:tab w:val="left" w:pos="1260"/>
        </w:tabs>
        <w:spacing w:line="0" w:lineRule="atLeast"/>
        <w:rPr>
          <w:rFonts w:eastAsia="Times New Roman"/>
          <w:b/>
        </w:rPr>
      </w:pPr>
      <w:r>
        <w:rPr>
          <w:rFonts w:eastAsia="Times New Roman"/>
        </w:rPr>
        <w:t>V</w:t>
      </w:r>
      <w:r w:rsidR="00572BA3">
        <w:rPr>
          <w:rFonts w:eastAsia="Times New Roman"/>
        </w:rPr>
        <w:t>III.3.2.2.</w:t>
      </w:r>
      <w:r w:rsidR="00572BA3">
        <w:rPr>
          <w:rFonts w:eastAsia="Times New Roman"/>
        </w:rPr>
        <w:tab/>
      </w:r>
      <w:r w:rsidR="00572BA3" w:rsidRPr="00D84E71">
        <w:rPr>
          <w:rFonts w:eastAsia="Times New Roman"/>
        </w:rPr>
        <w:t>Dopuszczalne poziomy emisji harmonicznych prądu</w:t>
      </w:r>
    </w:p>
    <w:p w14:paraId="3A6D85A5" w14:textId="77777777" w:rsidR="00572BA3" w:rsidRDefault="00572BA3" w:rsidP="00975C5E">
      <w:pPr>
        <w:spacing w:line="234" w:lineRule="auto"/>
        <w:ind w:left="1140" w:hanging="1140"/>
        <w:rPr>
          <w:rFonts w:eastAsia="Times New Roman"/>
        </w:rPr>
      </w:pPr>
      <w:r>
        <w:rPr>
          <w:rFonts w:eastAsia="Times New Roman"/>
        </w:rPr>
        <w:t>VIII.3.2.2.1. W celu wyznaczenia maksymalnych poziomów emisji harmonicznych odbiorniki dzieli się wg. następującej klasyfikacji:</w:t>
      </w:r>
    </w:p>
    <w:p w14:paraId="16ACD63F" w14:textId="77777777" w:rsidR="00572BA3" w:rsidRDefault="00572BA3">
      <w:pPr>
        <w:spacing w:line="134" w:lineRule="exact"/>
        <w:rPr>
          <w:rFonts w:eastAsia="Times New Roman"/>
        </w:rPr>
      </w:pPr>
    </w:p>
    <w:p w14:paraId="7FA3F76A" w14:textId="77777777" w:rsidR="00572BA3" w:rsidRDefault="00572BA3">
      <w:pPr>
        <w:numPr>
          <w:ilvl w:val="0"/>
          <w:numId w:val="121"/>
        </w:numPr>
        <w:tabs>
          <w:tab w:val="clear" w:pos="1626"/>
        </w:tabs>
        <w:spacing w:line="237" w:lineRule="auto"/>
        <w:ind w:left="1418" w:hanging="284"/>
        <w:jc w:val="both"/>
        <w:rPr>
          <w:rFonts w:eastAsia="Times New Roman"/>
        </w:rPr>
      </w:pPr>
      <w:r>
        <w:rPr>
          <w:rFonts w:eastAsia="Times New Roman"/>
        </w:rPr>
        <w:t xml:space="preserve">Klasa A – symetryczne odbiorniki trójfazowe, sprzęt do zastosowań domowych z pominięciem przynależnego do klasy D, narzędzia z pominięciem narzędzi przenośnych, ściemniacze do żarówek, sprzęt akustyczny i wszystkie inne </w:t>
      </w:r>
      <w:r w:rsidR="00511B3D">
        <w:rPr>
          <w:rFonts w:eastAsia="Times New Roman"/>
        </w:rPr>
        <w:br/>
      </w:r>
      <w:r>
        <w:rPr>
          <w:rFonts w:eastAsia="Times New Roman"/>
        </w:rPr>
        <w:t>z wyjątkiem zakwalifikowanych do jednej z poniższych klas,</w:t>
      </w:r>
    </w:p>
    <w:p w14:paraId="5057971E" w14:textId="77777777" w:rsidR="00572BA3" w:rsidRDefault="00572BA3">
      <w:pPr>
        <w:spacing w:line="133" w:lineRule="exact"/>
        <w:rPr>
          <w:rFonts w:eastAsia="Times New Roman"/>
        </w:rPr>
      </w:pPr>
    </w:p>
    <w:p w14:paraId="4B4D2C3F" w14:textId="77777777" w:rsidR="00572BA3" w:rsidRDefault="00572BA3">
      <w:pPr>
        <w:numPr>
          <w:ilvl w:val="0"/>
          <w:numId w:val="121"/>
        </w:numPr>
        <w:tabs>
          <w:tab w:val="clear" w:pos="1626"/>
        </w:tabs>
        <w:spacing w:line="236" w:lineRule="auto"/>
        <w:ind w:left="1560" w:hanging="284"/>
        <w:jc w:val="both"/>
        <w:rPr>
          <w:rFonts w:eastAsia="Times New Roman"/>
        </w:rPr>
      </w:pPr>
      <w:r>
        <w:rPr>
          <w:rFonts w:eastAsia="Times New Roman"/>
        </w:rPr>
        <w:t>Klasa B – narzędzia przenośne tj. narzędzia elektryczne, które podczas normalnej pracy trzymane są w rękach i używane tylko przez krótki czas (kilka minut), nieprofesjonalny sprzęt spawalniczy,</w:t>
      </w:r>
    </w:p>
    <w:p w14:paraId="6AA73843" w14:textId="77777777" w:rsidR="00572BA3" w:rsidRDefault="00572BA3">
      <w:pPr>
        <w:spacing w:line="121" w:lineRule="exact"/>
        <w:rPr>
          <w:rFonts w:eastAsia="Times New Roman"/>
        </w:rPr>
      </w:pPr>
    </w:p>
    <w:p w14:paraId="2C265834" w14:textId="77777777" w:rsidR="00572BA3" w:rsidRDefault="00572BA3">
      <w:pPr>
        <w:numPr>
          <w:ilvl w:val="0"/>
          <w:numId w:val="121"/>
        </w:numPr>
        <w:tabs>
          <w:tab w:val="clear" w:pos="1626"/>
        </w:tabs>
        <w:spacing w:line="0" w:lineRule="atLeast"/>
        <w:ind w:left="1560" w:hanging="284"/>
        <w:rPr>
          <w:rFonts w:eastAsia="Times New Roman"/>
        </w:rPr>
      </w:pPr>
      <w:r>
        <w:rPr>
          <w:rFonts w:eastAsia="Times New Roman"/>
        </w:rPr>
        <w:t>Klasa C – sprzęt oświetleniowy,</w:t>
      </w:r>
    </w:p>
    <w:p w14:paraId="56129204" w14:textId="77777777" w:rsidR="00572BA3" w:rsidRDefault="00572BA3">
      <w:pPr>
        <w:spacing w:line="132" w:lineRule="exact"/>
        <w:rPr>
          <w:rFonts w:eastAsia="Times New Roman"/>
        </w:rPr>
      </w:pPr>
    </w:p>
    <w:p w14:paraId="2178761A" w14:textId="77777777" w:rsidR="00572BA3" w:rsidRDefault="00572BA3">
      <w:pPr>
        <w:numPr>
          <w:ilvl w:val="0"/>
          <w:numId w:val="121"/>
        </w:numPr>
        <w:tabs>
          <w:tab w:val="clear" w:pos="1626"/>
        </w:tabs>
        <w:spacing w:line="234" w:lineRule="auto"/>
        <w:ind w:left="1560" w:hanging="284"/>
        <w:rPr>
          <w:rFonts w:eastAsia="Times New Roman"/>
        </w:rPr>
      </w:pPr>
      <w:r>
        <w:rPr>
          <w:rFonts w:eastAsia="Times New Roman"/>
        </w:rPr>
        <w:t>Klasa D – sprzęt o mocy 600W lub mniejszej następującego rodzaju: komputery osobisty i monitory do nich, odbiorniki telewizyjne.</w:t>
      </w:r>
    </w:p>
    <w:p w14:paraId="25578456" w14:textId="77777777" w:rsidR="00572BA3" w:rsidRDefault="00572BA3">
      <w:pPr>
        <w:spacing w:line="234" w:lineRule="auto"/>
        <w:ind w:left="1140" w:hanging="1276"/>
        <w:rPr>
          <w:rFonts w:eastAsia="Times New Roman"/>
        </w:rPr>
      </w:pPr>
      <w:r>
        <w:rPr>
          <w:rFonts w:eastAsia="Times New Roman"/>
        </w:rPr>
        <w:t>VIII.3.2.2.2. Dopuszczalne poziomy emisji harmonicznych prądu powodowane przez odbiorniki o fazowym prądzie znamionowym ≤16A zakwalifikowane do:</w:t>
      </w:r>
    </w:p>
    <w:p w14:paraId="297C9642" w14:textId="77777777" w:rsidR="00572BA3" w:rsidRDefault="00572BA3">
      <w:pPr>
        <w:spacing w:line="122" w:lineRule="exact"/>
        <w:rPr>
          <w:rFonts w:eastAsia="Times New Roman"/>
        </w:rPr>
      </w:pPr>
    </w:p>
    <w:p w14:paraId="2B9D329A" w14:textId="77777777" w:rsidR="00572BA3" w:rsidRDefault="00572BA3">
      <w:pPr>
        <w:numPr>
          <w:ilvl w:val="0"/>
          <w:numId w:val="122"/>
        </w:numPr>
        <w:tabs>
          <w:tab w:val="clear" w:pos="1626"/>
        </w:tabs>
        <w:spacing w:line="0" w:lineRule="atLeast"/>
        <w:ind w:left="1560" w:hanging="284"/>
        <w:jc w:val="both"/>
        <w:rPr>
          <w:rFonts w:eastAsia="Times New Roman"/>
        </w:rPr>
      </w:pPr>
      <w:r>
        <w:rPr>
          <w:rFonts w:eastAsia="Times New Roman"/>
        </w:rPr>
        <w:t>Klasy A podano w Tablicy 1,</w:t>
      </w:r>
    </w:p>
    <w:p w14:paraId="48AB0281" w14:textId="77777777" w:rsidR="00572BA3" w:rsidRDefault="00572BA3">
      <w:pPr>
        <w:spacing w:line="120" w:lineRule="exact"/>
        <w:rPr>
          <w:rFonts w:eastAsia="Times New Roman"/>
        </w:rPr>
      </w:pPr>
    </w:p>
    <w:p w14:paraId="638BF06B" w14:textId="77777777" w:rsidR="00572BA3" w:rsidRDefault="00572BA3">
      <w:pPr>
        <w:numPr>
          <w:ilvl w:val="0"/>
          <w:numId w:val="122"/>
        </w:numPr>
        <w:tabs>
          <w:tab w:val="clear" w:pos="1626"/>
        </w:tabs>
        <w:spacing w:line="0" w:lineRule="atLeast"/>
        <w:ind w:left="1560" w:hanging="284"/>
        <w:jc w:val="both"/>
        <w:rPr>
          <w:rFonts w:eastAsia="Times New Roman"/>
        </w:rPr>
      </w:pPr>
      <w:r>
        <w:rPr>
          <w:rFonts w:eastAsia="Times New Roman"/>
        </w:rPr>
        <w:t>Klasy B podano w Tablicy 2,</w:t>
      </w:r>
    </w:p>
    <w:p w14:paraId="0A9325BF" w14:textId="77777777" w:rsidR="00572BA3" w:rsidRDefault="00572BA3">
      <w:pPr>
        <w:spacing w:line="120" w:lineRule="exact"/>
        <w:rPr>
          <w:rFonts w:eastAsia="Times New Roman"/>
        </w:rPr>
      </w:pPr>
    </w:p>
    <w:p w14:paraId="4A1BC0F1" w14:textId="77777777" w:rsidR="00572BA3" w:rsidRDefault="00572BA3">
      <w:pPr>
        <w:numPr>
          <w:ilvl w:val="0"/>
          <w:numId w:val="122"/>
        </w:numPr>
        <w:tabs>
          <w:tab w:val="clear" w:pos="1626"/>
        </w:tabs>
        <w:spacing w:line="0" w:lineRule="atLeast"/>
        <w:ind w:left="1560" w:hanging="284"/>
        <w:jc w:val="both"/>
        <w:rPr>
          <w:rFonts w:eastAsia="Times New Roman"/>
        </w:rPr>
      </w:pPr>
      <w:r>
        <w:rPr>
          <w:rFonts w:eastAsia="Times New Roman"/>
        </w:rPr>
        <w:t>Klasy C podano w Tablicy 3,</w:t>
      </w:r>
    </w:p>
    <w:p w14:paraId="25C5AC01" w14:textId="77777777" w:rsidR="00572BA3" w:rsidRDefault="00572BA3">
      <w:pPr>
        <w:spacing w:line="120" w:lineRule="exact"/>
        <w:rPr>
          <w:rFonts w:eastAsia="Times New Roman"/>
        </w:rPr>
      </w:pPr>
    </w:p>
    <w:p w14:paraId="2B645CA9" w14:textId="77777777" w:rsidR="00572BA3" w:rsidRDefault="00572BA3">
      <w:pPr>
        <w:numPr>
          <w:ilvl w:val="0"/>
          <w:numId w:val="122"/>
        </w:numPr>
        <w:tabs>
          <w:tab w:val="clear" w:pos="1626"/>
        </w:tabs>
        <w:spacing w:line="0" w:lineRule="atLeast"/>
        <w:ind w:left="1560" w:hanging="284"/>
        <w:rPr>
          <w:rFonts w:eastAsia="Times New Roman"/>
        </w:rPr>
      </w:pPr>
      <w:r>
        <w:rPr>
          <w:rFonts w:eastAsia="Times New Roman"/>
        </w:rPr>
        <w:t>Klasy D podano w Tablicy 4.</w:t>
      </w:r>
    </w:p>
    <w:p w14:paraId="44437F02" w14:textId="77777777" w:rsidR="00B8667B" w:rsidRDefault="00B8667B" w:rsidP="00B8667B">
      <w:pPr>
        <w:pStyle w:val="Akapitzlist"/>
        <w:rPr>
          <w:rFonts w:eastAsia="Times New Roman"/>
        </w:rPr>
      </w:pPr>
    </w:p>
    <w:p w14:paraId="2EC6A005" w14:textId="77777777" w:rsidR="00572BA3" w:rsidRDefault="00572BA3">
      <w:pPr>
        <w:spacing w:line="0" w:lineRule="atLeast"/>
        <w:ind w:left="1140"/>
        <w:rPr>
          <w:rFonts w:eastAsia="Times New Roman"/>
          <w:i/>
        </w:rPr>
      </w:pPr>
      <w:r>
        <w:rPr>
          <w:rFonts w:eastAsia="Times New Roman"/>
          <w:i/>
        </w:rPr>
        <w:t>Tablica 1. Dopuszczalne poziomy dla odbiorników klasy A.</w:t>
      </w:r>
    </w:p>
    <w:p w14:paraId="14F5BBAE" w14:textId="3D298F1B" w:rsidR="004A06BC" w:rsidRDefault="004A06BC" w:rsidP="004A06BC">
      <w:pPr>
        <w:spacing w:line="0" w:lineRule="atLeast"/>
        <w:rPr>
          <w:rFonts w:eastAsia="Times New Roman"/>
          <w:i/>
        </w:rPr>
      </w:pPr>
    </w:p>
    <w:tbl>
      <w:tblPr>
        <w:tblStyle w:val="Tabela-Siatka"/>
        <w:tblW w:w="8028" w:type="dxa"/>
        <w:tblInd w:w="1140" w:type="dxa"/>
        <w:tblLook w:val="04A0" w:firstRow="1" w:lastRow="0" w:firstColumn="1" w:lastColumn="0" w:noHBand="0" w:noVBand="1"/>
      </w:tblPr>
      <w:tblGrid>
        <w:gridCol w:w="4014"/>
        <w:gridCol w:w="4014"/>
      </w:tblGrid>
      <w:tr w:rsidR="00500AEC" w14:paraId="41BF0BF4" w14:textId="77777777" w:rsidTr="00446322">
        <w:trPr>
          <w:trHeight w:val="583"/>
        </w:trPr>
        <w:tc>
          <w:tcPr>
            <w:tcW w:w="4014" w:type="dxa"/>
            <w:tcBorders>
              <w:top w:val="single" w:sz="18" w:space="0" w:color="auto"/>
              <w:left w:val="single" w:sz="18" w:space="0" w:color="auto"/>
              <w:bottom w:val="single" w:sz="18" w:space="0" w:color="auto"/>
              <w:right w:val="single" w:sz="18" w:space="0" w:color="auto"/>
            </w:tcBorders>
          </w:tcPr>
          <w:p w14:paraId="794C82BA" w14:textId="77777777" w:rsidR="00500AEC" w:rsidRPr="006011D3" w:rsidRDefault="00500AEC" w:rsidP="00446322">
            <w:pPr>
              <w:spacing w:line="0" w:lineRule="atLeast"/>
              <w:jc w:val="center"/>
              <w:rPr>
                <w:rFonts w:eastAsia="Times New Roman"/>
                <w:b/>
                <w:bCs/>
                <w:iCs/>
              </w:rPr>
            </w:pPr>
            <w:r w:rsidRPr="006011D3">
              <w:rPr>
                <w:rFonts w:eastAsia="Times New Roman"/>
                <w:b/>
                <w:bCs/>
                <w:iCs/>
              </w:rPr>
              <w:t>Rząd harmonicznej [n]</w:t>
            </w:r>
          </w:p>
        </w:tc>
        <w:tc>
          <w:tcPr>
            <w:tcW w:w="4014" w:type="dxa"/>
            <w:tcBorders>
              <w:top w:val="single" w:sz="18" w:space="0" w:color="auto"/>
              <w:left w:val="single" w:sz="18" w:space="0" w:color="auto"/>
              <w:bottom w:val="single" w:sz="18" w:space="0" w:color="auto"/>
              <w:right w:val="single" w:sz="18" w:space="0" w:color="auto"/>
            </w:tcBorders>
          </w:tcPr>
          <w:p w14:paraId="07401DAC" w14:textId="77777777" w:rsidR="00500AEC" w:rsidRPr="006011D3" w:rsidRDefault="00500AEC" w:rsidP="00446322">
            <w:pPr>
              <w:spacing w:line="0" w:lineRule="atLeast"/>
              <w:jc w:val="center"/>
              <w:rPr>
                <w:rFonts w:eastAsia="Times New Roman"/>
                <w:b/>
                <w:bCs/>
                <w:iCs/>
              </w:rPr>
            </w:pPr>
            <w:r w:rsidRPr="006011D3">
              <w:rPr>
                <w:rFonts w:eastAsia="Times New Roman"/>
                <w:b/>
                <w:bCs/>
                <w:iCs/>
              </w:rPr>
              <w:t>Maksymalny dopuszczalny prąd harmonicznej [A]</w:t>
            </w:r>
          </w:p>
        </w:tc>
      </w:tr>
      <w:tr w:rsidR="00500AEC" w14:paraId="2E8920E7" w14:textId="77777777" w:rsidTr="00446322">
        <w:trPr>
          <w:trHeight w:val="283"/>
        </w:trPr>
        <w:tc>
          <w:tcPr>
            <w:tcW w:w="8028" w:type="dxa"/>
            <w:gridSpan w:val="2"/>
            <w:tcBorders>
              <w:top w:val="single" w:sz="18" w:space="0" w:color="auto"/>
            </w:tcBorders>
          </w:tcPr>
          <w:p w14:paraId="593A5985" w14:textId="77777777" w:rsidR="00500AEC" w:rsidRPr="007F3389" w:rsidRDefault="00500AEC" w:rsidP="00446322">
            <w:pPr>
              <w:spacing w:line="0" w:lineRule="atLeast"/>
              <w:jc w:val="center"/>
              <w:rPr>
                <w:rFonts w:eastAsia="Times New Roman"/>
                <w:iCs/>
              </w:rPr>
            </w:pPr>
            <w:r w:rsidRPr="007F3389">
              <w:rPr>
                <w:rFonts w:eastAsia="Times New Roman"/>
                <w:iCs/>
              </w:rPr>
              <w:t>Harmoniczne nieparzyste</w:t>
            </w:r>
          </w:p>
        </w:tc>
      </w:tr>
      <w:tr w:rsidR="00500AEC" w14:paraId="6A81B784" w14:textId="77777777" w:rsidTr="00446322">
        <w:trPr>
          <w:trHeight w:val="283"/>
        </w:trPr>
        <w:tc>
          <w:tcPr>
            <w:tcW w:w="4014" w:type="dxa"/>
          </w:tcPr>
          <w:p w14:paraId="5DC012BC" w14:textId="77777777" w:rsidR="00500AEC" w:rsidRPr="007F3389" w:rsidRDefault="00500AEC" w:rsidP="00446322">
            <w:pPr>
              <w:spacing w:line="0" w:lineRule="atLeast"/>
              <w:jc w:val="center"/>
              <w:rPr>
                <w:rFonts w:eastAsia="Times New Roman"/>
                <w:iCs/>
              </w:rPr>
            </w:pPr>
            <w:r>
              <w:rPr>
                <w:rFonts w:eastAsia="Times New Roman"/>
                <w:iCs/>
              </w:rPr>
              <w:t>3</w:t>
            </w:r>
          </w:p>
        </w:tc>
        <w:tc>
          <w:tcPr>
            <w:tcW w:w="4014" w:type="dxa"/>
          </w:tcPr>
          <w:p w14:paraId="2C9BA7D1" w14:textId="462DC515" w:rsidR="00500AEC" w:rsidRPr="007F3389" w:rsidRDefault="00500AEC" w:rsidP="00446322">
            <w:pPr>
              <w:spacing w:line="0" w:lineRule="atLeast"/>
              <w:jc w:val="center"/>
              <w:rPr>
                <w:rFonts w:eastAsia="Times New Roman"/>
                <w:iCs/>
              </w:rPr>
            </w:pPr>
            <w:r>
              <w:rPr>
                <w:rFonts w:eastAsia="Times New Roman"/>
                <w:iCs/>
              </w:rPr>
              <w:t>2,3</w:t>
            </w:r>
          </w:p>
        </w:tc>
      </w:tr>
      <w:tr w:rsidR="00500AEC" w14:paraId="2EBCE8E0" w14:textId="77777777" w:rsidTr="00446322">
        <w:trPr>
          <w:trHeight w:val="283"/>
        </w:trPr>
        <w:tc>
          <w:tcPr>
            <w:tcW w:w="4014" w:type="dxa"/>
          </w:tcPr>
          <w:p w14:paraId="0D6A44CF" w14:textId="77777777" w:rsidR="00500AEC" w:rsidRPr="007F3389" w:rsidRDefault="00500AEC" w:rsidP="00446322">
            <w:pPr>
              <w:spacing w:line="0" w:lineRule="atLeast"/>
              <w:jc w:val="center"/>
              <w:rPr>
                <w:rFonts w:eastAsia="Times New Roman"/>
                <w:iCs/>
              </w:rPr>
            </w:pPr>
            <w:r>
              <w:rPr>
                <w:rFonts w:eastAsia="Times New Roman"/>
                <w:iCs/>
              </w:rPr>
              <w:t>5</w:t>
            </w:r>
          </w:p>
        </w:tc>
        <w:tc>
          <w:tcPr>
            <w:tcW w:w="4014" w:type="dxa"/>
          </w:tcPr>
          <w:p w14:paraId="40DE645C" w14:textId="58FD1F64" w:rsidR="00500AEC" w:rsidRPr="007F3389" w:rsidRDefault="00500AEC" w:rsidP="00446322">
            <w:pPr>
              <w:spacing w:line="0" w:lineRule="atLeast"/>
              <w:jc w:val="center"/>
              <w:rPr>
                <w:rFonts w:eastAsia="Times New Roman"/>
                <w:iCs/>
              </w:rPr>
            </w:pPr>
            <w:r>
              <w:rPr>
                <w:rFonts w:eastAsia="Times New Roman"/>
                <w:iCs/>
              </w:rPr>
              <w:t>1,14</w:t>
            </w:r>
          </w:p>
        </w:tc>
      </w:tr>
      <w:tr w:rsidR="00500AEC" w14:paraId="580740FA" w14:textId="77777777" w:rsidTr="00446322">
        <w:trPr>
          <w:trHeight w:val="283"/>
        </w:trPr>
        <w:tc>
          <w:tcPr>
            <w:tcW w:w="4014" w:type="dxa"/>
          </w:tcPr>
          <w:p w14:paraId="203EAFD8" w14:textId="77777777" w:rsidR="00500AEC" w:rsidRPr="007F3389" w:rsidRDefault="00500AEC" w:rsidP="00446322">
            <w:pPr>
              <w:spacing w:line="0" w:lineRule="atLeast"/>
              <w:jc w:val="center"/>
              <w:rPr>
                <w:rFonts w:eastAsia="Times New Roman"/>
                <w:iCs/>
              </w:rPr>
            </w:pPr>
            <w:r>
              <w:rPr>
                <w:rFonts w:eastAsia="Times New Roman"/>
                <w:iCs/>
              </w:rPr>
              <w:t>7</w:t>
            </w:r>
          </w:p>
        </w:tc>
        <w:tc>
          <w:tcPr>
            <w:tcW w:w="4014" w:type="dxa"/>
          </w:tcPr>
          <w:p w14:paraId="1FECBC79" w14:textId="681122F7" w:rsidR="00500AEC" w:rsidRPr="007F3389" w:rsidRDefault="00500AEC" w:rsidP="00446322">
            <w:pPr>
              <w:spacing w:line="0" w:lineRule="atLeast"/>
              <w:jc w:val="center"/>
              <w:rPr>
                <w:rFonts w:eastAsia="Times New Roman"/>
                <w:iCs/>
              </w:rPr>
            </w:pPr>
            <w:r>
              <w:rPr>
                <w:rFonts w:eastAsia="Times New Roman"/>
                <w:iCs/>
              </w:rPr>
              <w:t>0,77</w:t>
            </w:r>
          </w:p>
        </w:tc>
      </w:tr>
      <w:tr w:rsidR="00500AEC" w14:paraId="4F6C8022" w14:textId="77777777" w:rsidTr="00446322">
        <w:trPr>
          <w:trHeight w:val="283"/>
        </w:trPr>
        <w:tc>
          <w:tcPr>
            <w:tcW w:w="4014" w:type="dxa"/>
          </w:tcPr>
          <w:p w14:paraId="29549A8D" w14:textId="77777777" w:rsidR="00500AEC" w:rsidRPr="007F3389" w:rsidRDefault="00500AEC" w:rsidP="00446322">
            <w:pPr>
              <w:spacing w:line="0" w:lineRule="atLeast"/>
              <w:jc w:val="center"/>
              <w:rPr>
                <w:rFonts w:eastAsia="Times New Roman"/>
                <w:iCs/>
              </w:rPr>
            </w:pPr>
            <w:r>
              <w:rPr>
                <w:rFonts w:eastAsia="Times New Roman"/>
                <w:iCs/>
              </w:rPr>
              <w:t>9</w:t>
            </w:r>
          </w:p>
        </w:tc>
        <w:tc>
          <w:tcPr>
            <w:tcW w:w="4014" w:type="dxa"/>
          </w:tcPr>
          <w:p w14:paraId="2DB9E3FF" w14:textId="0582BC6F" w:rsidR="00500AEC" w:rsidRPr="007F3389" w:rsidRDefault="00500AEC" w:rsidP="00446322">
            <w:pPr>
              <w:spacing w:line="0" w:lineRule="atLeast"/>
              <w:jc w:val="center"/>
              <w:rPr>
                <w:rFonts w:eastAsia="Times New Roman"/>
                <w:iCs/>
              </w:rPr>
            </w:pPr>
            <w:r>
              <w:rPr>
                <w:rFonts w:eastAsia="Times New Roman"/>
                <w:iCs/>
              </w:rPr>
              <w:t>0,4</w:t>
            </w:r>
          </w:p>
        </w:tc>
      </w:tr>
      <w:tr w:rsidR="00500AEC" w14:paraId="4B7A7D1D" w14:textId="77777777" w:rsidTr="00446322">
        <w:trPr>
          <w:trHeight w:val="299"/>
        </w:trPr>
        <w:tc>
          <w:tcPr>
            <w:tcW w:w="4014" w:type="dxa"/>
          </w:tcPr>
          <w:p w14:paraId="107C71AB" w14:textId="77777777" w:rsidR="00500AEC" w:rsidRPr="007F3389" w:rsidRDefault="00500AEC" w:rsidP="00446322">
            <w:pPr>
              <w:spacing w:line="0" w:lineRule="atLeast"/>
              <w:jc w:val="center"/>
              <w:rPr>
                <w:rFonts w:eastAsia="Times New Roman"/>
                <w:iCs/>
              </w:rPr>
            </w:pPr>
            <w:r>
              <w:rPr>
                <w:rFonts w:eastAsia="Times New Roman"/>
                <w:iCs/>
              </w:rPr>
              <w:t>11</w:t>
            </w:r>
          </w:p>
        </w:tc>
        <w:tc>
          <w:tcPr>
            <w:tcW w:w="4014" w:type="dxa"/>
          </w:tcPr>
          <w:p w14:paraId="11217462" w14:textId="64790282" w:rsidR="00500AEC" w:rsidRPr="007F3389" w:rsidRDefault="00500AEC" w:rsidP="00446322">
            <w:pPr>
              <w:spacing w:line="0" w:lineRule="atLeast"/>
              <w:jc w:val="center"/>
              <w:rPr>
                <w:rFonts w:eastAsia="Times New Roman"/>
                <w:iCs/>
              </w:rPr>
            </w:pPr>
            <w:r>
              <w:rPr>
                <w:rFonts w:eastAsia="Times New Roman"/>
                <w:iCs/>
              </w:rPr>
              <w:t>0,33</w:t>
            </w:r>
          </w:p>
        </w:tc>
      </w:tr>
      <w:tr w:rsidR="00500AEC" w14:paraId="17EFD407" w14:textId="77777777" w:rsidTr="00446322">
        <w:trPr>
          <w:trHeight w:val="283"/>
        </w:trPr>
        <w:tc>
          <w:tcPr>
            <w:tcW w:w="4014" w:type="dxa"/>
          </w:tcPr>
          <w:p w14:paraId="351E8D24" w14:textId="77777777" w:rsidR="00500AEC" w:rsidRPr="007F3389" w:rsidRDefault="00500AEC" w:rsidP="00446322">
            <w:pPr>
              <w:spacing w:line="0" w:lineRule="atLeast"/>
              <w:jc w:val="center"/>
              <w:rPr>
                <w:rFonts w:eastAsia="Times New Roman"/>
                <w:iCs/>
              </w:rPr>
            </w:pPr>
            <w:r>
              <w:rPr>
                <w:rFonts w:eastAsia="Times New Roman"/>
                <w:iCs/>
              </w:rPr>
              <w:t>13</w:t>
            </w:r>
          </w:p>
        </w:tc>
        <w:tc>
          <w:tcPr>
            <w:tcW w:w="4014" w:type="dxa"/>
          </w:tcPr>
          <w:p w14:paraId="70195C1E" w14:textId="733FA4B9" w:rsidR="00500AEC" w:rsidRPr="007F3389" w:rsidRDefault="00500AEC" w:rsidP="00446322">
            <w:pPr>
              <w:spacing w:line="0" w:lineRule="atLeast"/>
              <w:jc w:val="center"/>
              <w:rPr>
                <w:rFonts w:eastAsia="Times New Roman"/>
                <w:iCs/>
              </w:rPr>
            </w:pPr>
            <w:r>
              <w:rPr>
                <w:rFonts w:eastAsia="Times New Roman"/>
                <w:iCs/>
              </w:rPr>
              <w:t>0,21</w:t>
            </w:r>
          </w:p>
        </w:tc>
      </w:tr>
      <w:tr w:rsidR="00500AEC" w14:paraId="326D0E8C" w14:textId="77777777" w:rsidTr="00446322">
        <w:trPr>
          <w:trHeight w:val="634"/>
        </w:trPr>
        <w:tc>
          <w:tcPr>
            <w:tcW w:w="4014" w:type="dxa"/>
          </w:tcPr>
          <w:p w14:paraId="66A5BE06" w14:textId="77777777" w:rsidR="00500AEC" w:rsidRPr="007F3389" w:rsidRDefault="00500AEC" w:rsidP="00446322">
            <w:pPr>
              <w:spacing w:line="0" w:lineRule="atLeast"/>
              <w:jc w:val="center"/>
              <w:rPr>
                <w:rFonts w:eastAsia="Times New Roman"/>
                <w:iCs/>
              </w:rPr>
            </w:pPr>
            <w:r>
              <w:rPr>
                <w:rFonts w:eastAsia="Times New Roman"/>
                <w:iCs/>
              </w:rPr>
              <w:t xml:space="preserve">15 </w:t>
            </w:r>
            <w:r>
              <w:rPr>
                <w:rFonts w:ascii="Arial" w:eastAsia="Times New Roman" w:hAnsi="Arial" w:cs="Arial"/>
                <w:iCs/>
              </w:rPr>
              <w:t xml:space="preserve">≤ </w:t>
            </w:r>
            <w:r>
              <w:rPr>
                <w:rFonts w:eastAsia="Times New Roman"/>
                <w:iCs/>
              </w:rPr>
              <w:t xml:space="preserve">n </w:t>
            </w:r>
            <w:r>
              <w:rPr>
                <w:rFonts w:ascii="Arial" w:eastAsia="Times New Roman" w:hAnsi="Arial" w:cs="Arial"/>
                <w:iCs/>
              </w:rPr>
              <w:t xml:space="preserve">≤ </w:t>
            </w:r>
            <w:r>
              <w:rPr>
                <w:rFonts w:eastAsia="Times New Roman"/>
                <w:iCs/>
              </w:rPr>
              <w:t>39</w:t>
            </w:r>
          </w:p>
        </w:tc>
        <w:tc>
          <w:tcPr>
            <w:tcW w:w="4014" w:type="dxa"/>
          </w:tcPr>
          <w:p w14:paraId="7F77CFD5" w14:textId="14649AEC" w:rsidR="00500AEC" w:rsidRPr="007F3389" w:rsidRDefault="00500AEC" w:rsidP="00446322">
            <w:pPr>
              <w:spacing w:line="0" w:lineRule="atLeast"/>
              <w:jc w:val="center"/>
              <w:rPr>
                <w:rFonts w:eastAsia="Times New Roman"/>
                <w:iCs/>
              </w:rPr>
            </w:pPr>
            <m:oMathPara>
              <m:oMath>
                <m:r>
                  <w:rPr>
                    <w:rFonts w:ascii="Cambria Math" w:eastAsia="Times New Roman" w:hAnsi="Cambria Math"/>
                  </w:rPr>
                  <m:t>0,15</m:t>
                </m:r>
                <m:f>
                  <m:fPr>
                    <m:ctrlPr>
                      <w:rPr>
                        <w:rFonts w:ascii="Cambria Math" w:eastAsia="Times New Roman" w:hAnsi="Cambria Math"/>
                        <w:i/>
                        <w:iCs/>
                      </w:rPr>
                    </m:ctrlPr>
                  </m:fPr>
                  <m:num>
                    <m:r>
                      <w:rPr>
                        <w:rFonts w:ascii="Cambria Math" w:eastAsia="Times New Roman" w:hAnsi="Cambria Math"/>
                      </w:rPr>
                      <m:t>15</m:t>
                    </m:r>
                  </m:num>
                  <m:den>
                    <m:r>
                      <w:rPr>
                        <w:rFonts w:ascii="Cambria Math" w:eastAsia="Times New Roman" w:hAnsi="Cambria Math"/>
                      </w:rPr>
                      <m:t>n</m:t>
                    </m:r>
                  </m:den>
                </m:f>
              </m:oMath>
            </m:oMathPara>
          </w:p>
        </w:tc>
      </w:tr>
      <w:tr w:rsidR="00500AEC" w14:paraId="0866EC22" w14:textId="77777777" w:rsidTr="00446322">
        <w:trPr>
          <w:trHeight w:val="299"/>
        </w:trPr>
        <w:tc>
          <w:tcPr>
            <w:tcW w:w="8028" w:type="dxa"/>
            <w:gridSpan w:val="2"/>
          </w:tcPr>
          <w:p w14:paraId="1CD3E78E" w14:textId="77777777" w:rsidR="00500AEC" w:rsidRPr="007F3389" w:rsidRDefault="00500AEC" w:rsidP="00446322">
            <w:pPr>
              <w:spacing w:line="0" w:lineRule="atLeast"/>
              <w:jc w:val="center"/>
              <w:rPr>
                <w:rFonts w:eastAsia="Times New Roman"/>
                <w:iCs/>
              </w:rPr>
            </w:pPr>
            <w:r w:rsidRPr="007F3389">
              <w:rPr>
                <w:rFonts w:eastAsia="Times New Roman"/>
                <w:iCs/>
              </w:rPr>
              <w:t>Harmoniczne parzyste</w:t>
            </w:r>
          </w:p>
        </w:tc>
      </w:tr>
      <w:tr w:rsidR="00500AEC" w14:paraId="4E419A7C" w14:textId="77777777" w:rsidTr="00446322">
        <w:trPr>
          <w:trHeight w:val="283"/>
        </w:trPr>
        <w:tc>
          <w:tcPr>
            <w:tcW w:w="4014" w:type="dxa"/>
          </w:tcPr>
          <w:p w14:paraId="6F7D9B02" w14:textId="77777777" w:rsidR="00500AEC" w:rsidRPr="007F3389" w:rsidRDefault="00500AEC" w:rsidP="00446322">
            <w:pPr>
              <w:spacing w:line="0" w:lineRule="atLeast"/>
              <w:jc w:val="center"/>
              <w:rPr>
                <w:rFonts w:eastAsia="Times New Roman"/>
                <w:iCs/>
              </w:rPr>
            </w:pPr>
            <w:r>
              <w:rPr>
                <w:rFonts w:eastAsia="Times New Roman"/>
                <w:iCs/>
              </w:rPr>
              <w:t>2</w:t>
            </w:r>
          </w:p>
        </w:tc>
        <w:tc>
          <w:tcPr>
            <w:tcW w:w="4014" w:type="dxa"/>
          </w:tcPr>
          <w:p w14:paraId="40B08095" w14:textId="7FF48CA9" w:rsidR="00500AEC" w:rsidRPr="007F3389" w:rsidRDefault="00500AEC" w:rsidP="00446322">
            <w:pPr>
              <w:spacing w:line="0" w:lineRule="atLeast"/>
              <w:jc w:val="center"/>
              <w:rPr>
                <w:rFonts w:eastAsia="Times New Roman"/>
                <w:iCs/>
              </w:rPr>
            </w:pPr>
            <w:r>
              <w:rPr>
                <w:rFonts w:eastAsia="Times New Roman"/>
                <w:iCs/>
              </w:rPr>
              <w:t>1,08</w:t>
            </w:r>
          </w:p>
        </w:tc>
      </w:tr>
      <w:tr w:rsidR="00500AEC" w14:paraId="5745ECB9" w14:textId="77777777" w:rsidTr="00446322">
        <w:trPr>
          <w:trHeight w:val="283"/>
        </w:trPr>
        <w:tc>
          <w:tcPr>
            <w:tcW w:w="4014" w:type="dxa"/>
          </w:tcPr>
          <w:p w14:paraId="45D07664" w14:textId="77777777" w:rsidR="00500AEC" w:rsidRPr="007F3389" w:rsidRDefault="00500AEC" w:rsidP="00446322">
            <w:pPr>
              <w:spacing w:line="0" w:lineRule="atLeast"/>
              <w:jc w:val="center"/>
              <w:rPr>
                <w:rFonts w:eastAsia="Times New Roman"/>
                <w:iCs/>
              </w:rPr>
            </w:pPr>
            <w:r>
              <w:rPr>
                <w:rFonts w:eastAsia="Times New Roman"/>
                <w:iCs/>
              </w:rPr>
              <w:t>4</w:t>
            </w:r>
          </w:p>
        </w:tc>
        <w:tc>
          <w:tcPr>
            <w:tcW w:w="4014" w:type="dxa"/>
          </w:tcPr>
          <w:p w14:paraId="695AB105" w14:textId="7973BD46" w:rsidR="00500AEC" w:rsidRPr="007F3389" w:rsidRDefault="00500AEC" w:rsidP="00446322">
            <w:pPr>
              <w:spacing w:line="0" w:lineRule="atLeast"/>
              <w:jc w:val="center"/>
              <w:rPr>
                <w:rFonts w:eastAsia="Times New Roman"/>
                <w:iCs/>
              </w:rPr>
            </w:pPr>
            <w:r>
              <w:rPr>
                <w:rFonts w:eastAsia="Times New Roman"/>
                <w:iCs/>
              </w:rPr>
              <w:t>0,43</w:t>
            </w:r>
          </w:p>
        </w:tc>
      </w:tr>
      <w:tr w:rsidR="00500AEC" w14:paraId="2E5B5D4F" w14:textId="77777777" w:rsidTr="00446322">
        <w:trPr>
          <w:trHeight w:val="283"/>
        </w:trPr>
        <w:tc>
          <w:tcPr>
            <w:tcW w:w="4014" w:type="dxa"/>
          </w:tcPr>
          <w:p w14:paraId="3097623B" w14:textId="77777777" w:rsidR="00500AEC" w:rsidRPr="007F3389" w:rsidRDefault="00500AEC" w:rsidP="00446322">
            <w:pPr>
              <w:spacing w:line="0" w:lineRule="atLeast"/>
              <w:jc w:val="center"/>
              <w:rPr>
                <w:rFonts w:eastAsia="Times New Roman"/>
                <w:iCs/>
              </w:rPr>
            </w:pPr>
            <w:r>
              <w:rPr>
                <w:rFonts w:eastAsia="Times New Roman"/>
                <w:iCs/>
              </w:rPr>
              <w:t>6</w:t>
            </w:r>
          </w:p>
        </w:tc>
        <w:tc>
          <w:tcPr>
            <w:tcW w:w="4014" w:type="dxa"/>
          </w:tcPr>
          <w:p w14:paraId="3AA02FED" w14:textId="19ED1AC2" w:rsidR="00500AEC" w:rsidRPr="007F3389" w:rsidRDefault="00500AEC" w:rsidP="00446322">
            <w:pPr>
              <w:spacing w:line="0" w:lineRule="atLeast"/>
              <w:jc w:val="center"/>
              <w:rPr>
                <w:rFonts w:eastAsia="Times New Roman"/>
                <w:iCs/>
              </w:rPr>
            </w:pPr>
            <w:r>
              <w:rPr>
                <w:rFonts w:eastAsia="Times New Roman"/>
                <w:iCs/>
              </w:rPr>
              <w:t>0,3</w:t>
            </w:r>
          </w:p>
        </w:tc>
      </w:tr>
      <w:tr w:rsidR="00500AEC" w14:paraId="23E7DB2B" w14:textId="77777777" w:rsidTr="00446322">
        <w:trPr>
          <w:trHeight w:val="552"/>
        </w:trPr>
        <w:tc>
          <w:tcPr>
            <w:tcW w:w="4014" w:type="dxa"/>
          </w:tcPr>
          <w:p w14:paraId="02175ABF" w14:textId="77777777" w:rsidR="00500AEC" w:rsidRPr="007F3389" w:rsidRDefault="00500AEC" w:rsidP="00446322">
            <w:pPr>
              <w:spacing w:line="0" w:lineRule="atLeast"/>
              <w:jc w:val="center"/>
              <w:rPr>
                <w:rFonts w:eastAsia="Times New Roman"/>
                <w:iCs/>
              </w:rPr>
            </w:pPr>
            <w:r>
              <w:rPr>
                <w:rFonts w:eastAsia="Times New Roman"/>
                <w:iCs/>
              </w:rPr>
              <w:t xml:space="preserve">8 </w:t>
            </w:r>
            <w:r>
              <w:rPr>
                <w:rFonts w:ascii="Arial" w:eastAsia="Times New Roman" w:hAnsi="Arial" w:cs="Arial"/>
                <w:iCs/>
              </w:rPr>
              <w:t xml:space="preserve">≤ </w:t>
            </w:r>
            <w:r>
              <w:rPr>
                <w:rFonts w:eastAsia="Times New Roman"/>
                <w:iCs/>
              </w:rPr>
              <w:t xml:space="preserve">n </w:t>
            </w:r>
            <w:r>
              <w:rPr>
                <w:rFonts w:ascii="Arial" w:eastAsia="Times New Roman" w:hAnsi="Arial" w:cs="Arial"/>
                <w:iCs/>
              </w:rPr>
              <w:t xml:space="preserve">≤ </w:t>
            </w:r>
            <w:r>
              <w:rPr>
                <w:rFonts w:eastAsia="Times New Roman"/>
                <w:iCs/>
              </w:rPr>
              <w:t>40</w:t>
            </w:r>
          </w:p>
        </w:tc>
        <w:tc>
          <w:tcPr>
            <w:tcW w:w="4014" w:type="dxa"/>
          </w:tcPr>
          <w:p w14:paraId="602D542C" w14:textId="77777777" w:rsidR="00500AEC" w:rsidRPr="00790EDD" w:rsidRDefault="00500AEC" w:rsidP="00446322">
            <w:pPr>
              <w:spacing w:line="0" w:lineRule="atLeast"/>
              <w:jc w:val="center"/>
              <w:rPr>
                <w:rFonts w:eastAsia="Times New Roman"/>
                <w:iCs/>
              </w:rPr>
            </w:pPr>
            <m:oMathPara>
              <m:oMath>
                <m:r>
                  <w:rPr>
                    <w:rFonts w:ascii="Cambria Math" w:eastAsia="Times New Roman" w:hAnsi="Cambria Math"/>
                  </w:rPr>
                  <m:t>0,23</m:t>
                </m:r>
                <m:f>
                  <m:fPr>
                    <m:ctrlPr>
                      <w:rPr>
                        <w:rFonts w:ascii="Cambria Math" w:eastAsia="Times New Roman" w:hAnsi="Cambria Math"/>
                        <w:i/>
                        <w:iCs/>
                      </w:rPr>
                    </m:ctrlPr>
                  </m:fPr>
                  <m:num>
                    <m:r>
                      <w:rPr>
                        <w:rFonts w:ascii="Cambria Math" w:eastAsia="Times New Roman" w:hAnsi="Cambria Math"/>
                      </w:rPr>
                      <m:t>8</m:t>
                    </m:r>
                  </m:num>
                  <m:den>
                    <m:r>
                      <w:rPr>
                        <w:rFonts w:ascii="Cambria Math" w:eastAsia="Times New Roman" w:hAnsi="Cambria Math"/>
                      </w:rPr>
                      <m:t>n</m:t>
                    </m:r>
                  </m:den>
                </m:f>
              </m:oMath>
            </m:oMathPara>
          </w:p>
          <w:p w14:paraId="550109F5" w14:textId="5B5B7F3E" w:rsidR="00790EDD" w:rsidRPr="007F3389" w:rsidRDefault="00790EDD" w:rsidP="00446322">
            <w:pPr>
              <w:spacing w:line="0" w:lineRule="atLeast"/>
              <w:jc w:val="center"/>
              <w:rPr>
                <w:rFonts w:eastAsia="Times New Roman"/>
                <w:iCs/>
              </w:rPr>
            </w:pPr>
          </w:p>
        </w:tc>
      </w:tr>
    </w:tbl>
    <w:p w14:paraId="322DD036" w14:textId="77777777" w:rsidR="00572BA3" w:rsidRDefault="00572BA3">
      <w:pPr>
        <w:spacing w:line="20" w:lineRule="exact"/>
        <w:rPr>
          <w:rFonts w:eastAsia="Times New Roman"/>
        </w:rPr>
      </w:pPr>
    </w:p>
    <w:p w14:paraId="229984D5" w14:textId="77777777" w:rsidR="00572BA3" w:rsidRDefault="00572BA3">
      <w:pPr>
        <w:spacing w:line="20" w:lineRule="exact"/>
        <w:rPr>
          <w:rFonts w:eastAsia="Times New Roman"/>
        </w:rPr>
        <w:sectPr w:rsidR="00572BA3" w:rsidSect="00644F18">
          <w:pgSz w:w="11900" w:h="16841"/>
          <w:pgMar w:top="909" w:right="1346" w:bottom="624" w:left="1420" w:header="454" w:footer="0" w:gutter="0"/>
          <w:cols w:space="0" w:equalWidth="0">
            <w:col w:w="9140"/>
          </w:cols>
          <w:docGrid w:linePitch="360"/>
        </w:sectPr>
      </w:pPr>
    </w:p>
    <w:p w14:paraId="7689915A" w14:textId="77777777" w:rsidR="00572BA3" w:rsidRDefault="00572BA3">
      <w:pPr>
        <w:spacing w:line="20" w:lineRule="exact"/>
        <w:rPr>
          <w:rFonts w:eastAsia="Times New Roman"/>
        </w:rPr>
        <w:sectPr w:rsidR="00572BA3">
          <w:type w:val="continuous"/>
          <w:pgSz w:w="11900" w:h="16841"/>
          <w:pgMar w:top="909" w:right="1346" w:bottom="624" w:left="1420" w:header="0" w:footer="0" w:gutter="0"/>
          <w:cols w:num="2" w:space="0" w:equalWidth="0">
            <w:col w:w="6080" w:space="720"/>
            <w:col w:w="2340"/>
          </w:cols>
          <w:docGrid w:linePitch="360"/>
        </w:sectPr>
      </w:pPr>
    </w:p>
    <w:p w14:paraId="72A1857E" w14:textId="77777777" w:rsidR="003B6F41" w:rsidRDefault="003B6F41">
      <w:pPr>
        <w:spacing w:line="0" w:lineRule="atLeast"/>
        <w:ind w:left="1140"/>
        <w:rPr>
          <w:rFonts w:eastAsia="Times New Roman"/>
          <w:i/>
        </w:rPr>
      </w:pPr>
    </w:p>
    <w:p w14:paraId="169A2FD2" w14:textId="7D81AB9C" w:rsidR="00572BA3" w:rsidRDefault="00572BA3">
      <w:pPr>
        <w:spacing w:line="0" w:lineRule="atLeast"/>
        <w:ind w:left="1140"/>
        <w:rPr>
          <w:rFonts w:eastAsia="Times New Roman"/>
          <w:i/>
        </w:rPr>
      </w:pPr>
      <w:r>
        <w:rPr>
          <w:rFonts w:eastAsia="Times New Roman"/>
          <w:i/>
        </w:rPr>
        <w:lastRenderedPageBreak/>
        <w:t>Tablica 2. Dopuszczalne poziomy dla odbiorników klasy B.</w:t>
      </w:r>
    </w:p>
    <w:p w14:paraId="7F9FDC6F" w14:textId="32D87C2C" w:rsidR="006011D3" w:rsidRDefault="006011D3">
      <w:pPr>
        <w:spacing w:line="0" w:lineRule="atLeast"/>
        <w:ind w:left="1140"/>
        <w:rPr>
          <w:rFonts w:eastAsia="Times New Roman"/>
          <w:i/>
        </w:rPr>
      </w:pPr>
    </w:p>
    <w:tbl>
      <w:tblPr>
        <w:tblStyle w:val="Tabela-Siatka"/>
        <w:tblW w:w="8028" w:type="dxa"/>
        <w:tblInd w:w="1140" w:type="dxa"/>
        <w:tblLook w:val="04A0" w:firstRow="1" w:lastRow="0" w:firstColumn="1" w:lastColumn="0" w:noHBand="0" w:noVBand="1"/>
      </w:tblPr>
      <w:tblGrid>
        <w:gridCol w:w="4014"/>
        <w:gridCol w:w="4014"/>
      </w:tblGrid>
      <w:tr w:rsidR="006011D3" w14:paraId="35D758A6" w14:textId="77777777" w:rsidTr="006D5F0D">
        <w:trPr>
          <w:trHeight w:val="583"/>
        </w:trPr>
        <w:tc>
          <w:tcPr>
            <w:tcW w:w="4014" w:type="dxa"/>
            <w:tcBorders>
              <w:top w:val="single" w:sz="18" w:space="0" w:color="auto"/>
              <w:left w:val="single" w:sz="18" w:space="0" w:color="auto"/>
              <w:bottom w:val="single" w:sz="18" w:space="0" w:color="auto"/>
              <w:right w:val="single" w:sz="18" w:space="0" w:color="auto"/>
            </w:tcBorders>
          </w:tcPr>
          <w:p w14:paraId="060164B4" w14:textId="0853E709" w:rsidR="006011D3" w:rsidRPr="006011D3" w:rsidRDefault="006011D3" w:rsidP="006011D3">
            <w:pPr>
              <w:spacing w:line="0" w:lineRule="atLeast"/>
              <w:jc w:val="center"/>
              <w:rPr>
                <w:rFonts w:eastAsia="Times New Roman"/>
                <w:b/>
                <w:bCs/>
                <w:iCs/>
              </w:rPr>
            </w:pPr>
            <w:r w:rsidRPr="006011D3">
              <w:rPr>
                <w:rFonts w:eastAsia="Times New Roman"/>
                <w:b/>
                <w:bCs/>
                <w:iCs/>
              </w:rPr>
              <w:t>Rząd harmonicznej [n]</w:t>
            </w:r>
          </w:p>
        </w:tc>
        <w:tc>
          <w:tcPr>
            <w:tcW w:w="4014" w:type="dxa"/>
            <w:tcBorders>
              <w:top w:val="single" w:sz="18" w:space="0" w:color="auto"/>
              <w:left w:val="single" w:sz="18" w:space="0" w:color="auto"/>
              <w:bottom w:val="single" w:sz="18" w:space="0" w:color="auto"/>
              <w:right w:val="single" w:sz="18" w:space="0" w:color="auto"/>
            </w:tcBorders>
          </w:tcPr>
          <w:p w14:paraId="7E80FF84" w14:textId="03D76011" w:rsidR="006011D3" w:rsidRPr="006011D3" w:rsidRDefault="006011D3" w:rsidP="006011D3">
            <w:pPr>
              <w:spacing w:line="0" w:lineRule="atLeast"/>
              <w:jc w:val="center"/>
              <w:rPr>
                <w:rFonts w:eastAsia="Times New Roman"/>
                <w:b/>
                <w:bCs/>
                <w:iCs/>
              </w:rPr>
            </w:pPr>
            <w:r w:rsidRPr="006011D3">
              <w:rPr>
                <w:rFonts w:eastAsia="Times New Roman"/>
                <w:b/>
                <w:bCs/>
                <w:iCs/>
              </w:rPr>
              <w:t>Maksymalny dopuszczalny prąd harmonicznej [A]</w:t>
            </w:r>
          </w:p>
        </w:tc>
      </w:tr>
      <w:tr w:rsidR="007F3389" w14:paraId="3270314D" w14:textId="77777777" w:rsidTr="006D5F0D">
        <w:trPr>
          <w:trHeight w:val="283"/>
        </w:trPr>
        <w:tc>
          <w:tcPr>
            <w:tcW w:w="8028" w:type="dxa"/>
            <w:gridSpan w:val="2"/>
            <w:tcBorders>
              <w:top w:val="single" w:sz="18" w:space="0" w:color="auto"/>
            </w:tcBorders>
          </w:tcPr>
          <w:p w14:paraId="7AFC0C48" w14:textId="14BD67FD" w:rsidR="007F3389" w:rsidRPr="007F3389" w:rsidRDefault="007F3389" w:rsidP="007F3389">
            <w:pPr>
              <w:spacing w:line="0" w:lineRule="atLeast"/>
              <w:jc w:val="center"/>
              <w:rPr>
                <w:rFonts w:eastAsia="Times New Roman"/>
                <w:iCs/>
              </w:rPr>
            </w:pPr>
            <w:r w:rsidRPr="007F3389">
              <w:rPr>
                <w:rFonts w:eastAsia="Times New Roman"/>
                <w:iCs/>
              </w:rPr>
              <w:t>Harmoniczne nieparzyste</w:t>
            </w:r>
          </w:p>
        </w:tc>
      </w:tr>
      <w:tr w:rsidR="006011D3" w14:paraId="2DF602E5" w14:textId="77777777" w:rsidTr="006D5F0D">
        <w:trPr>
          <w:trHeight w:val="283"/>
        </w:trPr>
        <w:tc>
          <w:tcPr>
            <w:tcW w:w="4014" w:type="dxa"/>
          </w:tcPr>
          <w:p w14:paraId="1520164A" w14:textId="23010A1A" w:rsidR="006011D3" w:rsidRPr="007F3389" w:rsidRDefault="007F3389" w:rsidP="007F3389">
            <w:pPr>
              <w:spacing w:line="0" w:lineRule="atLeast"/>
              <w:jc w:val="center"/>
              <w:rPr>
                <w:rFonts w:eastAsia="Times New Roman"/>
                <w:iCs/>
              </w:rPr>
            </w:pPr>
            <w:r>
              <w:rPr>
                <w:rFonts w:eastAsia="Times New Roman"/>
                <w:iCs/>
              </w:rPr>
              <w:t>3</w:t>
            </w:r>
          </w:p>
        </w:tc>
        <w:tc>
          <w:tcPr>
            <w:tcW w:w="4014" w:type="dxa"/>
          </w:tcPr>
          <w:p w14:paraId="0B03DB05" w14:textId="6AE54900" w:rsidR="006011D3" w:rsidRPr="007F3389" w:rsidRDefault="006D5F0D" w:rsidP="007F3389">
            <w:pPr>
              <w:spacing w:line="0" w:lineRule="atLeast"/>
              <w:jc w:val="center"/>
              <w:rPr>
                <w:rFonts w:eastAsia="Times New Roman"/>
                <w:iCs/>
              </w:rPr>
            </w:pPr>
            <w:r>
              <w:rPr>
                <w:rFonts w:eastAsia="Times New Roman"/>
                <w:iCs/>
              </w:rPr>
              <w:t>3,45</w:t>
            </w:r>
          </w:p>
        </w:tc>
      </w:tr>
      <w:tr w:rsidR="006011D3" w14:paraId="6FF960AF" w14:textId="77777777" w:rsidTr="006D5F0D">
        <w:trPr>
          <w:trHeight w:val="283"/>
        </w:trPr>
        <w:tc>
          <w:tcPr>
            <w:tcW w:w="4014" w:type="dxa"/>
          </w:tcPr>
          <w:p w14:paraId="51D9C7E2" w14:textId="79ED4329" w:rsidR="006011D3" w:rsidRPr="007F3389" w:rsidRDefault="007F3389" w:rsidP="007F3389">
            <w:pPr>
              <w:spacing w:line="0" w:lineRule="atLeast"/>
              <w:jc w:val="center"/>
              <w:rPr>
                <w:rFonts w:eastAsia="Times New Roman"/>
                <w:iCs/>
              </w:rPr>
            </w:pPr>
            <w:r>
              <w:rPr>
                <w:rFonts w:eastAsia="Times New Roman"/>
                <w:iCs/>
              </w:rPr>
              <w:t>5</w:t>
            </w:r>
          </w:p>
        </w:tc>
        <w:tc>
          <w:tcPr>
            <w:tcW w:w="4014" w:type="dxa"/>
          </w:tcPr>
          <w:p w14:paraId="2AD607E3" w14:textId="050A2564" w:rsidR="006011D3" w:rsidRPr="007F3389" w:rsidRDefault="006D5F0D" w:rsidP="007F3389">
            <w:pPr>
              <w:spacing w:line="0" w:lineRule="atLeast"/>
              <w:jc w:val="center"/>
              <w:rPr>
                <w:rFonts w:eastAsia="Times New Roman"/>
                <w:iCs/>
              </w:rPr>
            </w:pPr>
            <w:r>
              <w:rPr>
                <w:rFonts w:eastAsia="Times New Roman"/>
                <w:iCs/>
              </w:rPr>
              <w:t>1,71</w:t>
            </w:r>
          </w:p>
        </w:tc>
      </w:tr>
      <w:tr w:rsidR="006011D3" w14:paraId="585612AD" w14:textId="77777777" w:rsidTr="006D5F0D">
        <w:trPr>
          <w:trHeight w:val="283"/>
        </w:trPr>
        <w:tc>
          <w:tcPr>
            <w:tcW w:w="4014" w:type="dxa"/>
          </w:tcPr>
          <w:p w14:paraId="4CFF15E1" w14:textId="1E36732F" w:rsidR="006011D3" w:rsidRPr="007F3389" w:rsidRDefault="007F3389" w:rsidP="007F3389">
            <w:pPr>
              <w:spacing w:line="0" w:lineRule="atLeast"/>
              <w:jc w:val="center"/>
              <w:rPr>
                <w:rFonts w:eastAsia="Times New Roman"/>
                <w:iCs/>
              </w:rPr>
            </w:pPr>
            <w:r>
              <w:rPr>
                <w:rFonts w:eastAsia="Times New Roman"/>
                <w:iCs/>
              </w:rPr>
              <w:t>7</w:t>
            </w:r>
          </w:p>
        </w:tc>
        <w:tc>
          <w:tcPr>
            <w:tcW w:w="4014" w:type="dxa"/>
          </w:tcPr>
          <w:p w14:paraId="70F73FC3" w14:textId="6AACF0CE" w:rsidR="006011D3" w:rsidRPr="007F3389" w:rsidRDefault="006D5F0D" w:rsidP="007F3389">
            <w:pPr>
              <w:spacing w:line="0" w:lineRule="atLeast"/>
              <w:jc w:val="center"/>
              <w:rPr>
                <w:rFonts w:eastAsia="Times New Roman"/>
                <w:iCs/>
              </w:rPr>
            </w:pPr>
            <w:r>
              <w:rPr>
                <w:rFonts w:eastAsia="Times New Roman"/>
                <w:iCs/>
              </w:rPr>
              <w:t>1,155</w:t>
            </w:r>
          </w:p>
        </w:tc>
      </w:tr>
      <w:tr w:rsidR="006011D3" w14:paraId="371F0A67" w14:textId="77777777" w:rsidTr="006D5F0D">
        <w:trPr>
          <w:trHeight w:val="283"/>
        </w:trPr>
        <w:tc>
          <w:tcPr>
            <w:tcW w:w="4014" w:type="dxa"/>
          </w:tcPr>
          <w:p w14:paraId="791753FB" w14:textId="29ED8C25" w:rsidR="006011D3" w:rsidRPr="007F3389" w:rsidRDefault="007F3389" w:rsidP="007F3389">
            <w:pPr>
              <w:spacing w:line="0" w:lineRule="atLeast"/>
              <w:jc w:val="center"/>
              <w:rPr>
                <w:rFonts w:eastAsia="Times New Roman"/>
                <w:iCs/>
              </w:rPr>
            </w:pPr>
            <w:r>
              <w:rPr>
                <w:rFonts w:eastAsia="Times New Roman"/>
                <w:iCs/>
              </w:rPr>
              <w:t>9</w:t>
            </w:r>
          </w:p>
        </w:tc>
        <w:tc>
          <w:tcPr>
            <w:tcW w:w="4014" w:type="dxa"/>
          </w:tcPr>
          <w:p w14:paraId="0EFDBBEC" w14:textId="47B07714" w:rsidR="006011D3" w:rsidRPr="007F3389" w:rsidRDefault="006D5F0D" w:rsidP="007F3389">
            <w:pPr>
              <w:spacing w:line="0" w:lineRule="atLeast"/>
              <w:jc w:val="center"/>
              <w:rPr>
                <w:rFonts w:eastAsia="Times New Roman"/>
                <w:iCs/>
              </w:rPr>
            </w:pPr>
            <w:r>
              <w:rPr>
                <w:rFonts w:eastAsia="Times New Roman"/>
                <w:iCs/>
              </w:rPr>
              <w:t>0,6</w:t>
            </w:r>
          </w:p>
        </w:tc>
      </w:tr>
      <w:tr w:rsidR="006011D3" w14:paraId="16FF083C" w14:textId="77777777" w:rsidTr="006D5F0D">
        <w:trPr>
          <w:trHeight w:val="299"/>
        </w:trPr>
        <w:tc>
          <w:tcPr>
            <w:tcW w:w="4014" w:type="dxa"/>
          </w:tcPr>
          <w:p w14:paraId="3CDED7B4" w14:textId="6A52E7F5" w:rsidR="006011D3" w:rsidRPr="007F3389" w:rsidRDefault="007F3389" w:rsidP="007F3389">
            <w:pPr>
              <w:spacing w:line="0" w:lineRule="atLeast"/>
              <w:jc w:val="center"/>
              <w:rPr>
                <w:rFonts w:eastAsia="Times New Roman"/>
                <w:iCs/>
              </w:rPr>
            </w:pPr>
            <w:r>
              <w:rPr>
                <w:rFonts w:eastAsia="Times New Roman"/>
                <w:iCs/>
              </w:rPr>
              <w:t>11</w:t>
            </w:r>
          </w:p>
        </w:tc>
        <w:tc>
          <w:tcPr>
            <w:tcW w:w="4014" w:type="dxa"/>
          </w:tcPr>
          <w:p w14:paraId="4C05D667" w14:textId="78CAAE2A" w:rsidR="006011D3" w:rsidRPr="007F3389" w:rsidRDefault="006D5F0D" w:rsidP="007F3389">
            <w:pPr>
              <w:spacing w:line="0" w:lineRule="atLeast"/>
              <w:jc w:val="center"/>
              <w:rPr>
                <w:rFonts w:eastAsia="Times New Roman"/>
                <w:iCs/>
              </w:rPr>
            </w:pPr>
            <w:r>
              <w:rPr>
                <w:rFonts w:eastAsia="Times New Roman"/>
                <w:iCs/>
              </w:rPr>
              <w:t>0,495</w:t>
            </w:r>
          </w:p>
        </w:tc>
      </w:tr>
      <w:tr w:rsidR="006011D3" w14:paraId="451A0286" w14:textId="77777777" w:rsidTr="006D5F0D">
        <w:trPr>
          <w:trHeight w:val="283"/>
        </w:trPr>
        <w:tc>
          <w:tcPr>
            <w:tcW w:w="4014" w:type="dxa"/>
          </w:tcPr>
          <w:p w14:paraId="50EB9EF7" w14:textId="63641A48" w:rsidR="006011D3" w:rsidRPr="007F3389" w:rsidRDefault="007F3389" w:rsidP="007F3389">
            <w:pPr>
              <w:spacing w:line="0" w:lineRule="atLeast"/>
              <w:jc w:val="center"/>
              <w:rPr>
                <w:rFonts w:eastAsia="Times New Roman"/>
                <w:iCs/>
              </w:rPr>
            </w:pPr>
            <w:r>
              <w:rPr>
                <w:rFonts w:eastAsia="Times New Roman"/>
                <w:iCs/>
              </w:rPr>
              <w:t>13</w:t>
            </w:r>
          </w:p>
        </w:tc>
        <w:tc>
          <w:tcPr>
            <w:tcW w:w="4014" w:type="dxa"/>
          </w:tcPr>
          <w:p w14:paraId="7A3E5A45" w14:textId="2FA04205" w:rsidR="006011D3" w:rsidRPr="007F3389" w:rsidRDefault="006D5F0D" w:rsidP="007F3389">
            <w:pPr>
              <w:spacing w:line="0" w:lineRule="atLeast"/>
              <w:jc w:val="center"/>
              <w:rPr>
                <w:rFonts w:eastAsia="Times New Roman"/>
                <w:iCs/>
              </w:rPr>
            </w:pPr>
            <w:r>
              <w:rPr>
                <w:rFonts w:eastAsia="Times New Roman"/>
                <w:iCs/>
              </w:rPr>
              <w:t>0,315</w:t>
            </w:r>
          </w:p>
        </w:tc>
      </w:tr>
      <w:tr w:rsidR="007F3389" w14:paraId="11DA0E59" w14:textId="77777777" w:rsidTr="006D5F0D">
        <w:trPr>
          <w:trHeight w:val="634"/>
        </w:trPr>
        <w:tc>
          <w:tcPr>
            <w:tcW w:w="4014" w:type="dxa"/>
          </w:tcPr>
          <w:p w14:paraId="2A79B500" w14:textId="6BC87159" w:rsidR="007F3389" w:rsidRPr="007F3389" w:rsidRDefault="007F3389" w:rsidP="007F3389">
            <w:pPr>
              <w:spacing w:line="0" w:lineRule="atLeast"/>
              <w:jc w:val="center"/>
              <w:rPr>
                <w:rFonts w:eastAsia="Times New Roman"/>
                <w:iCs/>
              </w:rPr>
            </w:pPr>
            <w:r>
              <w:rPr>
                <w:rFonts w:eastAsia="Times New Roman"/>
                <w:iCs/>
              </w:rPr>
              <w:t>15</w:t>
            </w:r>
            <w:r w:rsidR="005F0FDE">
              <w:rPr>
                <w:rFonts w:eastAsia="Times New Roman"/>
                <w:iCs/>
              </w:rPr>
              <w:t xml:space="preserve"> </w:t>
            </w:r>
            <w:r>
              <w:rPr>
                <w:rFonts w:ascii="Arial" w:eastAsia="Times New Roman" w:hAnsi="Arial" w:cs="Arial"/>
                <w:iCs/>
              </w:rPr>
              <w:t>≤</w:t>
            </w:r>
            <w:r w:rsidR="005F0FDE">
              <w:rPr>
                <w:rFonts w:ascii="Arial" w:eastAsia="Times New Roman" w:hAnsi="Arial" w:cs="Arial"/>
                <w:iCs/>
              </w:rPr>
              <w:t xml:space="preserve"> </w:t>
            </w:r>
            <w:r>
              <w:rPr>
                <w:rFonts w:eastAsia="Times New Roman"/>
                <w:iCs/>
              </w:rPr>
              <w:t>n</w:t>
            </w:r>
            <w:r w:rsidR="005F0FDE">
              <w:rPr>
                <w:rFonts w:eastAsia="Times New Roman"/>
                <w:iCs/>
              </w:rPr>
              <w:t xml:space="preserve"> </w:t>
            </w:r>
            <w:r>
              <w:rPr>
                <w:rFonts w:ascii="Arial" w:eastAsia="Times New Roman" w:hAnsi="Arial" w:cs="Arial"/>
                <w:iCs/>
              </w:rPr>
              <w:t>≤</w:t>
            </w:r>
            <w:r w:rsidR="005F0FDE">
              <w:rPr>
                <w:rFonts w:ascii="Arial" w:eastAsia="Times New Roman" w:hAnsi="Arial" w:cs="Arial"/>
                <w:iCs/>
              </w:rPr>
              <w:t xml:space="preserve"> </w:t>
            </w:r>
            <w:r>
              <w:rPr>
                <w:rFonts w:eastAsia="Times New Roman"/>
                <w:iCs/>
              </w:rPr>
              <w:t>39</w:t>
            </w:r>
          </w:p>
        </w:tc>
        <w:tc>
          <w:tcPr>
            <w:tcW w:w="4014" w:type="dxa"/>
          </w:tcPr>
          <w:p w14:paraId="1A217D8B" w14:textId="46AC278F" w:rsidR="007F3389" w:rsidRPr="007F3389" w:rsidRDefault="006D5F0D" w:rsidP="007F3389">
            <w:pPr>
              <w:spacing w:line="0" w:lineRule="atLeast"/>
              <w:jc w:val="center"/>
              <w:rPr>
                <w:rFonts w:eastAsia="Times New Roman"/>
                <w:iCs/>
              </w:rPr>
            </w:pPr>
            <m:oMathPara>
              <m:oMath>
                <m:r>
                  <w:rPr>
                    <w:rFonts w:ascii="Cambria Math" w:eastAsia="Times New Roman" w:hAnsi="Cambria Math"/>
                  </w:rPr>
                  <m:t>0,225</m:t>
                </m:r>
                <m:f>
                  <m:fPr>
                    <m:ctrlPr>
                      <w:rPr>
                        <w:rFonts w:ascii="Cambria Math" w:eastAsia="Times New Roman" w:hAnsi="Cambria Math"/>
                        <w:i/>
                        <w:iCs/>
                      </w:rPr>
                    </m:ctrlPr>
                  </m:fPr>
                  <m:num>
                    <m:r>
                      <w:rPr>
                        <w:rFonts w:ascii="Cambria Math" w:eastAsia="Times New Roman" w:hAnsi="Cambria Math"/>
                      </w:rPr>
                      <m:t>15</m:t>
                    </m:r>
                  </m:num>
                  <m:den>
                    <m:r>
                      <w:rPr>
                        <w:rFonts w:ascii="Cambria Math" w:eastAsia="Times New Roman" w:hAnsi="Cambria Math"/>
                      </w:rPr>
                      <m:t>n</m:t>
                    </m:r>
                  </m:den>
                </m:f>
              </m:oMath>
            </m:oMathPara>
          </w:p>
        </w:tc>
      </w:tr>
      <w:tr w:rsidR="007F3389" w14:paraId="49C74806" w14:textId="77777777" w:rsidTr="006D5F0D">
        <w:trPr>
          <w:trHeight w:val="299"/>
        </w:trPr>
        <w:tc>
          <w:tcPr>
            <w:tcW w:w="8028" w:type="dxa"/>
            <w:gridSpan w:val="2"/>
          </w:tcPr>
          <w:p w14:paraId="4373BA85" w14:textId="0FD21C29" w:rsidR="007F3389" w:rsidRPr="007F3389" w:rsidRDefault="007F3389" w:rsidP="007F3389">
            <w:pPr>
              <w:spacing w:line="0" w:lineRule="atLeast"/>
              <w:jc w:val="center"/>
              <w:rPr>
                <w:rFonts w:eastAsia="Times New Roman"/>
                <w:iCs/>
              </w:rPr>
            </w:pPr>
            <w:r w:rsidRPr="007F3389">
              <w:rPr>
                <w:rFonts w:eastAsia="Times New Roman"/>
                <w:iCs/>
              </w:rPr>
              <w:t>Harmoniczne parzyste</w:t>
            </w:r>
          </w:p>
        </w:tc>
      </w:tr>
      <w:tr w:rsidR="007F3389" w14:paraId="16556D64" w14:textId="77777777" w:rsidTr="006D5F0D">
        <w:trPr>
          <w:trHeight w:val="283"/>
        </w:trPr>
        <w:tc>
          <w:tcPr>
            <w:tcW w:w="4014" w:type="dxa"/>
          </w:tcPr>
          <w:p w14:paraId="7D22E17F" w14:textId="4FC7FD3C" w:rsidR="007F3389" w:rsidRPr="007F3389" w:rsidRDefault="006D5F0D" w:rsidP="007F3389">
            <w:pPr>
              <w:spacing w:line="0" w:lineRule="atLeast"/>
              <w:jc w:val="center"/>
              <w:rPr>
                <w:rFonts w:eastAsia="Times New Roman"/>
                <w:iCs/>
              </w:rPr>
            </w:pPr>
            <w:r>
              <w:rPr>
                <w:rFonts w:eastAsia="Times New Roman"/>
                <w:iCs/>
              </w:rPr>
              <w:t>2</w:t>
            </w:r>
          </w:p>
        </w:tc>
        <w:tc>
          <w:tcPr>
            <w:tcW w:w="4014" w:type="dxa"/>
          </w:tcPr>
          <w:p w14:paraId="3E31C4BD" w14:textId="4C1BFF64" w:rsidR="007F3389" w:rsidRPr="007F3389" w:rsidRDefault="006D5F0D" w:rsidP="007F3389">
            <w:pPr>
              <w:spacing w:line="0" w:lineRule="atLeast"/>
              <w:jc w:val="center"/>
              <w:rPr>
                <w:rFonts w:eastAsia="Times New Roman"/>
                <w:iCs/>
              </w:rPr>
            </w:pPr>
            <w:r>
              <w:rPr>
                <w:rFonts w:eastAsia="Times New Roman"/>
                <w:iCs/>
              </w:rPr>
              <w:t>1,62</w:t>
            </w:r>
          </w:p>
        </w:tc>
      </w:tr>
      <w:tr w:rsidR="007F3389" w14:paraId="78F93F69" w14:textId="77777777" w:rsidTr="006D5F0D">
        <w:trPr>
          <w:trHeight w:val="283"/>
        </w:trPr>
        <w:tc>
          <w:tcPr>
            <w:tcW w:w="4014" w:type="dxa"/>
          </w:tcPr>
          <w:p w14:paraId="3A0200FA" w14:textId="464AD3BE" w:rsidR="007F3389" w:rsidRPr="007F3389" w:rsidRDefault="006D5F0D" w:rsidP="007F3389">
            <w:pPr>
              <w:spacing w:line="0" w:lineRule="atLeast"/>
              <w:jc w:val="center"/>
              <w:rPr>
                <w:rFonts w:eastAsia="Times New Roman"/>
                <w:iCs/>
              </w:rPr>
            </w:pPr>
            <w:r>
              <w:rPr>
                <w:rFonts w:eastAsia="Times New Roman"/>
                <w:iCs/>
              </w:rPr>
              <w:t>4</w:t>
            </w:r>
          </w:p>
        </w:tc>
        <w:tc>
          <w:tcPr>
            <w:tcW w:w="4014" w:type="dxa"/>
          </w:tcPr>
          <w:p w14:paraId="79EC4AA9" w14:textId="365A2A93" w:rsidR="007F3389" w:rsidRPr="007F3389" w:rsidRDefault="006D5F0D" w:rsidP="007F3389">
            <w:pPr>
              <w:spacing w:line="0" w:lineRule="atLeast"/>
              <w:jc w:val="center"/>
              <w:rPr>
                <w:rFonts w:eastAsia="Times New Roman"/>
                <w:iCs/>
              </w:rPr>
            </w:pPr>
            <w:r>
              <w:rPr>
                <w:rFonts w:eastAsia="Times New Roman"/>
                <w:iCs/>
              </w:rPr>
              <w:t>0,645</w:t>
            </w:r>
          </w:p>
        </w:tc>
      </w:tr>
      <w:tr w:rsidR="007F3389" w14:paraId="4AA28DCD" w14:textId="77777777" w:rsidTr="006D5F0D">
        <w:trPr>
          <w:trHeight w:val="283"/>
        </w:trPr>
        <w:tc>
          <w:tcPr>
            <w:tcW w:w="4014" w:type="dxa"/>
          </w:tcPr>
          <w:p w14:paraId="0D028F77" w14:textId="3FA9FDE9" w:rsidR="007F3389" w:rsidRPr="007F3389" w:rsidRDefault="006D5F0D" w:rsidP="007F3389">
            <w:pPr>
              <w:spacing w:line="0" w:lineRule="atLeast"/>
              <w:jc w:val="center"/>
              <w:rPr>
                <w:rFonts w:eastAsia="Times New Roman"/>
                <w:iCs/>
              </w:rPr>
            </w:pPr>
            <w:r>
              <w:rPr>
                <w:rFonts w:eastAsia="Times New Roman"/>
                <w:iCs/>
              </w:rPr>
              <w:t>6</w:t>
            </w:r>
          </w:p>
        </w:tc>
        <w:tc>
          <w:tcPr>
            <w:tcW w:w="4014" w:type="dxa"/>
          </w:tcPr>
          <w:p w14:paraId="3646867F" w14:textId="3CB0368A" w:rsidR="007F3389" w:rsidRPr="007F3389" w:rsidRDefault="006D5F0D" w:rsidP="007F3389">
            <w:pPr>
              <w:spacing w:line="0" w:lineRule="atLeast"/>
              <w:jc w:val="center"/>
              <w:rPr>
                <w:rFonts w:eastAsia="Times New Roman"/>
                <w:iCs/>
              </w:rPr>
            </w:pPr>
            <w:r>
              <w:rPr>
                <w:rFonts w:eastAsia="Times New Roman"/>
                <w:iCs/>
              </w:rPr>
              <w:t>0,45</w:t>
            </w:r>
          </w:p>
        </w:tc>
      </w:tr>
      <w:tr w:rsidR="007F3389" w14:paraId="4F3E459A" w14:textId="77777777" w:rsidTr="006D5F0D">
        <w:trPr>
          <w:trHeight w:val="552"/>
        </w:trPr>
        <w:tc>
          <w:tcPr>
            <w:tcW w:w="4014" w:type="dxa"/>
          </w:tcPr>
          <w:p w14:paraId="5926DF3E" w14:textId="3DD7C2F9" w:rsidR="007F3389" w:rsidRPr="007F3389" w:rsidRDefault="006D5F0D" w:rsidP="007F3389">
            <w:pPr>
              <w:spacing w:line="0" w:lineRule="atLeast"/>
              <w:jc w:val="center"/>
              <w:rPr>
                <w:rFonts w:eastAsia="Times New Roman"/>
                <w:iCs/>
              </w:rPr>
            </w:pPr>
            <w:r>
              <w:rPr>
                <w:rFonts w:eastAsia="Times New Roman"/>
                <w:iCs/>
              </w:rPr>
              <w:t>8</w:t>
            </w:r>
            <w:r w:rsidR="005F0FDE">
              <w:rPr>
                <w:rFonts w:eastAsia="Times New Roman"/>
                <w:iCs/>
              </w:rPr>
              <w:t xml:space="preserve"> </w:t>
            </w:r>
            <w:r>
              <w:rPr>
                <w:rFonts w:ascii="Arial" w:eastAsia="Times New Roman" w:hAnsi="Arial" w:cs="Arial"/>
                <w:iCs/>
              </w:rPr>
              <w:t>≤</w:t>
            </w:r>
            <w:r w:rsidR="005F0FDE">
              <w:rPr>
                <w:rFonts w:ascii="Arial" w:eastAsia="Times New Roman" w:hAnsi="Arial" w:cs="Arial"/>
                <w:iCs/>
              </w:rPr>
              <w:t xml:space="preserve"> </w:t>
            </w:r>
            <w:r>
              <w:rPr>
                <w:rFonts w:eastAsia="Times New Roman"/>
                <w:iCs/>
              </w:rPr>
              <w:t>n</w:t>
            </w:r>
            <w:r w:rsidR="005F0FDE">
              <w:rPr>
                <w:rFonts w:eastAsia="Times New Roman"/>
                <w:iCs/>
              </w:rPr>
              <w:t xml:space="preserve"> </w:t>
            </w:r>
            <w:r>
              <w:rPr>
                <w:rFonts w:ascii="Arial" w:eastAsia="Times New Roman" w:hAnsi="Arial" w:cs="Arial"/>
                <w:iCs/>
              </w:rPr>
              <w:t>≤</w:t>
            </w:r>
            <w:r w:rsidR="005F0FDE">
              <w:rPr>
                <w:rFonts w:ascii="Arial" w:eastAsia="Times New Roman" w:hAnsi="Arial" w:cs="Arial"/>
                <w:iCs/>
              </w:rPr>
              <w:t xml:space="preserve"> </w:t>
            </w:r>
            <w:r>
              <w:rPr>
                <w:rFonts w:eastAsia="Times New Roman"/>
                <w:iCs/>
              </w:rPr>
              <w:t>40</w:t>
            </w:r>
          </w:p>
        </w:tc>
        <w:tc>
          <w:tcPr>
            <w:tcW w:w="4014" w:type="dxa"/>
          </w:tcPr>
          <w:p w14:paraId="2A74BBF5" w14:textId="77777777" w:rsidR="007F3389" w:rsidRPr="00790EDD" w:rsidRDefault="006D5F0D" w:rsidP="007F3389">
            <w:pPr>
              <w:spacing w:line="0" w:lineRule="atLeast"/>
              <w:jc w:val="center"/>
              <w:rPr>
                <w:rFonts w:eastAsia="Times New Roman"/>
                <w:iCs/>
              </w:rPr>
            </w:pPr>
            <m:oMathPara>
              <m:oMath>
                <m:r>
                  <w:rPr>
                    <w:rFonts w:ascii="Cambria Math" w:eastAsia="Times New Roman" w:hAnsi="Cambria Math"/>
                  </w:rPr>
                  <m:t>0,345</m:t>
                </m:r>
                <m:f>
                  <m:fPr>
                    <m:ctrlPr>
                      <w:rPr>
                        <w:rFonts w:ascii="Cambria Math" w:eastAsia="Times New Roman" w:hAnsi="Cambria Math"/>
                        <w:i/>
                        <w:iCs/>
                      </w:rPr>
                    </m:ctrlPr>
                  </m:fPr>
                  <m:num>
                    <m:r>
                      <w:rPr>
                        <w:rFonts w:ascii="Cambria Math" w:eastAsia="Times New Roman" w:hAnsi="Cambria Math"/>
                      </w:rPr>
                      <m:t>8</m:t>
                    </m:r>
                  </m:num>
                  <m:den>
                    <m:r>
                      <w:rPr>
                        <w:rFonts w:ascii="Cambria Math" w:eastAsia="Times New Roman" w:hAnsi="Cambria Math"/>
                      </w:rPr>
                      <m:t>n</m:t>
                    </m:r>
                  </m:den>
                </m:f>
              </m:oMath>
            </m:oMathPara>
          </w:p>
          <w:p w14:paraId="434F2B55" w14:textId="7C357920" w:rsidR="00790EDD" w:rsidRPr="007F3389" w:rsidRDefault="00790EDD" w:rsidP="007F3389">
            <w:pPr>
              <w:spacing w:line="0" w:lineRule="atLeast"/>
              <w:jc w:val="center"/>
              <w:rPr>
                <w:rFonts w:eastAsia="Times New Roman"/>
                <w:iCs/>
              </w:rPr>
            </w:pPr>
          </w:p>
        </w:tc>
      </w:tr>
    </w:tbl>
    <w:p w14:paraId="3620628D" w14:textId="13718867" w:rsidR="006011D3" w:rsidRDefault="006011D3">
      <w:pPr>
        <w:spacing w:line="0" w:lineRule="atLeast"/>
        <w:ind w:left="1140"/>
        <w:rPr>
          <w:rFonts w:eastAsia="Times New Roman"/>
          <w:i/>
        </w:rPr>
      </w:pPr>
    </w:p>
    <w:p w14:paraId="5ECC1733" w14:textId="77777777" w:rsidR="00B92DD3" w:rsidRDefault="00B92DD3" w:rsidP="00B92DD3">
      <w:pPr>
        <w:spacing w:line="0" w:lineRule="atLeast"/>
        <w:rPr>
          <w:rFonts w:eastAsia="Times New Roman"/>
        </w:rPr>
      </w:pPr>
    </w:p>
    <w:p w14:paraId="56A2DDC9" w14:textId="6BFCD5A7" w:rsidR="00B92DD3" w:rsidRDefault="00B92DD3" w:rsidP="00B92DD3">
      <w:pPr>
        <w:spacing w:line="0" w:lineRule="atLeast"/>
        <w:ind w:left="100"/>
        <w:jc w:val="center"/>
        <w:rPr>
          <w:rFonts w:eastAsia="Times New Roman"/>
          <w:i/>
        </w:rPr>
      </w:pPr>
      <w:r>
        <w:rPr>
          <w:rFonts w:eastAsia="Times New Roman"/>
          <w:i/>
        </w:rPr>
        <w:t>Tablica 3. Dopuszczalne poziomy dla odbiorników klasy C.</w:t>
      </w:r>
    </w:p>
    <w:p w14:paraId="5D9D6000" w14:textId="77777777" w:rsidR="00B92DD3" w:rsidRDefault="00B92DD3" w:rsidP="00B92DD3">
      <w:pPr>
        <w:spacing w:line="0" w:lineRule="atLeast"/>
        <w:ind w:left="100"/>
        <w:jc w:val="center"/>
        <w:rPr>
          <w:rFonts w:eastAsia="Times New Roman"/>
          <w:i/>
        </w:rPr>
      </w:pPr>
    </w:p>
    <w:p w14:paraId="058A8E58" w14:textId="25F4EB8A" w:rsidR="006011D3" w:rsidRDefault="00B92DD3">
      <w:pPr>
        <w:spacing w:line="0" w:lineRule="atLeast"/>
        <w:ind w:left="1140"/>
        <w:rPr>
          <w:rFonts w:eastAsia="Times New Roman"/>
          <w:i/>
        </w:rPr>
      </w:pPr>
      <w:r>
        <w:rPr>
          <w:rFonts w:eastAsia="Times New Roman"/>
          <w:i/>
          <w:noProof/>
        </w:rPr>
        <w:drawing>
          <wp:inline distT="0" distB="0" distL="0" distR="0" wp14:anchorId="3FFCDE95" wp14:editId="62F3BE9D">
            <wp:extent cx="5095875" cy="2190750"/>
            <wp:effectExtent l="0" t="0" r="9525" b="0"/>
            <wp:docPr id="7" name="Obraz 7" descr="Tabela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ela 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875" cy="2190750"/>
                    </a:xfrm>
                    <a:prstGeom prst="rect">
                      <a:avLst/>
                    </a:prstGeom>
                    <a:noFill/>
                    <a:ln>
                      <a:noFill/>
                    </a:ln>
                  </pic:spPr>
                </pic:pic>
              </a:graphicData>
            </a:graphic>
          </wp:inline>
        </w:drawing>
      </w:r>
    </w:p>
    <w:p w14:paraId="62A8B2A5" w14:textId="7978D569" w:rsidR="006011D3" w:rsidRDefault="006011D3">
      <w:pPr>
        <w:spacing w:line="0" w:lineRule="atLeast"/>
        <w:ind w:left="1140"/>
        <w:rPr>
          <w:rFonts w:eastAsia="Times New Roman"/>
          <w:i/>
        </w:rPr>
      </w:pPr>
    </w:p>
    <w:p w14:paraId="2BA00F30" w14:textId="36736999" w:rsidR="00B92DD3" w:rsidRDefault="00B92DD3">
      <w:pPr>
        <w:spacing w:line="0" w:lineRule="atLeast"/>
        <w:ind w:left="1140"/>
        <w:rPr>
          <w:rFonts w:eastAsia="Times New Roman"/>
          <w:i/>
        </w:rPr>
      </w:pPr>
    </w:p>
    <w:p w14:paraId="04A6DF2A" w14:textId="10CBF3CD" w:rsidR="00B92DD3" w:rsidRDefault="00B92DD3">
      <w:pPr>
        <w:spacing w:line="0" w:lineRule="atLeast"/>
        <w:ind w:left="1140"/>
        <w:rPr>
          <w:rFonts w:eastAsia="Times New Roman"/>
          <w:i/>
        </w:rPr>
      </w:pPr>
    </w:p>
    <w:p w14:paraId="7B54B305" w14:textId="7B64C5D1" w:rsidR="00B92DD3" w:rsidRDefault="00B92DD3">
      <w:pPr>
        <w:spacing w:line="0" w:lineRule="atLeast"/>
        <w:ind w:left="1140"/>
        <w:rPr>
          <w:rFonts w:eastAsia="Times New Roman"/>
          <w:i/>
        </w:rPr>
      </w:pPr>
    </w:p>
    <w:p w14:paraId="6405DEA1" w14:textId="503AC27E" w:rsidR="00B92DD3" w:rsidRDefault="00B92DD3">
      <w:pPr>
        <w:spacing w:line="0" w:lineRule="atLeast"/>
        <w:ind w:left="1140"/>
        <w:rPr>
          <w:rFonts w:eastAsia="Times New Roman"/>
          <w:i/>
        </w:rPr>
      </w:pPr>
    </w:p>
    <w:p w14:paraId="79444D36" w14:textId="4C5310F8" w:rsidR="00B92DD3" w:rsidRDefault="00B92DD3">
      <w:pPr>
        <w:spacing w:line="0" w:lineRule="atLeast"/>
        <w:ind w:left="1140"/>
        <w:rPr>
          <w:rFonts w:eastAsia="Times New Roman"/>
          <w:i/>
        </w:rPr>
      </w:pPr>
    </w:p>
    <w:p w14:paraId="29BED9C7" w14:textId="19B57F69" w:rsidR="00B92DD3" w:rsidRDefault="00B92DD3">
      <w:pPr>
        <w:spacing w:line="0" w:lineRule="atLeast"/>
        <w:ind w:left="1140"/>
        <w:rPr>
          <w:rFonts w:eastAsia="Times New Roman"/>
          <w:i/>
        </w:rPr>
      </w:pPr>
    </w:p>
    <w:p w14:paraId="62E5A9FF" w14:textId="1FB78716" w:rsidR="00B92DD3" w:rsidRDefault="00B92DD3">
      <w:pPr>
        <w:spacing w:line="0" w:lineRule="atLeast"/>
        <w:ind w:left="1140"/>
        <w:rPr>
          <w:rFonts w:eastAsia="Times New Roman"/>
          <w:i/>
        </w:rPr>
      </w:pPr>
    </w:p>
    <w:p w14:paraId="5EC61C99" w14:textId="71440FF7" w:rsidR="00B92DD3" w:rsidRDefault="00B92DD3">
      <w:pPr>
        <w:spacing w:line="0" w:lineRule="atLeast"/>
        <w:ind w:left="1140"/>
        <w:rPr>
          <w:rFonts w:eastAsia="Times New Roman"/>
          <w:i/>
        </w:rPr>
      </w:pPr>
    </w:p>
    <w:p w14:paraId="5B2576A2" w14:textId="47450117" w:rsidR="00B92DD3" w:rsidRDefault="00B92DD3">
      <w:pPr>
        <w:spacing w:line="0" w:lineRule="atLeast"/>
        <w:ind w:left="1140"/>
        <w:rPr>
          <w:rFonts w:eastAsia="Times New Roman"/>
          <w:i/>
        </w:rPr>
      </w:pPr>
    </w:p>
    <w:p w14:paraId="3D4799D6" w14:textId="7EE56F58" w:rsidR="00B92DD3" w:rsidRDefault="00B92DD3">
      <w:pPr>
        <w:spacing w:line="0" w:lineRule="atLeast"/>
        <w:ind w:left="1140"/>
        <w:rPr>
          <w:rFonts w:eastAsia="Times New Roman"/>
          <w:i/>
        </w:rPr>
      </w:pPr>
    </w:p>
    <w:p w14:paraId="42ED838C" w14:textId="77777777" w:rsidR="00B92DD3" w:rsidRDefault="00B92DD3">
      <w:pPr>
        <w:spacing w:line="0" w:lineRule="atLeast"/>
        <w:ind w:left="1140"/>
        <w:rPr>
          <w:rFonts w:eastAsia="Times New Roman"/>
          <w:i/>
        </w:rPr>
      </w:pPr>
    </w:p>
    <w:p w14:paraId="2964B3FB" w14:textId="77777777" w:rsidR="007136FE" w:rsidRDefault="007136FE" w:rsidP="007714DB">
      <w:pPr>
        <w:spacing w:line="0" w:lineRule="atLeast"/>
        <w:ind w:left="1276"/>
        <w:rPr>
          <w:rFonts w:eastAsia="Times New Roman"/>
          <w:i/>
        </w:rPr>
      </w:pPr>
      <w:r>
        <w:rPr>
          <w:rFonts w:eastAsia="Times New Roman"/>
          <w:i/>
        </w:rPr>
        <w:lastRenderedPageBreak/>
        <w:t>Tablica 4. Dopuszczalne poziomy dla odbiorników klasy D.</w:t>
      </w:r>
    </w:p>
    <w:p w14:paraId="175960A7" w14:textId="77777777" w:rsidR="007136FE" w:rsidRDefault="00215949" w:rsidP="007714DB">
      <w:pPr>
        <w:spacing w:line="237" w:lineRule="auto"/>
        <w:ind w:left="1276"/>
        <w:jc w:val="both"/>
        <w:rPr>
          <w:rFonts w:eastAsia="Times New Roman"/>
        </w:rPr>
      </w:pPr>
      <w:r>
        <w:rPr>
          <w:rFonts w:eastAsia="Times New Roman"/>
          <w:noProof/>
        </w:rPr>
        <w:drawing>
          <wp:inline distT="0" distB="0" distL="0" distR="0" wp14:anchorId="54220906" wp14:editId="38C118CD">
            <wp:extent cx="5133975" cy="2028825"/>
            <wp:effectExtent l="0" t="0" r="9525" b="9525"/>
            <wp:docPr id="8" name="Obraz 8" descr="Tabel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ela 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975" cy="2028825"/>
                    </a:xfrm>
                    <a:prstGeom prst="rect">
                      <a:avLst/>
                    </a:prstGeom>
                    <a:noFill/>
                    <a:ln>
                      <a:noFill/>
                    </a:ln>
                  </pic:spPr>
                </pic:pic>
              </a:graphicData>
            </a:graphic>
          </wp:inline>
        </w:drawing>
      </w:r>
    </w:p>
    <w:tbl>
      <w:tblPr>
        <w:tblW w:w="9180" w:type="dxa"/>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384"/>
        <w:gridCol w:w="7796"/>
      </w:tblGrid>
      <w:tr w:rsidR="00E36E9F" w:rsidRPr="00E36E9F" w14:paraId="6B2A940A" w14:textId="77777777" w:rsidTr="00E36E9F">
        <w:trPr>
          <w:trHeight w:val="247"/>
        </w:trPr>
        <w:tc>
          <w:tcPr>
            <w:tcW w:w="1384" w:type="dxa"/>
          </w:tcPr>
          <w:p w14:paraId="5ADDB08C" w14:textId="77777777" w:rsidR="00052DC3" w:rsidRDefault="00052DC3" w:rsidP="00E36E9F">
            <w:pPr>
              <w:autoSpaceDE w:val="0"/>
              <w:autoSpaceDN w:val="0"/>
              <w:adjustRightInd w:val="0"/>
              <w:ind w:left="534" w:hanging="534"/>
              <w:rPr>
                <w:rFonts w:cs="Times New Roman"/>
                <w:color w:val="000000"/>
                <w:szCs w:val="24"/>
              </w:rPr>
            </w:pPr>
          </w:p>
          <w:p w14:paraId="05CAC873" w14:textId="77777777" w:rsidR="00052DC3" w:rsidRDefault="00052DC3" w:rsidP="00E36E9F">
            <w:pPr>
              <w:autoSpaceDE w:val="0"/>
              <w:autoSpaceDN w:val="0"/>
              <w:adjustRightInd w:val="0"/>
              <w:ind w:left="534" w:hanging="534"/>
              <w:rPr>
                <w:rFonts w:cs="Times New Roman"/>
                <w:color w:val="000000"/>
                <w:szCs w:val="24"/>
              </w:rPr>
            </w:pPr>
          </w:p>
          <w:p w14:paraId="4F78923B" w14:textId="77777777" w:rsidR="00E36E9F" w:rsidRPr="00E36E9F" w:rsidRDefault="00E36E9F" w:rsidP="00E36E9F">
            <w:pPr>
              <w:autoSpaceDE w:val="0"/>
              <w:autoSpaceDN w:val="0"/>
              <w:adjustRightInd w:val="0"/>
              <w:ind w:left="534" w:hanging="534"/>
              <w:rPr>
                <w:rFonts w:cs="Times New Roman"/>
                <w:color w:val="000000"/>
                <w:szCs w:val="24"/>
              </w:rPr>
            </w:pPr>
            <w:r w:rsidRPr="00E36E9F">
              <w:rPr>
                <w:rFonts w:cs="Times New Roman"/>
                <w:color w:val="000000"/>
                <w:szCs w:val="24"/>
              </w:rPr>
              <w:t xml:space="preserve">VIII.3.2.2.3. </w:t>
            </w:r>
          </w:p>
        </w:tc>
        <w:tc>
          <w:tcPr>
            <w:tcW w:w="7796" w:type="dxa"/>
          </w:tcPr>
          <w:p w14:paraId="5F8ED2F3" w14:textId="77777777" w:rsidR="00052DC3" w:rsidRDefault="00052DC3" w:rsidP="00E36E9F">
            <w:pPr>
              <w:autoSpaceDE w:val="0"/>
              <w:autoSpaceDN w:val="0"/>
              <w:adjustRightInd w:val="0"/>
              <w:rPr>
                <w:rFonts w:cs="Times New Roman"/>
                <w:color w:val="000000"/>
                <w:szCs w:val="24"/>
              </w:rPr>
            </w:pPr>
          </w:p>
          <w:p w14:paraId="053F953D" w14:textId="77777777" w:rsidR="00052DC3" w:rsidRDefault="00052DC3" w:rsidP="00E36E9F">
            <w:pPr>
              <w:autoSpaceDE w:val="0"/>
              <w:autoSpaceDN w:val="0"/>
              <w:adjustRightInd w:val="0"/>
              <w:rPr>
                <w:rFonts w:cs="Times New Roman"/>
                <w:color w:val="000000"/>
                <w:szCs w:val="24"/>
              </w:rPr>
            </w:pPr>
          </w:p>
          <w:p w14:paraId="734CFA48" w14:textId="77777777" w:rsidR="00E36E9F" w:rsidRPr="00E36E9F" w:rsidRDefault="00E36E9F" w:rsidP="00E36E9F">
            <w:pPr>
              <w:autoSpaceDE w:val="0"/>
              <w:autoSpaceDN w:val="0"/>
              <w:adjustRightInd w:val="0"/>
              <w:rPr>
                <w:rFonts w:cs="Times New Roman"/>
                <w:color w:val="000000"/>
                <w:szCs w:val="24"/>
              </w:rPr>
            </w:pPr>
            <w:r w:rsidRPr="00E36E9F">
              <w:rPr>
                <w:rFonts w:cs="Times New Roman"/>
                <w:color w:val="000000"/>
                <w:szCs w:val="24"/>
              </w:rPr>
              <w:t xml:space="preserve">Dopuszczalne poziomy emisji harmonicznych prądu powodowane przez odbiorniki o fazowym prądzie znamionowym &gt;16A: </w:t>
            </w:r>
          </w:p>
        </w:tc>
      </w:tr>
      <w:tr w:rsidR="00E36E9F" w:rsidRPr="00E36E9F" w14:paraId="2B1001BE" w14:textId="77777777" w:rsidTr="00E36E9F">
        <w:trPr>
          <w:trHeight w:val="385"/>
        </w:trPr>
        <w:tc>
          <w:tcPr>
            <w:tcW w:w="9180" w:type="dxa"/>
            <w:gridSpan w:val="2"/>
          </w:tcPr>
          <w:p w14:paraId="5B7E3573" w14:textId="77777777" w:rsidR="00E36E9F" w:rsidRDefault="00E36E9F" w:rsidP="00E36E9F">
            <w:pPr>
              <w:autoSpaceDE w:val="0"/>
              <w:autoSpaceDN w:val="0"/>
              <w:adjustRightInd w:val="0"/>
              <w:ind w:left="1384"/>
              <w:rPr>
                <w:rFonts w:cs="Times New Roman"/>
                <w:color w:val="000000"/>
                <w:szCs w:val="24"/>
              </w:rPr>
            </w:pPr>
            <w:r w:rsidRPr="00E36E9F">
              <w:rPr>
                <w:rFonts w:cs="Times New Roman"/>
                <w:color w:val="000000"/>
                <w:szCs w:val="24"/>
              </w:rPr>
              <w:t xml:space="preserve">Dopuszczalne poziomy emisji harmonicznych prądu powodowane przez odbiorniki o fazowym prądzie znamionowym &gt;16A zakwalifikowane do Klasy A, Klasy B, Klasy C oraz Klasy </w:t>
            </w:r>
            <w:r>
              <w:rPr>
                <w:rFonts w:cs="Times New Roman"/>
                <w:color w:val="000000"/>
                <w:szCs w:val="24"/>
              </w:rPr>
              <w:t>D podano w Tablicy 5.</w:t>
            </w:r>
          </w:p>
          <w:p w14:paraId="13D55353" w14:textId="77777777" w:rsidR="00E36E9F" w:rsidRDefault="00E36E9F" w:rsidP="00E36E9F">
            <w:pPr>
              <w:autoSpaceDE w:val="0"/>
              <w:autoSpaceDN w:val="0"/>
              <w:adjustRightInd w:val="0"/>
              <w:ind w:left="1384"/>
              <w:rPr>
                <w:rFonts w:eastAsia="Times New Roman"/>
                <w:i/>
              </w:rPr>
            </w:pPr>
            <w:r>
              <w:rPr>
                <w:rFonts w:eastAsia="Times New Roman"/>
                <w:i/>
              </w:rPr>
              <w:t>Tablica 5.</w:t>
            </w:r>
          </w:p>
          <w:p w14:paraId="79EA42C2" w14:textId="77777777" w:rsidR="00E36E9F" w:rsidRPr="00E36E9F" w:rsidRDefault="00215949" w:rsidP="00E36E9F">
            <w:pPr>
              <w:autoSpaceDE w:val="0"/>
              <w:autoSpaceDN w:val="0"/>
              <w:adjustRightInd w:val="0"/>
              <w:ind w:left="1384"/>
              <w:rPr>
                <w:rFonts w:cs="Times New Roman"/>
                <w:color w:val="000000"/>
                <w:szCs w:val="24"/>
              </w:rPr>
            </w:pPr>
            <w:r>
              <w:rPr>
                <w:rFonts w:eastAsia="Times New Roman"/>
                <w:i/>
                <w:noProof/>
              </w:rPr>
              <w:drawing>
                <wp:inline distT="0" distB="0" distL="0" distR="0" wp14:anchorId="62E14058" wp14:editId="766E61EF">
                  <wp:extent cx="4981575" cy="3457575"/>
                  <wp:effectExtent l="0" t="0" r="9525" b="9525"/>
                  <wp:docPr id="9" name="Obraz 9" descr="Tabela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ela 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3457575"/>
                          </a:xfrm>
                          <a:prstGeom prst="rect">
                            <a:avLst/>
                          </a:prstGeom>
                          <a:noFill/>
                          <a:ln>
                            <a:noFill/>
                          </a:ln>
                        </pic:spPr>
                      </pic:pic>
                    </a:graphicData>
                  </a:graphic>
                </wp:inline>
              </w:drawing>
            </w:r>
          </w:p>
        </w:tc>
      </w:tr>
    </w:tbl>
    <w:p w14:paraId="201F93D7" w14:textId="77777777" w:rsidR="007136FE" w:rsidRPr="00E36E9F" w:rsidRDefault="007136FE" w:rsidP="00E36E9F">
      <w:pPr>
        <w:tabs>
          <w:tab w:val="left" w:pos="1780"/>
        </w:tabs>
        <w:spacing w:line="237" w:lineRule="auto"/>
        <w:jc w:val="both"/>
        <w:rPr>
          <w:rFonts w:eastAsia="Times New Roman"/>
          <w:szCs w:val="24"/>
        </w:rPr>
      </w:pPr>
    </w:p>
    <w:p w14:paraId="76777352" w14:textId="77777777" w:rsidR="006E3DBC" w:rsidRPr="006E3DBC" w:rsidRDefault="006E3DBC" w:rsidP="00D84E71">
      <w:pPr>
        <w:pStyle w:val="Nagwek2"/>
        <w:jc w:val="both"/>
      </w:pPr>
      <w:bookmarkStart w:id="65" w:name="_Toc141963905"/>
      <w:r w:rsidRPr="006E3DBC">
        <w:t>VIII.4. STANDARDY JAKOŚCIOWE OBSŁUGI UŻYTKOWNIKÓW SYSTEMU</w:t>
      </w:r>
      <w:bookmarkEnd w:id="65"/>
    </w:p>
    <w:p w14:paraId="5F901749" w14:textId="77777777" w:rsidR="006E3DBC" w:rsidRPr="006E3DBC" w:rsidRDefault="006E3DBC" w:rsidP="006E3DBC">
      <w:pPr>
        <w:tabs>
          <w:tab w:val="left" w:pos="1120"/>
        </w:tabs>
        <w:spacing w:line="237" w:lineRule="auto"/>
        <w:ind w:left="-139"/>
        <w:jc w:val="both"/>
        <w:rPr>
          <w:b/>
          <w:bCs/>
          <w:szCs w:val="24"/>
        </w:rPr>
      </w:pPr>
    </w:p>
    <w:p w14:paraId="35DA2728" w14:textId="77777777" w:rsidR="006E3DBC" w:rsidRPr="006E3DBC" w:rsidRDefault="006E3DBC" w:rsidP="006E3DBC">
      <w:pPr>
        <w:pStyle w:val="Default"/>
        <w:ind w:left="993" w:hanging="993"/>
        <w:jc w:val="both"/>
      </w:pPr>
      <w:r w:rsidRPr="006E3DBC">
        <w:rPr>
          <w:rFonts w:eastAsia="Times New Roman"/>
        </w:rPr>
        <w:t>VIII.4.1.</w:t>
      </w:r>
      <w:r w:rsidRPr="006E3DBC">
        <w:rPr>
          <w:rFonts w:eastAsia="Times New Roman"/>
        </w:rPr>
        <w:tab/>
      </w:r>
      <w:r w:rsidRPr="006E3DBC">
        <w:t xml:space="preserve">Ustala się następujące standardy jakościowe obsługi odbiorców: </w:t>
      </w:r>
    </w:p>
    <w:p w14:paraId="0D1D08FE" w14:textId="77777777" w:rsidR="006E3DBC" w:rsidRPr="0068631B" w:rsidRDefault="006E3DBC">
      <w:pPr>
        <w:pStyle w:val="Default"/>
        <w:numPr>
          <w:ilvl w:val="0"/>
          <w:numId w:val="123"/>
        </w:numPr>
        <w:ind w:left="1418" w:hanging="425"/>
        <w:jc w:val="both"/>
      </w:pPr>
      <w:r w:rsidRPr="006E3DBC">
        <w:t xml:space="preserve">przyjmowanie od odbiorców, przez całą dobę, zgłoszeń i reklamacji związanych z dostarczaniem energii elektrycznej, </w:t>
      </w:r>
    </w:p>
    <w:p w14:paraId="2DEEBB7C" w14:textId="77777777" w:rsidR="006E3DBC" w:rsidRPr="006E3DBC" w:rsidRDefault="006E3DBC">
      <w:pPr>
        <w:pStyle w:val="Default"/>
        <w:numPr>
          <w:ilvl w:val="0"/>
          <w:numId w:val="123"/>
        </w:numPr>
        <w:ind w:left="1418" w:hanging="425"/>
        <w:jc w:val="both"/>
      </w:pPr>
      <w:r w:rsidRPr="006E3DBC">
        <w:t>bezzwłoczne przystępowanie do usuwania zakłóceń w dostarczaniu energii</w:t>
      </w:r>
      <w:r w:rsidRPr="0068631B">
        <w:t xml:space="preserve"> </w:t>
      </w:r>
      <w:r w:rsidRPr="006E3DBC">
        <w:t xml:space="preserve">elektrycznej spowodowanych nieprawidłową pracą sieci, </w:t>
      </w:r>
    </w:p>
    <w:p w14:paraId="3A9B5B44" w14:textId="77777777" w:rsidR="004B5C65" w:rsidRPr="004B5C65" w:rsidRDefault="004B5C65">
      <w:pPr>
        <w:numPr>
          <w:ilvl w:val="0"/>
          <w:numId w:val="123"/>
        </w:numPr>
        <w:autoSpaceDE w:val="0"/>
        <w:autoSpaceDN w:val="0"/>
        <w:adjustRightInd w:val="0"/>
        <w:ind w:left="1418" w:hanging="425"/>
        <w:jc w:val="both"/>
        <w:rPr>
          <w:rFonts w:cs="Times New Roman"/>
          <w:color w:val="000000"/>
          <w:szCs w:val="24"/>
        </w:rPr>
      </w:pPr>
      <w:r w:rsidRPr="004B5C65">
        <w:rPr>
          <w:rFonts w:cs="Times New Roman"/>
          <w:color w:val="000000"/>
          <w:szCs w:val="24"/>
        </w:rPr>
        <w:lastRenderedPageBreak/>
        <w:t xml:space="preserve">udzielanie odbiorcom, na ich żądanie, informacji o przewidywanym terminie wznowienia dostarczania energii elektrycznej przerwanego z powodu awarii </w:t>
      </w:r>
      <w:r w:rsidRPr="0068631B">
        <w:rPr>
          <w:rFonts w:cs="Times New Roman"/>
          <w:color w:val="000000"/>
          <w:szCs w:val="24"/>
        </w:rPr>
        <w:br/>
      </w:r>
      <w:r w:rsidRPr="004B5C65">
        <w:rPr>
          <w:rFonts w:cs="Times New Roman"/>
          <w:color w:val="000000"/>
          <w:szCs w:val="24"/>
        </w:rPr>
        <w:t>w sieci</w:t>
      </w:r>
      <w:r w:rsidR="00D4420D" w:rsidRPr="0068631B">
        <w:rPr>
          <w:rFonts w:cs="Times New Roman"/>
          <w:color w:val="000000"/>
          <w:szCs w:val="24"/>
        </w:rPr>
        <w:t>,</w:t>
      </w:r>
      <w:r w:rsidRPr="004B5C65">
        <w:rPr>
          <w:rFonts w:cs="Times New Roman"/>
          <w:color w:val="000000"/>
          <w:szCs w:val="24"/>
        </w:rPr>
        <w:t xml:space="preserve"> </w:t>
      </w:r>
    </w:p>
    <w:p w14:paraId="750903A9" w14:textId="34AD6047" w:rsidR="00D4420D" w:rsidRPr="00D4420D" w:rsidRDefault="00D4420D">
      <w:pPr>
        <w:numPr>
          <w:ilvl w:val="0"/>
          <w:numId w:val="123"/>
        </w:numPr>
        <w:autoSpaceDE w:val="0"/>
        <w:autoSpaceDN w:val="0"/>
        <w:adjustRightInd w:val="0"/>
        <w:ind w:left="1418" w:hanging="425"/>
        <w:jc w:val="both"/>
        <w:rPr>
          <w:rFonts w:cs="Times New Roman"/>
          <w:color w:val="000000"/>
          <w:szCs w:val="24"/>
        </w:rPr>
      </w:pPr>
      <w:r w:rsidRPr="00D4420D">
        <w:rPr>
          <w:rFonts w:cs="Times New Roman"/>
          <w:color w:val="000000"/>
          <w:szCs w:val="24"/>
        </w:rPr>
        <w:t xml:space="preserve">powiadamianie odbiorców, z co najmniej pięciodniowym wyprzedzeniem, </w:t>
      </w:r>
      <w:r w:rsidR="0068631B">
        <w:rPr>
          <w:rFonts w:cs="Times New Roman"/>
          <w:color w:val="000000"/>
          <w:szCs w:val="24"/>
        </w:rPr>
        <w:br/>
      </w:r>
      <w:r w:rsidRPr="00D4420D">
        <w:rPr>
          <w:rFonts w:cs="Times New Roman"/>
          <w:color w:val="000000"/>
          <w:szCs w:val="24"/>
        </w:rPr>
        <w:t xml:space="preserve">o terminach i czasie planowanych przerw w dostarczaniu energii elektrycznej, </w:t>
      </w:r>
      <w:r w:rsidR="00467C84">
        <w:rPr>
          <w:rFonts w:cs="Times New Roman"/>
          <w:color w:val="000000"/>
          <w:szCs w:val="24"/>
        </w:rPr>
        <w:br/>
      </w:r>
      <w:r w:rsidRPr="00D4420D">
        <w:rPr>
          <w:rFonts w:cs="Times New Roman"/>
          <w:color w:val="000000"/>
          <w:szCs w:val="24"/>
        </w:rPr>
        <w:t xml:space="preserve">w formie: </w:t>
      </w:r>
    </w:p>
    <w:p w14:paraId="75DE60EE" w14:textId="7E3CEBC9" w:rsidR="00D4420D" w:rsidRPr="00D4420D" w:rsidRDefault="00D4420D">
      <w:pPr>
        <w:numPr>
          <w:ilvl w:val="0"/>
          <w:numId w:val="124"/>
        </w:numPr>
        <w:autoSpaceDE w:val="0"/>
        <w:autoSpaceDN w:val="0"/>
        <w:adjustRightInd w:val="0"/>
        <w:ind w:left="1701" w:hanging="283"/>
        <w:jc w:val="both"/>
        <w:rPr>
          <w:rFonts w:cs="Times New Roman"/>
          <w:color w:val="000000"/>
          <w:szCs w:val="24"/>
        </w:rPr>
      </w:pPr>
      <w:r w:rsidRPr="00D4420D">
        <w:rPr>
          <w:rFonts w:cs="Times New Roman"/>
          <w:color w:val="000000"/>
          <w:szCs w:val="24"/>
        </w:rPr>
        <w:t>ogłoszeń prasowych</w:t>
      </w:r>
      <w:r w:rsidR="00042F68">
        <w:rPr>
          <w:rFonts w:cs="Times New Roman"/>
          <w:color w:val="000000"/>
          <w:szCs w:val="24"/>
        </w:rPr>
        <w:t xml:space="preserve"> lub </w:t>
      </w:r>
      <w:r w:rsidRPr="00D4420D">
        <w:rPr>
          <w:rFonts w:cs="Times New Roman"/>
          <w:color w:val="000000"/>
          <w:szCs w:val="24"/>
        </w:rPr>
        <w:t xml:space="preserve">internetowych, komunikatów radiowych lub telewizyjnych </w:t>
      </w:r>
      <w:r w:rsidR="00042F68">
        <w:rPr>
          <w:rFonts w:cs="Times New Roman"/>
          <w:color w:val="000000"/>
          <w:szCs w:val="24"/>
        </w:rPr>
        <w:t>albo w</w:t>
      </w:r>
      <w:r w:rsidRPr="00D4420D">
        <w:rPr>
          <w:rFonts w:cs="Times New Roman"/>
          <w:color w:val="000000"/>
          <w:szCs w:val="24"/>
        </w:rPr>
        <w:t xml:space="preserve"> inny sposób zwyczajowo przyjęty na danym terenie – odbiorców zasilanych z sieci o napięciu znamionowym nie wyższym niż </w:t>
      </w:r>
      <w:r w:rsidR="0068631B">
        <w:rPr>
          <w:rFonts w:cs="Times New Roman"/>
          <w:color w:val="000000"/>
          <w:szCs w:val="24"/>
        </w:rPr>
        <w:br/>
      </w:r>
      <w:r w:rsidRPr="00D4420D">
        <w:rPr>
          <w:rFonts w:cs="Times New Roman"/>
          <w:color w:val="000000"/>
          <w:szCs w:val="24"/>
        </w:rPr>
        <w:t xml:space="preserve">1 kV, </w:t>
      </w:r>
    </w:p>
    <w:p w14:paraId="6F397216" w14:textId="7CC56DEE" w:rsidR="00D4420D" w:rsidRDefault="00D4420D">
      <w:pPr>
        <w:numPr>
          <w:ilvl w:val="0"/>
          <w:numId w:val="124"/>
        </w:numPr>
        <w:autoSpaceDE w:val="0"/>
        <w:autoSpaceDN w:val="0"/>
        <w:adjustRightInd w:val="0"/>
        <w:ind w:left="1701" w:hanging="283"/>
        <w:jc w:val="both"/>
        <w:rPr>
          <w:rFonts w:cs="Times New Roman"/>
          <w:color w:val="000000"/>
          <w:szCs w:val="24"/>
        </w:rPr>
      </w:pPr>
      <w:r w:rsidRPr="00D4420D">
        <w:rPr>
          <w:rFonts w:cs="Times New Roman"/>
          <w:color w:val="000000"/>
          <w:szCs w:val="24"/>
        </w:rPr>
        <w:t>indywidualnych zawiadomień pisemnych</w:t>
      </w:r>
      <w:r w:rsidR="00042F68">
        <w:rPr>
          <w:rFonts w:cs="Times New Roman"/>
          <w:color w:val="000000"/>
          <w:szCs w:val="24"/>
        </w:rPr>
        <w:t xml:space="preserve"> lub</w:t>
      </w:r>
      <w:r w:rsidRPr="00D4420D">
        <w:rPr>
          <w:rFonts w:cs="Times New Roman"/>
          <w:color w:val="000000"/>
          <w:szCs w:val="24"/>
        </w:rPr>
        <w:t xml:space="preserve"> telefonicznych lub za pomocą środka komuni</w:t>
      </w:r>
      <w:r w:rsidR="00042F68">
        <w:rPr>
          <w:rFonts w:cs="Times New Roman"/>
          <w:color w:val="000000"/>
          <w:szCs w:val="24"/>
        </w:rPr>
        <w:t>kacji elektronicznej</w:t>
      </w:r>
      <w:r w:rsidRPr="00D4420D">
        <w:rPr>
          <w:rFonts w:cs="Times New Roman"/>
          <w:color w:val="000000"/>
          <w:szCs w:val="24"/>
        </w:rPr>
        <w:t xml:space="preserve"> – odbiorców zasilanych z sieci o napięciu znamionowym wyższym niż 1 kV; </w:t>
      </w:r>
    </w:p>
    <w:p w14:paraId="6D42482C" w14:textId="77777777" w:rsidR="0072281E" w:rsidRPr="0072281E" w:rsidRDefault="0072281E">
      <w:pPr>
        <w:numPr>
          <w:ilvl w:val="0"/>
          <w:numId w:val="123"/>
        </w:numPr>
        <w:autoSpaceDE w:val="0"/>
        <w:autoSpaceDN w:val="0"/>
        <w:adjustRightInd w:val="0"/>
        <w:ind w:firstLine="273"/>
        <w:jc w:val="both"/>
        <w:rPr>
          <w:rFonts w:cs="Times New Roman"/>
          <w:color w:val="000000"/>
          <w:sz w:val="23"/>
          <w:szCs w:val="23"/>
        </w:rPr>
      </w:pPr>
      <w:r w:rsidRPr="0072281E">
        <w:rPr>
          <w:rFonts w:cs="Times New Roman"/>
          <w:color w:val="000000"/>
          <w:sz w:val="23"/>
          <w:szCs w:val="23"/>
        </w:rPr>
        <w:t xml:space="preserve">informowanie na piśmie, z co najmniej: </w:t>
      </w:r>
    </w:p>
    <w:p w14:paraId="22D7B28D" w14:textId="77777777" w:rsidR="0072281E" w:rsidRPr="0072281E" w:rsidRDefault="0072281E">
      <w:pPr>
        <w:numPr>
          <w:ilvl w:val="0"/>
          <w:numId w:val="125"/>
        </w:numPr>
        <w:autoSpaceDE w:val="0"/>
        <w:autoSpaceDN w:val="0"/>
        <w:adjustRightInd w:val="0"/>
        <w:ind w:left="1701" w:hanging="283"/>
        <w:jc w:val="both"/>
        <w:rPr>
          <w:rFonts w:cs="Times New Roman"/>
          <w:color w:val="000000"/>
          <w:sz w:val="23"/>
          <w:szCs w:val="23"/>
        </w:rPr>
      </w:pPr>
      <w:r w:rsidRPr="0072281E">
        <w:rPr>
          <w:rFonts w:cs="Times New Roman"/>
          <w:color w:val="000000"/>
          <w:sz w:val="23"/>
          <w:szCs w:val="23"/>
        </w:rPr>
        <w:t xml:space="preserve">tygodniowym wyprzedzeniem – odbiorców zasilanych z sieci o napięciu znamionowym wyższym niż 1 kV, o zamierzonej zmianie nastawień </w:t>
      </w:r>
      <w:r>
        <w:rPr>
          <w:rFonts w:cs="Times New Roman"/>
          <w:color w:val="000000"/>
          <w:sz w:val="23"/>
          <w:szCs w:val="23"/>
        </w:rPr>
        <w:br/>
      </w:r>
      <w:r w:rsidRPr="0072281E">
        <w:rPr>
          <w:rFonts w:cs="Times New Roman"/>
          <w:color w:val="000000"/>
          <w:sz w:val="23"/>
          <w:szCs w:val="23"/>
        </w:rPr>
        <w:t xml:space="preserve">w automatyce zabezpieczeniowej i innych parametrach mających wpływ na współpracę ruchową z siecią, </w:t>
      </w:r>
    </w:p>
    <w:p w14:paraId="47E99AB9" w14:textId="77777777" w:rsidR="0072281E" w:rsidRPr="0072281E" w:rsidRDefault="0072281E">
      <w:pPr>
        <w:numPr>
          <w:ilvl w:val="0"/>
          <w:numId w:val="125"/>
        </w:numPr>
        <w:autoSpaceDE w:val="0"/>
        <w:autoSpaceDN w:val="0"/>
        <w:adjustRightInd w:val="0"/>
        <w:ind w:left="1701" w:hanging="283"/>
        <w:jc w:val="both"/>
        <w:rPr>
          <w:rFonts w:cs="Times New Roman"/>
          <w:color w:val="000000"/>
          <w:sz w:val="23"/>
          <w:szCs w:val="23"/>
        </w:rPr>
      </w:pPr>
      <w:r w:rsidRPr="0072281E">
        <w:rPr>
          <w:rFonts w:cs="Times New Roman"/>
          <w:color w:val="000000"/>
          <w:sz w:val="23"/>
          <w:szCs w:val="23"/>
        </w:rPr>
        <w:t xml:space="preserve">rocznym wyprzedzeniem – odbiorców zasilanych z sieci o napięciu znamionowym nie wyższym niż 1 kV, o konieczności dostosowania urządzeń </w:t>
      </w:r>
      <w:r w:rsidR="00731B5B">
        <w:rPr>
          <w:rFonts w:cs="Times New Roman"/>
          <w:color w:val="000000"/>
          <w:sz w:val="23"/>
          <w:szCs w:val="23"/>
        </w:rPr>
        <w:br/>
      </w:r>
      <w:r w:rsidRPr="0072281E">
        <w:rPr>
          <w:rFonts w:cs="Times New Roman"/>
          <w:color w:val="000000"/>
          <w:sz w:val="23"/>
          <w:szCs w:val="23"/>
        </w:rPr>
        <w:t xml:space="preserve">i instalacji do zmienionego napięcia znamionowego, podwyższonego poziomu prądów zwarcia, zmiany rodzaju przyłącza lub innych warunków funkcjonowania sieci, </w:t>
      </w:r>
    </w:p>
    <w:p w14:paraId="67E17A54" w14:textId="77777777" w:rsidR="00572BA3" w:rsidRDefault="00572BA3">
      <w:pPr>
        <w:numPr>
          <w:ilvl w:val="0"/>
          <w:numId w:val="126"/>
        </w:numPr>
        <w:spacing w:line="237" w:lineRule="auto"/>
        <w:ind w:left="1701" w:hanging="283"/>
        <w:jc w:val="both"/>
        <w:rPr>
          <w:rFonts w:eastAsia="Times New Roman"/>
        </w:rPr>
      </w:pPr>
      <w:r w:rsidRPr="006E3DBC">
        <w:rPr>
          <w:rFonts w:eastAsia="Times New Roman"/>
          <w:szCs w:val="24"/>
        </w:rPr>
        <w:t>3-letnim wyprzedzeniem – odbiorców zasilanych z sieci o napięciu znamionowym wyższym</w:t>
      </w:r>
      <w:r>
        <w:rPr>
          <w:rFonts w:eastAsia="Times New Roman"/>
        </w:rPr>
        <w:t xml:space="preserve"> niż 1 kV, o konieczności dostosowania urządzeń </w:t>
      </w:r>
      <w:r w:rsidR="00731B5B">
        <w:rPr>
          <w:rFonts w:eastAsia="Times New Roman"/>
        </w:rPr>
        <w:br/>
      </w:r>
      <w:r>
        <w:rPr>
          <w:rFonts w:eastAsia="Times New Roman"/>
        </w:rPr>
        <w:t>i instalacji do zmienionego napięcia znamionowego, podwyższonego poziomu prądów zwarcia lub zmianie innych warunków funkcjonowania sieci;</w:t>
      </w:r>
    </w:p>
    <w:p w14:paraId="501EE186" w14:textId="77777777" w:rsidR="00572BA3" w:rsidRDefault="00572BA3">
      <w:pPr>
        <w:numPr>
          <w:ilvl w:val="0"/>
          <w:numId w:val="38"/>
        </w:numPr>
        <w:tabs>
          <w:tab w:val="clear" w:pos="2749"/>
        </w:tabs>
        <w:spacing w:line="236" w:lineRule="auto"/>
        <w:ind w:left="1701" w:hanging="283"/>
        <w:jc w:val="both"/>
        <w:rPr>
          <w:rFonts w:eastAsia="Times New Roman"/>
        </w:rPr>
      </w:pPr>
      <w:r>
        <w:rPr>
          <w:rFonts w:eastAsia="Times New Roman"/>
        </w:rPr>
        <w:t>odpłatne podejmowanie stosownych czynności w sieci w celu umożliwienia bezpiecznego wykonania, przez odbiorcę lub inny podmiot, prac w obszarze oddziaływania tej sieci,</w:t>
      </w:r>
    </w:p>
    <w:p w14:paraId="4BBEB8EE" w14:textId="77777777" w:rsidR="00572BA3" w:rsidRDefault="00572BA3">
      <w:pPr>
        <w:numPr>
          <w:ilvl w:val="0"/>
          <w:numId w:val="38"/>
        </w:numPr>
        <w:tabs>
          <w:tab w:val="clear" w:pos="2749"/>
        </w:tabs>
        <w:spacing w:line="234" w:lineRule="auto"/>
        <w:ind w:left="1701" w:hanging="283"/>
        <w:jc w:val="both"/>
        <w:rPr>
          <w:rFonts w:eastAsia="Times New Roman"/>
        </w:rPr>
      </w:pPr>
      <w:r>
        <w:rPr>
          <w:rFonts w:eastAsia="Times New Roman"/>
        </w:rPr>
        <w:t>nieodpłatne udzielanie informacji w sprawie zasad rozliczeń oraz aktualnych taryf,</w:t>
      </w:r>
    </w:p>
    <w:p w14:paraId="6EC967D6" w14:textId="4DA7E4DE" w:rsidR="00572BA3" w:rsidRDefault="00572BA3">
      <w:pPr>
        <w:numPr>
          <w:ilvl w:val="0"/>
          <w:numId w:val="38"/>
        </w:numPr>
        <w:tabs>
          <w:tab w:val="clear" w:pos="2749"/>
        </w:tabs>
        <w:spacing w:line="238" w:lineRule="auto"/>
        <w:ind w:left="1701" w:hanging="283"/>
        <w:jc w:val="both"/>
        <w:rPr>
          <w:rFonts w:eastAsia="Times New Roman"/>
        </w:rPr>
      </w:pPr>
      <w:r>
        <w:rPr>
          <w:rFonts w:eastAsia="Times New Roman"/>
        </w:rPr>
        <w:t xml:space="preserve">rozpatrywanie wniosków i reklamacji, odbiorcy w sprawie rozliczeń </w:t>
      </w:r>
      <w:r w:rsidR="00086506">
        <w:rPr>
          <w:rFonts w:eastAsia="Times New Roman"/>
        </w:rPr>
        <w:br/>
      </w:r>
      <w:r>
        <w:rPr>
          <w:rFonts w:eastAsia="Times New Roman"/>
        </w:rPr>
        <w:t xml:space="preserve">i udzielanie odpowiedzi, nie później niż w terminie 14 dni kalendarzowych od dnia złożenia wniosku lub zgłoszenia reklamacji, chyba że w umowie między stronami określono inny termin, z wyłączeniem spraw określonych </w:t>
      </w:r>
      <w:r w:rsidR="00467C84">
        <w:rPr>
          <w:rFonts w:eastAsia="Times New Roman"/>
        </w:rPr>
        <w:br/>
      </w:r>
      <w:r>
        <w:rPr>
          <w:rFonts w:eastAsia="Times New Roman"/>
        </w:rPr>
        <w:t>w podpunkcie 9, które są rozpatrywane w terminie 14 dni kalendarzowych od zakończenia stosownych kontroli i pomiarów,</w:t>
      </w:r>
    </w:p>
    <w:p w14:paraId="3FA173BB" w14:textId="77777777" w:rsidR="00572BA3" w:rsidRDefault="00572BA3">
      <w:pPr>
        <w:numPr>
          <w:ilvl w:val="0"/>
          <w:numId w:val="38"/>
        </w:numPr>
        <w:tabs>
          <w:tab w:val="clear" w:pos="2749"/>
        </w:tabs>
        <w:spacing w:line="238" w:lineRule="auto"/>
        <w:ind w:left="1701" w:hanging="283"/>
        <w:jc w:val="both"/>
        <w:rPr>
          <w:rFonts w:eastAsia="Times New Roman"/>
        </w:rPr>
      </w:pPr>
      <w:r>
        <w:rPr>
          <w:rFonts w:eastAsia="Times New Roman"/>
        </w:rPr>
        <w:t>na wniosek odbiorcy, w miarę możliwości technicznych i organizacyjnych, dokonywanie sprawdzenia dotrzymania parametrów jakościowych energii elektrycznej, dostarczanej z sieci, określonych w aktach wykonawczych do ustawy Prawo energetyczne lub w umowie lub niniejszej IRiESD, poprzez wykonanie odpowiednich pomiarów. W przypadku zgodności zmierzonych parametrów ze standardami określonymi w aktach wykonawczych do ustawy Prawo energetyczne lub w umowie lub niniejszej IRiESD, koszty sprawdzenia i pomiarów ponosi odbiorca na zasadach określonych w taryfie OSD,</w:t>
      </w:r>
    </w:p>
    <w:p w14:paraId="2FE1917F" w14:textId="77777777" w:rsidR="00D00531" w:rsidRPr="00D80DE5" w:rsidRDefault="00D00531">
      <w:pPr>
        <w:numPr>
          <w:ilvl w:val="0"/>
          <w:numId w:val="38"/>
        </w:numPr>
        <w:tabs>
          <w:tab w:val="clear" w:pos="2749"/>
        </w:tabs>
        <w:autoSpaceDE w:val="0"/>
        <w:autoSpaceDN w:val="0"/>
        <w:adjustRightInd w:val="0"/>
        <w:ind w:left="1701" w:right="62" w:hanging="425"/>
        <w:jc w:val="both"/>
        <w:rPr>
          <w:rFonts w:cs="Times New Roman"/>
          <w:color w:val="000000"/>
          <w:szCs w:val="24"/>
        </w:rPr>
      </w:pPr>
      <w:r w:rsidRPr="00D80DE5">
        <w:rPr>
          <w:rFonts w:cs="Times New Roman"/>
          <w:color w:val="000000"/>
          <w:szCs w:val="24"/>
        </w:rPr>
        <w:t xml:space="preserve">udziela bonifikat za niedotrzymanie standardów jakościowych obsługi odbiorców lub parametrów jakościowych energii elektrycznej, w wysokości określonej w taryfie lub umowie. </w:t>
      </w:r>
    </w:p>
    <w:p w14:paraId="7B977054" w14:textId="77777777" w:rsidR="00572BA3" w:rsidRDefault="00572BA3">
      <w:pPr>
        <w:tabs>
          <w:tab w:val="left" w:pos="1120"/>
        </w:tabs>
        <w:spacing w:line="237" w:lineRule="auto"/>
        <w:ind w:left="1140" w:hanging="1279"/>
        <w:jc w:val="both"/>
        <w:rPr>
          <w:rFonts w:eastAsia="Times New Roman"/>
        </w:rPr>
      </w:pPr>
      <w:r>
        <w:rPr>
          <w:rFonts w:eastAsia="Times New Roman"/>
        </w:rPr>
        <w:lastRenderedPageBreak/>
        <w:t>VIII.4.2.</w:t>
      </w:r>
      <w:r>
        <w:rPr>
          <w:rFonts w:eastAsia="Times New Roman"/>
        </w:rPr>
        <w:tab/>
        <w:t xml:space="preserve">Na żądanie odbiorcy </w:t>
      </w:r>
      <w:r w:rsidR="00086506">
        <w:rPr>
          <w:rFonts w:eastAsia="Times New Roman"/>
        </w:rPr>
        <w:t>OSDn</w:t>
      </w:r>
      <w:r>
        <w:rPr>
          <w:rFonts w:eastAsia="Times New Roman"/>
        </w:rPr>
        <w:t xml:space="preserve"> dokonuje sprawdzenia prawidłowości działania układu pomiarowo-rozliczeniowego na zasadach i </w:t>
      </w:r>
      <w:r w:rsidRPr="003F3426">
        <w:rPr>
          <w:rFonts w:eastAsia="Times New Roman"/>
        </w:rPr>
        <w:t xml:space="preserve">w terminach określonych </w:t>
      </w:r>
      <w:r w:rsidR="00086506" w:rsidRPr="003F3426">
        <w:rPr>
          <w:rFonts w:eastAsia="Times New Roman"/>
        </w:rPr>
        <w:br/>
      </w:r>
      <w:r w:rsidRPr="003F3426">
        <w:rPr>
          <w:rFonts w:eastAsia="Times New Roman"/>
        </w:rPr>
        <w:t>w ustawie Prawo energetyczne i aktach wykonawczych do niej oraz pkt.II.</w:t>
      </w:r>
      <w:r w:rsidR="003F3426" w:rsidRPr="003F3426">
        <w:rPr>
          <w:rFonts w:eastAsia="Times New Roman"/>
        </w:rPr>
        <w:t>3</w:t>
      </w:r>
      <w:r w:rsidRPr="003F3426">
        <w:rPr>
          <w:rFonts w:eastAsia="Times New Roman"/>
        </w:rPr>
        <w:t>.7.1.</w:t>
      </w:r>
    </w:p>
    <w:p w14:paraId="7BBD3362" w14:textId="77777777" w:rsidR="00D419B1" w:rsidRDefault="00853DF5">
      <w:pPr>
        <w:tabs>
          <w:tab w:val="left" w:pos="1120"/>
        </w:tabs>
        <w:spacing w:line="237" w:lineRule="auto"/>
        <w:ind w:left="1140" w:hanging="1279"/>
        <w:jc w:val="both"/>
        <w:rPr>
          <w:rFonts w:eastAsia="Times New Roman"/>
        </w:rPr>
      </w:pPr>
      <w:r>
        <w:rPr>
          <w:rFonts w:eastAsia="Times New Roman"/>
        </w:rPr>
        <w:t>VIII.4.3.    OSDn</w:t>
      </w:r>
      <w:r w:rsidR="00D419B1">
        <w:rPr>
          <w:rFonts w:eastAsia="Times New Roman"/>
        </w:rPr>
        <w:t xml:space="preserve">, w terminie 14 dni od dnia otrzymania, od wytwórcy energii elektrycznej </w:t>
      </w:r>
      <w:r w:rsidR="00EA0C31">
        <w:rPr>
          <w:rFonts w:eastAsia="Times New Roman"/>
        </w:rPr>
        <w:br/>
      </w:r>
      <w:r w:rsidR="00D419B1">
        <w:rPr>
          <w:rFonts w:eastAsia="Times New Roman"/>
        </w:rPr>
        <w:t>w jednostce kogeneracji przyłączonej do sieci dystrybucyjnej, który w rozumieniu ustawy o promowaniu energii elektrycznej w wysokosprawnej kogeneracji</w:t>
      </w:r>
      <w:r w:rsidR="00EA0C31">
        <w:rPr>
          <w:rFonts w:eastAsia="Times New Roman"/>
        </w:rPr>
        <w:t xml:space="preserve"> jest uprawniony do wypłaty odpowiednio:</w:t>
      </w:r>
    </w:p>
    <w:p w14:paraId="246933F5" w14:textId="77777777" w:rsidR="00EA0C31" w:rsidRDefault="00EA0C31">
      <w:pPr>
        <w:numPr>
          <w:ilvl w:val="1"/>
          <w:numId w:val="58"/>
        </w:numPr>
        <w:spacing w:line="237" w:lineRule="auto"/>
        <w:ind w:left="1560" w:hanging="284"/>
        <w:jc w:val="both"/>
        <w:rPr>
          <w:rFonts w:eastAsia="Times New Roman"/>
        </w:rPr>
      </w:pPr>
      <w:r>
        <w:rPr>
          <w:rFonts w:eastAsia="Times New Roman"/>
        </w:rPr>
        <w:t>premii kogeneracyjnej,</w:t>
      </w:r>
    </w:p>
    <w:p w14:paraId="72FB137F" w14:textId="77777777" w:rsidR="00EA0C31" w:rsidRDefault="00EA0C31">
      <w:pPr>
        <w:numPr>
          <w:ilvl w:val="1"/>
          <w:numId w:val="58"/>
        </w:numPr>
        <w:spacing w:line="237" w:lineRule="auto"/>
        <w:ind w:left="1560" w:hanging="284"/>
        <w:jc w:val="both"/>
        <w:rPr>
          <w:rFonts w:eastAsia="Times New Roman"/>
        </w:rPr>
      </w:pPr>
      <w:r>
        <w:rPr>
          <w:rFonts w:eastAsia="Times New Roman"/>
        </w:rPr>
        <w:t>premii gwarantowanej,</w:t>
      </w:r>
    </w:p>
    <w:p w14:paraId="2527D2A5" w14:textId="77777777" w:rsidR="00EA0C31" w:rsidRDefault="00EA0C31">
      <w:pPr>
        <w:numPr>
          <w:ilvl w:val="1"/>
          <w:numId w:val="58"/>
        </w:numPr>
        <w:spacing w:line="237" w:lineRule="auto"/>
        <w:ind w:left="1560" w:hanging="284"/>
        <w:jc w:val="both"/>
        <w:rPr>
          <w:rFonts w:eastAsia="Times New Roman"/>
        </w:rPr>
      </w:pPr>
      <w:r>
        <w:rPr>
          <w:rFonts w:eastAsia="Times New Roman"/>
        </w:rPr>
        <w:t>premii gwarantowanej indywidualnej,</w:t>
      </w:r>
    </w:p>
    <w:p w14:paraId="03C8BFD0" w14:textId="77777777" w:rsidR="00EA0C31" w:rsidRDefault="00EA0C31">
      <w:pPr>
        <w:numPr>
          <w:ilvl w:val="1"/>
          <w:numId w:val="58"/>
        </w:numPr>
        <w:spacing w:line="237" w:lineRule="auto"/>
        <w:ind w:left="1560" w:hanging="284"/>
        <w:jc w:val="both"/>
        <w:rPr>
          <w:rFonts w:eastAsia="Times New Roman"/>
        </w:rPr>
      </w:pPr>
      <w:r>
        <w:rPr>
          <w:rFonts w:eastAsia="Times New Roman"/>
        </w:rPr>
        <w:t>premii kogeneracyjnej indywidualnej,</w:t>
      </w:r>
    </w:p>
    <w:p w14:paraId="4773470F" w14:textId="77777777" w:rsidR="00EA0C31" w:rsidRDefault="00EA0C31" w:rsidP="00EA0C31">
      <w:pPr>
        <w:spacing w:line="237" w:lineRule="auto"/>
        <w:ind w:left="1134"/>
        <w:jc w:val="both"/>
        <w:rPr>
          <w:rFonts w:eastAsia="Times New Roman"/>
        </w:rPr>
      </w:pPr>
      <w:r>
        <w:rPr>
          <w:rFonts w:eastAsia="Times New Roman"/>
        </w:rPr>
        <w:t xml:space="preserve">pisemnej informacji o terminie wytworzenia po raz pierwszy energii elektrycznej </w:t>
      </w:r>
      <w:r>
        <w:rPr>
          <w:rFonts w:eastAsia="Times New Roman"/>
        </w:rPr>
        <w:br/>
        <w:t xml:space="preserve">w tej jednostce, przekazuje wytwórcy tę informację wraz z jej potwierdzeniem. </w:t>
      </w:r>
    </w:p>
    <w:p w14:paraId="2C79E2A4" w14:textId="77777777" w:rsidR="009E2949" w:rsidRPr="00EA0C31" w:rsidRDefault="009E2949" w:rsidP="00EA0C31">
      <w:pPr>
        <w:spacing w:line="237" w:lineRule="auto"/>
        <w:ind w:left="1134"/>
        <w:jc w:val="both"/>
        <w:rPr>
          <w:rFonts w:eastAsia="Times New Roman"/>
        </w:rPr>
      </w:pPr>
      <w:r>
        <w:rPr>
          <w:rFonts w:eastAsia="Times New Roman"/>
        </w:rPr>
        <w:t xml:space="preserve">Za datę wytworzenia po raz pierwszy energii elektrycznej w jednostce kogeneracji, rozumie się dzień wytworzenia energii elektrycznej w tej jednostce </w:t>
      </w:r>
      <w:r>
        <w:rPr>
          <w:rFonts w:eastAsia="Times New Roman"/>
        </w:rPr>
        <w:br/>
        <w:t xml:space="preserve">i wprowadzenia tej energii po raz pierwszy do sieci dystrybucyjnej OSDn. </w:t>
      </w:r>
    </w:p>
    <w:p w14:paraId="5AF87F66" w14:textId="6BBD953A" w:rsidR="00C00AFD" w:rsidRPr="00FA49B5" w:rsidRDefault="008A7502" w:rsidP="00C00AFD">
      <w:pPr>
        <w:spacing w:line="237" w:lineRule="auto"/>
        <w:ind w:left="1134" w:hanging="1134"/>
        <w:jc w:val="both"/>
        <w:rPr>
          <w:rFonts w:eastAsia="Times New Roman"/>
          <w:color w:val="000000"/>
        </w:rPr>
      </w:pPr>
      <w:r>
        <w:rPr>
          <w:rFonts w:eastAsia="Times New Roman"/>
        </w:rPr>
        <w:t>VIII.4.4.</w:t>
      </w:r>
      <w:r w:rsidR="00C00AFD">
        <w:rPr>
          <w:rFonts w:eastAsia="Times New Roman"/>
        </w:rPr>
        <w:t xml:space="preserve">  </w:t>
      </w:r>
      <w:r w:rsidRPr="00FA49B5">
        <w:rPr>
          <w:rFonts w:eastAsia="Times New Roman"/>
          <w:color w:val="000000"/>
        </w:rPr>
        <w:t xml:space="preserve">OSDn, </w:t>
      </w:r>
      <w:r w:rsidR="00C00AFD" w:rsidRPr="00FA49B5">
        <w:rPr>
          <w:rFonts w:eastAsia="Times New Roman"/>
          <w:color w:val="000000"/>
        </w:rPr>
        <w:t xml:space="preserve">w terminie 14 dni po zakończeniu miesiąca, </w:t>
      </w:r>
      <w:r w:rsidRPr="00FA49B5">
        <w:rPr>
          <w:rFonts w:eastAsia="Times New Roman"/>
          <w:color w:val="000000"/>
        </w:rPr>
        <w:t xml:space="preserve">przekazuje Operatorowi rozliczeń dane dotyczące ilości wytworzonej </w:t>
      </w:r>
      <w:r w:rsidR="001D495D" w:rsidRPr="00FA49B5">
        <w:rPr>
          <w:rFonts w:eastAsia="Times New Roman"/>
          <w:color w:val="000000"/>
        </w:rPr>
        <w:t xml:space="preserve">przez wytwórcę </w:t>
      </w:r>
      <w:r w:rsidRPr="00FA49B5">
        <w:rPr>
          <w:rFonts w:eastAsia="Times New Roman"/>
          <w:color w:val="000000"/>
        </w:rPr>
        <w:t>w jednostce kogeneracji</w:t>
      </w:r>
      <w:r w:rsidR="000A39C9" w:rsidRPr="00FA49B5">
        <w:rPr>
          <w:rFonts w:eastAsia="Times New Roman"/>
          <w:color w:val="000000"/>
        </w:rPr>
        <w:t xml:space="preserve">, która jest </w:t>
      </w:r>
      <w:r w:rsidRPr="00FA49B5">
        <w:rPr>
          <w:rFonts w:eastAsia="Times New Roman"/>
          <w:color w:val="000000"/>
        </w:rPr>
        <w:t>przyłączon</w:t>
      </w:r>
      <w:r w:rsidR="000A39C9" w:rsidRPr="00FA49B5">
        <w:rPr>
          <w:rFonts w:eastAsia="Times New Roman"/>
          <w:color w:val="000000"/>
        </w:rPr>
        <w:t>a</w:t>
      </w:r>
      <w:r w:rsidRPr="00FA49B5">
        <w:rPr>
          <w:rFonts w:eastAsia="Times New Roman"/>
          <w:color w:val="000000"/>
        </w:rPr>
        <w:t xml:space="preserve"> do sieci elektroenergetycznej OSDn, </w:t>
      </w:r>
      <w:r w:rsidR="00C00AFD" w:rsidRPr="00FA49B5">
        <w:rPr>
          <w:rFonts w:eastAsia="Times New Roman"/>
          <w:color w:val="000000"/>
        </w:rPr>
        <w:t xml:space="preserve">który w rozumieniu ustawy </w:t>
      </w:r>
      <w:r w:rsidR="004768EB">
        <w:rPr>
          <w:rFonts w:eastAsia="Times New Roman"/>
          <w:color w:val="000000"/>
        </w:rPr>
        <w:br/>
      </w:r>
      <w:r w:rsidR="00C00AFD" w:rsidRPr="00FA49B5">
        <w:rPr>
          <w:rFonts w:eastAsia="Times New Roman"/>
          <w:color w:val="000000"/>
        </w:rPr>
        <w:t>o promowaniu energii elektrycznej w wysokosprawnej kogeneracji jest uprawniony do wypłaty odpowiednio:</w:t>
      </w:r>
    </w:p>
    <w:p w14:paraId="0A3C5362" w14:textId="77777777" w:rsidR="00C00AFD" w:rsidRPr="00FA49B5" w:rsidRDefault="00C00AFD">
      <w:pPr>
        <w:numPr>
          <w:ilvl w:val="0"/>
          <w:numId w:val="239"/>
        </w:numPr>
        <w:spacing w:line="237" w:lineRule="auto"/>
        <w:ind w:left="1560" w:hanging="284"/>
        <w:jc w:val="both"/>
        <w:rPr>
          <w:rFonts w:eastAsia="Times New Roman"/>
          <w:color w:val="000000"/>
        </w:rPr>
      </w:pPr>
      <w:r w:rsidRPr="00FA49B5">
        <w:rPr>
          <w:rFonts w:eastAsia="Times New Roman"/>
          <w:color w:val="000000"/>
        </w:rPr>
        <w:t>premii kogeneracyjnej,</w:t>
      </w:r>
    </w:p>
    <w:p w14:paraId="47579C96" w14:textId="77777777" w:rsidR="00C00AFD" w:rsidRPr="00FA49B5" w:rsidRDefault="00C00AFD">
      <w:pPr>
        <w:numPr>
          <w:ilvl w:val="0"/>
          <w:numId w:val="239"/>
        </w:numPr>
        <w:spacing w:line="237" w:lineRule="auto"/>
        <w:ind w:left="1560" w:hanging="284"/>
        <w:jc w:val="both"/>
        <w:rPr>
          <w:rFonts w:eastAsia="Times New Roman"/>
          <w:color w:val="000000"/>
        </w:rPr>
      </w:pPr>
      <w:r w:rsidRPr="00FA49B5">
        <w:rPr>
          <w:rFonts w:eastAsia="Times New Roman"/>
          <w:color w:val="000000"/>
        </w:rPr>
        <w:t>premii gwarantowanej,</w:t>
      </w:r>
    </w:p>
    <w:p w14:paraId="071EF2FF" w14:textId="77777777" w:rsidR="00C00AFD" w:rsidRPr="00FA49B5" w:rsidRDefault="00C00AFD">
      <w:pPr>
        <w:numPr>
          <w:ilvl w:val="0"/>
          <w:numId w:val="239"/>
        </w:numPr>
        <w:spacing w:line="237" w:lineRule="auto"/>
        <w:ind w:left="1560" w:hanging="284"/>
        <w:jc w:val="both"/>
        <w:rPr>
          <w:rFonts w:eastAsia="Times New Roman"/>
          <w:color w:val="000000"/>
        </w:rPr>
      </w:pPr>
      <w:r w:rsidRPr="00FA49B5">
        <w:rPr>
          <w:rFonts w:eastAsia="Times New Roman"/>
          <w:color w:val="000000"/>
        </w:rPr>
        <w:t>premii gwarantowanej indywidualnej,</w:t>
      </w:r>
    </w:p>
    <w:p w14:paraId="495CE592" w14:textId="77777777" w:rsidR="00C00AFD" w:rsidRPr="00FA49B5" w:rsidRDefault="00C00AFD">
      <w:pPr>
        <w:numPr>
          <w:ilvl w:val="0"/>
          <w:numId w:val="239"/>
        </w:numPr>
        <w:spacing w:line="237" w:lineRule="auto"/>
        <w:ind w:left="1560" w:hanging="284"/>
        <w:jc w:val="both"/>
        <w:rPr>
          <w:rFonts w:eastAsia="Times New Roman"/>
          <w:color w:val="000000"/>
        </w:rPr>
      </w:pPr>
      <w:r w:rsidRPr="00FA49B5">
        <w:rPr>
          <w:rFonts w:eastAsia="Times New Roman"/>
          <w:color w:val="000000"/>
        </w:rPr>
        <w:t>premii kogeneracyjnej indywidualnej,</w:t>
      </w:r>
    </w:p>
    <w:p w14:paraId="0BDFF014" w14:textId="77777777" w:rsidR="008A7502" w:rsidRPr="00FA49B5" w:rsidRDefault="00C00AFD" w:rsidP="008A7502">
      <w:pPr>
        <w:spacing w:line="237" w:lineRule="auto"/>
        <w:ind w:left="851" w:hanging="990"/>
        <w:jc w:val="both"/>
        <w:rPr>
          <w:rFonts w:eastAsia="Times New Roman"/>
          <w:color w:val="000000"/>
        </w:rPr>
      </w:pPr>
      <w:r w:rsidRPr="00FA49B5">
        <w:rPr>
          <w:rFonts w:eastAsia="Times New Roman"/>
          <w:color w:val="000000"/>
        </w:rPr>
        <w:t xml:space="preserve">                    </w:t>
      </w:r>
      <w:r w:rsidR="00386F1E" w:rsidRPr="00FA49B5">
        <w:rPr>
          <w:rFonts w:eastAsia="Times New Roman"/>
          <w:color w:val="000000"/>
        </w:rPr>
        <w:t xml:space="preserve">energii elektrycznej </w:t>
      </w:r>
      <w:r w:rsidR="008A7502" w:rsidRPr="00FA49B5">
        <w:rPr>
          <w:rFonts w:eastAsia="Times New Roman"/>
          <w:color w:val="000000"/>
        </w:rPr>
        <w:t>wprowadzonej do sieci i sprzedanej</w:t>
      </w:r>
      <w:r w:rsidR="00386F1E" w:rsidRPr="00FA49B5">
        <w:rPr>
          <w:rFonts w:eastAsia="Times New Roman"/>
          <w:color w:val="000000"/>
        </w:rPr>
        <w:t>.</w:t>
      </w:r>
    </w:p>
    <w:p w14:paraId="2909E12B" w14:textId="77777777" w:rsidR="00572BA3" w:rsidRPr="00F66BEF" w:rsidRDefault="00572BA3">
      <w:pPr>
        <w:spacing w:line="200" w:lineRule="exact"/>
        <w:rPr>
          <w:rFonts w:eastAsia="Times New Roman"/>
          <w:color w:val="FF0000"/>
        </w:rPr>
      </w:pPr>
    </w:p>
    <w:p w14:paraId="7B100768" w14:textId="77777777" w:rsidR="00572BA3" w:rsidRPr="00F66BEF" w:rsidRDefault="00572BA3">
      <w:pPr>
        <w:spacing w:line="200" w:lineRule="exact"/>
        <w:rPr>
          <w:rFonts w:eastAsia="Times New Roman"/>
          <w:color w:val="FF0000"/>
        </w:rPr>
      </w:pPr>
    </w:p>
    <w:p w14:paraId="30F92A5A" w14:textId="77777777" w:rsidR="00572BA3" w:rsidRDefault="00572BA3">
      <w:pPr>
        <w:spacing w:line="200" w:lineRule="exact"/>
        <w:rPr>
          <w:rFonts w:eastAsia="Times New Roman"/>
        </w:rPr>
      </w:pPr>
    </w:p>
    <w:p w14:paraId="61DA850D" w14:textId="77777777" w:rsidR="00572BA3" w:rsidRDefault="00572BA3">
      <w:pPr>
        <w:spacing w:line="200" w:lineRule="exact"/>
        <w:rPr>
          <w:rFonts w:eastAsia="Times New Roman"/>
        </w:rPr>
      </w:pPr>
    </w:p>
    <w:p w14:paraId="172F3312" w14:textId="77777777" w:rsidR="00572BA3" w:rsidRDefault="00572BA3">
      <w:pPr>
        <w:spacing w:line="200" w:lineRule="exact"/>
        <w:rPr>
          <w:rFonts w:eastAsia="Times New Roman"/>
        </w:rPr>
      </w:pPr>
    </w:p>
    <w:p w14:paraId="08C6E9DF" w14:textId="77777777" w:rsidR="007C7F4B" w:rsidRDefault="007C7F4B">
      <w:pPr>
        <w:spacing w:line="200" w:lineRule="exact"/>
        <w:rPr>
          <w:rFonts w:eastAsia="Times New Roman"/>
        </w:rPr>
      </w:pPr>
    </w:p>
    <w:p w14:paraId="5206C98E" w14:textId="77777777" w:rsidR="007C7F4B" w:rsidRDefault="007C7F4B">
      <w:pPr>
        <w:spacing w:line="200" w:lineRule="exact"/>
        <w:rPr>
          <w:rFonts w:eastAsia="Times New Roman"/>
        </w:rPr>
      </w:pPr>
    </w:p>
    <w:p w14:paraId="696F399B" w14:textId="77777777" w:rsidR="007C7F4B" w:rsidRDefault="007C7F4B">
      <w:pPr>
        <w:spacing w:line="200" w:lineRule="exact"/>
        <w:rPr>
          <w:rFonts w:eastAsia="Times New Roman"/>
        </w:rPr>
      </w:pPr>
    </w:p>
    <w:p w14:paraId="6B01D429" w14:textId="77777777" w:rsidR="007C7F4B" w:rsidRDefault="007C7F4B">
      <w:pPr>
        <w:spacing w:line="200" w:lineRule="exact"/>
        <w:rPr>
          <w:rFonts w:eastAsia="Times New Roman"/>
        </w:rPr>
      </w:pPr>
    </w:p>
    <w:p w14:paraId="40351577" w14:textId="77777777" w:rsidR="007C7F4B" w:rsidRDefault="007C7F4B">
      <w:pPr>
        <w:spacing w:line="200" w:lineRule="exact"/>
        <w:rPr>
          <w:rFonts w:eastAsia="Times New Roman"/>
        </w:rPr>
      </w:pPr>
    </w:p>
    <w:p w14:paraId="4F8557B6" w14:textId="77777777" w:rsidR="007C7F4B" w:rsidRDefault="007C7F4B">
      <w:pPr>
        <w:spacing w:line="200" w:lineRule="exact"/>
        <w:rPr>
          <w:rFonts w:eastAsia="Times New Roman"/>
        </w:rPr>
      </w:pPr>
    </w:p>
    <w:p w14:paraId="4982C705" w14:textId="77777777" w:rsidR="007C7F4B" w:rsidRDefault="007C7F4B">
      <w:pPr>
        <w:spacing w:line="200" w:lineRule="exact"/>
        <w:rPr>
          <w:rFonts w:eastAsia="Times New Roman"/>
        </w:rPr>
      </w:pPr>
    </w:p>
    <w:p w14:paraId="3919E5DB" w14:textId="77777777" w:rsidR="007C7F4B" w:rsidRDefault="007C7F4B">
      <w:pPr>
        <w:spacing w:line="200" w:lineRule="exact"/>
        <w:rPr>
          <w:rFonts w:eastAsia="Times New Roman"/>
        </w:rPr>
      </w:pPr>
    </w:p>
    <w:p w14:paraId="3193D0A3" w14:textId="77777777" w:rsidR="007C7F4B" w:rsidRDefault="007C7F4B">
      <w:pPr>
        <w:spacing w:line="200" w:lineRule="exact"/>
        <w:rPr>
          <w:rFonts w:eastAsia="Times New Roman"/>
        </w:rPr>
      </w:pPr>
    </w:p>
    <w:p w14:paraId="0EB7BB09" w14:textId="77777777" w:rsidR="007C7F4B" w:rsidRDefault="007C7F4B">
      <w:pPr>
        <w:spacing w:line="200" w:lineRule="exact"/>
        <w:rPr>
          <w:rFonts w:eastAsia="Times New Roman"/>
        </w:rPr>
      </w:pPr>
    </w:p>
    <w:p w14:paraId="398EF620" w14:textId="77777777" w:rsidR="007C7F4B" w:rsidRDefault="007C7F4B">
      <w:pPr>
        <w:spacing w:line="200" w:lineRule="exact"/>
        <w:rPr>
          <w:rFonts w:eastAsia="Times New Roman"/>
        </w:rPr>
      </w:pPr>
    </w:p>
    <w:p w14:paraId="3C8509C2" w14:textId="77777777" w:rsidR="007C7F4B" w:rsidRDefault="007C7F4B">
      <w:pPr>
        <w:spacing w:line="200" w:lineRule="exact"/>
        <w:rPr>
          <w:rFonts w:eastAsia="Times New Roman"/>
        </w:rPr>
      </w:pPr>
    </w:p>
    <w:p w14:paraId="56D4330A" w14:textId="77777777" w:rsidR="007C7F4B" w:rsidRDefault="007C7F4B">
      <w:pPr>
        <w:spacing w:line="200" w:lineRule="exact"/>
        <w:rPr>
          <w:rFonts w:eastAsia="Times New Roman"/>
        </w:rPr>
      </w:pPr>
    </w:p>
    <w:p w14:paraId="25B6DF20" w14:textId="77777777" w:rsidR="007C7F4B" w:rsidRDefault="007C7F4B">
      <w:pPr>
        <w:spacing w:line="200" w:lineRule="exact"/>
        <w:rPr>
          <w:rFonts w:eastAsia="Times New Roman"/>
        </w:rPr>
      </w:pPr>
    </w:p>
    <w:p w14:paraId="739A95F4" w14:textId="77777777" w:rsidR="007C7F4B" w:rsidRDefault="007C7F4B">
      <w:pPr>
        <w:spacing w:line="200" w:lineRule="exact"/>
        <w:rPr>
          <w:rFonts w:eastAsia="Times New Roman"/>
        </w:rPr>
      </w:pPr>
    </w:p>
    <w:p w14:paraId="0C77AED9" w14:textId="77777777" w:rsidR="007C7F4B" w:rsidRDefault="007C7F4B">
      <w:pPr>
        <w:spacing w:line="200" w:lineRule="exact"/>
        <w:rPr>
          <w:rFonts w:eastAsia="Times New Roman"/>
        </w:rPr>
      </w:pPr>
    </w:p>
    <w:p w14:paraId="667B8263" w14:textId="77777777" w:rsidR="007C7F4B" w:rsidRDefault="007C7F4B">
      <w:pPr>
        <w:spacing w:line="200" w:lineRule="exact"/>
        <w:rPr>
          <w:rFonts w:eastAsia="Times New Roman"/>
        </w:rPr>
      </w:pPr>
    </w:p>
    <w:p w14:paraId="2B45FBB7" w14:textId="77777777" w:rsidR="007C7F4B" w:rsidRDefault="007C7F4B">
      <w:pPr>
        <w:spacing w:line="200" w:lineRule="exact"/>
        <w:rPr>
          <w:rFonts w:eastAsia="Times New Roman"/>
        </w:rPr>
      </w:pPr>
    </w:p>
    <w:p w14:paraId="36D6569A" w14:textId="77777777" w:rsidR="007C7F4B" w:rsidRDefault="007C7F4B">
      <w:pPr>
        <w:spacing w:line="200" w:lineRule="exact"/>
        <w:rPr>
          <w:rFonts w:eastAsia="Times New Roman"/>
        </w:rPr>
      </w:pPr>
    </w:p>
    <w:p w14:paraId="57C5117C" w14:textId="77777777" w:rsidR="007C7F4B" w:rsidRDefault="007C7F4B">
      <w:pPr>
        <w:spacing w:line="200" w:lineRule="exact"/>
        <w:rPr>
          <w:rFonts w:eastAsia="Times New Roman"/>
        </w:rPr>
      </w:pPr>
    </w:p>
    <w:p w14:paraId="3E3C9D16" w14:textId="77777777" w:rsidR="007C7F4B" w:rsidRDefault="007C7F4B">
      <w:pPr>
        <w:spacing w:line="200" w:lineRule="exact"/>
        <w:rPr>
          <w:rFonts w:eastAsia="Times New Roman"/>
        </w:rPr>
      </w:pPr>
    </w:p>
    <w:p w14:paraId="36632312" w14:textId="77777777" w:rsidR="00F324CE" w:rsidRDefault="00F324CE">
      <w:pPr>
        <w:spacing w:line="200" w:lineRule="exact"/>
        <w:rPr>
          <w:rFonts w:eastAsia="Times New Roman"/>
        </w:rPr>
      </w:pPr>
    </w:p>
    <w:p w14:paraId="1445275C" w14:textId="77777777" w:rsidR="00F324CE" w:rsidRDefault="00F324CE">
      <w:pPr>
        <w:spacing w:line="200" w:lineRule="exact"/>
        <w:rPr>
          <w:rFonts w:eastAsia="Times New Roman"/>
        </w:rPr>
      </w:pPr>
    </w:p>
    <w:p w14:paraId="3C03A247" w14:textId="77777777" w:rsidR="00F324CE" w:rsidRDefault="00F324CE">
      <w:pPr>
        <w:spacing w:line="200" w:lineRule="exact"/>
        <w:rPr>
          <w:rFonts w:eastAsia="Times New Roman"/>
        </w:rPr>
      </w:pPr>
    </w:p>
    <w:p w14:paraId="44AB18F8" w14:textId="2E8BDF2D" w:rsidR="00286444" w:rsidRDefault="00286444" w:rsidP="00286444">
      <w:pPr>
        <w:pStyle w:val="Nagwek"/>
        <w:jc w:val="center"/>
        <w:rPr>
          <w:rFonts w:cs="Times New Roman"/>
          <w:b/>
          <w:i/>
          <w:color w:val="000000"/>
        </w:rPr>
      </w:pPr>
    </w:p>
    <w:p w14:paraId="73FE13F8" w14:textId="77777777" w:rsidR="005D2C02" w:rsidRPr="00ED140B" w:rsidRDefault="005D2C02" w:rsidP="00286444">
      <w:pPr>
        <w:pStyle w:val="Nagwek"/>
        <w:jc w:val="center"/>
        <w:rPr>
          <w:rFonts w:cs="Times New Roman"/>
          <w:b/>
          <w:i/>
          <w:color w:val="000000"/>
        </w:rPr>
      </w:pPr>
    </w:p>
    <w:p w14:paraId="6509DB46" w14:textId="1D8440B5" w:rsidR="0053713B" w:rsidRDefault="0053713B" w:rsidP="0053713B">
      <w:pPr>
        <w:jc w:val="center"/>
        <w:rPr>
          <w:rFonts w:cs="Times New Roman"/>
          <w:b/>
          <w:bCs/>
          <w:i/>
          <w:color w:val="FF0000"/>
          <w:sz w:val="56"/>
          <w:szCs w:val="56"/>
        </w:rPr>
      </w:pPr>
    </w:p>
    <w:p w14:paraId="75B31E8A" w14:textId="73A79C93" w:rsidR="009A3ACA" w:rsidRDefault="009A3ACA" w:rsidP="0053713B">
      <w:pPr>
        <w:jc w:val="center"/>
        <w:rPr>
          <w:rFonts w:cs="Times New Roman"/>
          <w:b/>
          <w:bCs/>
          <w:i/>
          <w:color w:val="FF0000"/>
          <w:sz w:val="56"/>
          <w:szCs w:val="56"/>
        </w:rPr>
      </w:pPr>
    </w:p>
    <w:p w14:paraId="703BD336" w14:textId="77777777" w:rsidR="00E551FD" w:rsidRDefault="00E551FD" w:rsidP="0053713B">
      <w:pPr>
        <w:jc w:val="center"/>
        <w:rPr>
          <w:rFonts w:cs="Times New Roman"/>
          <w:b/>
          <w:bCs/>
          <w:i/>
          <w:color w:val="FF0000"/>
          <w:sz w:val="56"/>
          <w:szCs w:val="56"/>
        </w:rPr>
      </w:pPr>
    </w:p>
    <w:p w14:paraId="49C5D29F" w14:textId="77777777" w:rsidR="00E551FD" w:rsidRDefault="00E551FD" w:rsidP="0053713B">
      <w:pPr>
        <w:jc w:val="center"/>
        <w:rPr>
          <w:rFonts w:cs="Times New Roman"/>
          <w:b/>
          <w:bCs/>
          <w:i/>
          <w:color w:val="FF0000"/>
          <w:sz w:val="56"/>
          <w:szCs w:val="56"/>
        </w:rPr>
      </w:pPr>
    </w:p>
    <w:p w14:paraId="002EAAC4" w14:textId="77777777" w:rsidR="009A3ACA" w:rsidRDefault="009A3ACA" w:rsidP="0053713B">
      <w:pPr>
        <w:jc w:val="center"/>
        <w:rPr>
          <w:rFonts w:cs="Times New Roman"/>
          <w:b/>
          <w:bCs/>
          <w:i/>
          <w:color w:val="FF0000"/>
          <w:sz w:val="56"/>
          <w:szCs w:val="56"/>
        </w:rPr>
      </w:pPr>
    </w:p>
    <w:p w14:paraId="49CF1862" w14:textId="1213B820" w:rsidR="00DF0E79" w:rsidRPr="00257739" w:rsidRDefault="00DF0E79" w:rsidP="00DF0E79">
      <w:pPr>
        <w:jc w:val="center"/>
        <w:rPr>
          <w:rFonts w:cs="Times New Roman"/>
          <w:b/>
          <w:bCs/>
          <w:i/>
          <w:iCs/>
          <w:color w:val="FF0000"/>
          <w:sz w:val="56"/>
          <w:szCs w:val="56"/>
        </w:rPr>
      </w:pPr>
    </w:p>
    <w:p w14:paraId="1B6ADE91" w14:textId="77777777" w:rsidR="00163418" w:rsidRPr="00F67B53" w:rsidRDefault="00163418" w:rsidP="00163418">
      <w:pPr>
        <w:jc w:val="center"/>
        <w:rPr>
          <w:rFonts w:cs="Times New Roman"/>
          <w:b/>
          <w:bCs/>
          <w:sz w:val="56"/>
          <w:szCs w:val="56"/>
        </w:rPr>
      </w:pPr>
      <w:r w:rsidRPr="00F67B53">
        <w:rPr>
          <w:rFonts w:cs="Times New Roman"/>
          <w:b/>
          <w:bCs/>
          <w:sz w:val="56"/>
          <w:szCs w:val="56"/>
        </w:rPr>
        <w:t>INSTRUKCJA</w:t>
      </w:r>
    </w:p>
    <w:p w14:paraId="6DE931F8" w14:textId="77777777" w:rsidR="00163418" w:rsidRPr="00F67B53" w:rsidRDefault="00163418" w:rsidP="00163418">
      <w:pPr>
        <w:jc w:val="center"/>
        <w:rPr>
          <w:rFonts w:cs="Times New Roman"/>
          <w:b/>
          <w:bCs/>
          <w:sz w:val="56"/>
          <w:szCs w:val="56"/>
        </w:rPr>
      </w:pPr>
      <w:r w:rsidRPr="00F67B53">
        <w:rPr>
          <w:rFonts w:cs="Times New Roman"/>
          <w:b/>
          <w:bCs/>
          <w:sz w:val="56"/>
          <w:szCs w:val="56"/>
        </w:rPr>
        <w:t>RUCHU I EKSPLOATACJI</w:t>
      </w:r>
    </w:p>
    <w:p w14:paraId="262EFA5F" w14:textId="77777777" w:rsidR="00163418" w:rsidRPr="00F67B53" w:rsidRDefault="00163418" w:rsidP="00163418">
      <w:pPr>
        <w:jc w:val="center"/>
        <w:rPr>
          <w:rFonts w:cs="Times New Roman"/>
          <w:b/>
          <w:bCs/>
          <w:sz w:val="56"/>
          <w:szCs w:val="56"/>
        </w:rPr>
      </w:pPr>
      <w:r w:rsidRPr="00F67B53">
        <w:rPr>
          <w:rFonts w:cs="Times New Roman"/>
          <w:b/>
          <w:bCs/>
          <w:sz w:val="56"/>
          <w:szCs w:val="56"/>
        </w:rPr>
        <w:t>SIECI DYSTRYBUCYJNEJ</w:t>
      </w:r>
    </w:p>
    <w:p w14:paraId="7347CAFA" w14:textId="77777777" w:rsidR="00572BA3" w:rsidRDefault="00572BA3" w:rsidP="008E05AD">
      <w:pPr>
        <w:spacing w:line="200" w:lineRule="exact"/>
        <w:jc w:val="center"/>
        <w:rPr>
          <w:rFonts w:eastAsia="Times New Roman"/>
        </w:rPr>
      </w:pPr>
    </w:p>
    <w:p w14:paraId="2442C911" w14:textId="77777777" w:rsidR="00572BA3" w:rsidRDefault="00572BA3" w:rsidP="008E05AD">
      <w:pPr>
        <w:spacing w:line="347" w:lineRule="exact"/>
        <w:jc w:val="center"/>
        <w:rPr>
          <w:rFonts w:eastAsia="Times New Roman"/>
        </w:rPr>
      </w:pPr>
    </w:p>
    <w:p w14:paraId="3128488D" w14:textId="77777777" w:rsidR="00572BA3" w:rsidRPr="00465834" w:rsidRDefault="00572BA3" w:rsidP="008E05AD">
      <w:pPr>
        <w:spacing w:line="22" w:lineRule="exact"/>
        <w:jc w:val="center"/>
        <w:rPr>
          <w:rFonts w:eastAsia="Times New Roman"/>
          <w:sz w:val="32"/>
          <w:szCs w:val="32"/>
        </w:rPr>
      </w:pPr>
    </w:p>
    <w:p w14:paraId="7174059D" w14:textId="77777777" w:rsidR="00572BA3" w:rsidRPr="00465834" w:rsidRDefault="00572BA3" w:rsidP="00154D91">
      <w:pPr>
        <w:pStyle w:val="Nagwek1"/>
        <w:jc w:val="center"/>
        <w:rPr>
          <w:sz w:val="32"/>
        </w:rPr>
      </w:pPr>
      <w:bookmarkStart w:id="66" w:name="_Toc141963906"/>
      <w:r w:rsidRPr="00465834">
        <w:rPr>
          <w:sz w:val="32"/>
        </w:rPr>
        <w:t xml:space="preserve">BILANSOWANIE SYSTEMU DYSTRYBUCYJNEGO </w:t>
      </w:r>
      <w:r w:rsidR="00A94311" w:rsidRPr="00465834">
        <w:rPr>
          <w:sz w:val="32"/>
        </w:rPr>
        <w:br/>
      </w:r>
      <w:r w:rsidRPr="00465834">
        <w:rPr>
          <w:sz w:val="32"/>
        </w:rPr>
        <w:t>I ZARZĄDZANIE OGRANICZENIAMI SYSTEMOWYMI</w:t>
      </w:r>
      <w:bookmarkEnd w:id="66"/>
    </w:p>
    <w:p w14:paraId="0B084150" w14:textId="77777777" w:rsidR="00572BA3" w:rsidRDefault="00572BA3" w:rsidP="008E05AD">
      <w:pPr>
        <w:spacing w:line="200" w:lineRule="exact"/>
        <w:jc w:val="center"/>
        <w:rPr>
          <w:rFonts w:eastAsia="Times New Roman"/>
        </w:rPr>
      </w:pPr>
    </w:p>
    <w:p w14:paraId="56BE557B" w14:textId="77777777" w:rsidR="00572BA3" w:rsidRDefault="00572BA3" w:rsidP="008E05AD">
      <w:pPr>
        <w:spacing w:line="200" w:lineRule="exact"/>
        <w:jc w:val="center"/>
        <w:rPr>
          <w:rFonts w:eastAsia="Times New Roman"/>
        </w:rPr>
      </w:pPr>
    </w:p>
    <w:p w14:paraId="5EE22B18" w14:textId="77777777" w:rsidR="00572BA3" w:rsidRDefault="00572BA3" w:rsidP="008E05AD">
      <w:pPr>
        <w:spacing w:line="200" w:lineRule="exact"/>
        <w:jc w:val="center"/>
        <w:rPr>
          <w:rFonts w:eastAsia="Times New Roman"/>
        </w:rPr>
      </w:pPr>
    </w:p>
    <w:p w14:paraId="259C28A3" w14:textId="77777777" w:rsidR="00572BA3" w:rsidRDefault="00572BA3" w:rsidP="008E05AD">
      <w:pPr>
        <w:spacing w:line="200" w:lineRule="exact"/>
        <w:jc w:val="center"/>
        <w:rPr>
          <w:rFonts w:eastAsia="Times New Roman"/>
        </w:rPr>
      </w:pPr>
    </w:p>
    <w:p w14:paraId="72CFC4C9" w14:textId="77777777" w:rsidR="00572BA3" w:rsidRDefault="00572BA3" w:rsidP="008E05AD">
      <w:pPr>
        <w:spacing w:line="200" w:lineRule="exact"/>
        <w:jc w:val="center"/>
        <w:rPr>
          <w:rFonts w:eastAsia="Times New Roman"/>
        </w:rPr>
      </w:pPr>
    </w:p>
    <w:p w14:paraId="249EC9EC" w14:textId="77777777" w:rsidR="00572BA3" w:rsidRDefault="00572BA3">
      <w:pPr>
        <w:spacing w:line="200" w:lineRule="exact"/>
        <w:rPr>
          <w:rFonts w:eastAsia="Times New Roman"/>
        </w:rPr>
      </w:pPr>
    </w:p>
    <w:p w14:paraId="7AB52AF6" w14:textId="1959E252" w:rsidR="00572BA3" w:rsidRDefault="00572BA3">
      <w:pPr>
        <w:spacing w:line="200" w:lineRule="exact"/>
        <w:rPr>
          <w:rFonts w:eastAsia="Times New Roman"/>
        </w:rPr>
      </w:pPr>
    </w:p>
    <w:p w14:paraId="284C1159" w14:textId="094255F6" w:rsidR="009A3ACA" w:rsidRDefault="009A3ACA">
      <w:pPr>
        <w:spacing w:line="200" w:lineRule="exact"/>
        <w:rPr>
          <w:rFonts w:eastAsia="Times New Roman"/>
        </w:rPr>
      </w:pPr>
    </w:p>
    <w:p w14:paraId="50E8871F" w14:textId="0394986B" w:rsidR="009A3ACA" w:rsidRDefault="009A3ACA">
      <w:pPr>
        <w:spacing w:line="200" w:lineRule="exact"/>
        <w:rPr>
          <w:rFonts w:eastAsia="Times New Roman"/>
        </w:rPr>
      </w:pPr>
    </w:p>
    <w:p w14:paraId="76A7E06A" w14:textId="21592E68" w:rsidR="009A3ACA" w:rsidRDefault="009A3ACA">
      <w:pPr>
        <w:spacing w:line="200" w:lineRule="exact"/>
        <w:rPr>
          <w:rFonts w:eastAsia="Times New Roman"/>
        </w:rPr>
      </w:pPr>
    </w:p>
    <w:p w14:paraId="755614D5" w14:textId="026A3368" w:rsidR="009A3ACA" w:rsidRDefault="009A3ACA">
      <w:pPr>
        <w:spacing w:line="200" w:lineRule="exact"/>
        <w:rPr>
          <w:rFonts w:eastAsia="Times New Roman"/>
        </w:rPr>
      </w:pPr>
    </w:p>
    <w:p w14:paraId="3F42D25B" w14:textId="018CC209" w:rsidR="009A3ACA" w:rsidRDefault="009A3ACA">
      <w:pPr>
        <w:spacing w:line="200" w:lineRule="exact"/>
        <w:rPr>
          <w:rFonts w:eastAsia="Times New Roman"/>
        </w:rPr>
      </w:pPr>
    </w:p>
    <w:p w14:paraId="0FFC76A4" w14:textId="63601ADD" w:rsidR="009A3ACA" w:rsidRDefault="009A3ACA">
      <w:pPr>
        <w:spacing w:line="200" w:lineRule="exact"/>
        <w:rPr>
          <w:rFonts w:eastAsia="Times New Roman"/>
        </w:rPr>
      </w:pPr>
    </w:p>
    <w:p w14:paraId="78F378D8" w14:textId="2F6FF5D9" w:rsidR="009A3ACA" w:rsidRDefault="009A3ACA">
      <w:pPr>
        <w:spacing w:line="200" w:lineRule="exact"/>
        <w:rPr>
          <w:rFonts w:eastAsia="Times New Roman"/>
        </w:rPr>
      </w:pPr>
    </w:p>
    <w:p w14:paraId="75375793" w14:textId="6727A91F" w:rsidR="009A3ACA" w:rsidRDefault="009A3ACA">
      <w:pPr>
        <w:spacing w:line="200" w:lineRule="exact"/>
        <w:rPr>
          <w:rFonts w:eastAsia="Times New Roman"/>
        </w:rPr>
      </w:pPr>
    </w:p>
    <w:p w14:paraId="778FFAE0" w14:textId="699863CD" w:rsidR="009A3ACA" w:rsidRDefault="009A3ACA">
      <w:pPr>
        <w:spacing w:line="200" w:lineRule="exact"/>
        <w:rPr>
          <w:rFonts w:eastAsia="Times New Roman"/>
        </w:rPr>
      </w:pPr>
    </w:p>
    <w:p w14:paraId="16399634" w14:textId="3A43FD7E" w:rsidR="009A3ACA" w:rsidRDefault="009A3ACA">
      <w:pPr>
        <w:spacing w:line="200" w:lineRule="exact"/>
        <w:rPr>
          <w:rFonts w:eastAsia="Times New Roman"/>
        </w:rPr>
      </w:pPr>
    </w:p>
    <w:p w14:paraId="5D6091E1" w14:textId="5CC94D09" w:rsidR="009A3ACA" w:rsidRDefault="009A3ACA">
      <w:pPr>
        <w:spacing w:line="200" w:lineRule="exact"/>
        <w:rPr>
          <w:rFonts w:eastAsia="Times New Roman"/>
        </w:rPr>
      </w:pPr>
    </w:p>
    <w:p w14:paraId="319D4C7B" w14:textId="77777777" w:rsidR="009A3ACA" w:rsidRDefault="009A3ACA">
      <w:pPr>
        <w:spacing w:line="200" w:lineRule="exact"/>
        <w:rPr>
          <w:rFonts w:eastAsia="Times New Roman"/>
        </w:rPr>
      </w:pPr>
    </w:p>
    <w:p w14:paraId="133E2378" w14:textId="77777777" w:rsidR="00572BA3" w:rsidRDefault="00572BA3">
      <w:pPr>
        <w:spacing w:line="200" w:lineRule="exact"/>
        <w:rPr>
          <w:rFonts w:eastAsia="Times New Roman"/>
        </w:rPr>
      </w:pPr>
    </w:p>
    <w:p w14:paraId="51E36F0F" w14:textId="77777777" w:rsidR="00572BA3" w:rsidRDefault="00572BA3">
      <w:pPr>
        <w:spacing w:line="200" w:lineRule="exact"/>
        <w:rPr>
          <w:rFonts w:eastAsia="Times New Roman"/>
        </w:rPr>
      </w:pPr>
    </w:p>
    <w:p w14:paraId="1D2882B2" w14:textId="6509668D" w:rsidR="00572BA3" w:rsidRDefault="00572BA3">
      <w:pPr>
        <w:spacing w:line="200" w:lineRule="exact"/>
        <w:rPr>
          <w:rFonts w:eastAsia="Times New Roman"/>
        </w:rPr>
      </w:pPr>
    </w:p>
    <w:p w14:paraId="34B0260F" w14:textId="77777777" w:rsidR="00B87F62" w:rsidRDefault="00B87F62">
      <w:pPr>
        <w:spacing w:line="200" w:lineRule="exact"/>
        <w:rPr>
          <w:rFonts w:eastAsia="Times New Roman"/>
        </w:rPr>
      </w:pPr>
    </w:p>
    <w:p w14:paraId="362A9DE3" w14:textId="77777777" w:rsidR="00572BA3" w:rsidRDefault="00572BA3">
      <w:pPr>
        <w:spacing w:line="200" w:lineRule="exact"/>
        <w:rPr>
          <w:rFonts w:eastAsia="Times New Roman"/>
        </w:rPr>
      </w:pPr>
    </w:p>
    <w:p w14:paraId="1BF7E249" w14:textId="77777777" w:rsidR="00572BA3" w:rsidRDefault="00572BA3">
      <w:pPr>
        <w:spacing w:line="200" w:lineRule="exact"/>
        <w:rPr>
          <w:rFonts w:eastAsia="Times New Roman"/>
        </w:rPr>
      </w:pPr>
    </w:p>
    <w:p w14:paraId="0FB0D5AD" w14:textId="77777777" w:rsidR="00572BA3" w:rsidRDefault="00572BA3">
      <w:pPr>
        <w:spacing w:line="200" w:lineRule="exact"/>
        <w:rPr>
          <w:rFonts w:eastAsia="Times New Roman"/>
        </w:rPr>
      </w:pPr>
    </w:p>
    <w:p w14:paraId="4C0C9DA4" w14:textId="77777777" w:rsidR="00572BA3" w:rsidRDefault="006B6399" w:rsidP="006B6399">
      <w:pPr>
        <w:pStyle w:val="Nagwek1"/>
      </w:pPr>
      <w:bookmarkStart w:id="67" w:name="page112"/>
      <w:bookmarkStart w:id="68" w:name="_Toc141963907"/>
      <w:bookmarkEnd w:id="67"/>
      <w:r>
        <w:lastRenderedPageBreak/>
        <w:t xml:space="preserve">A. </w:t>
      </w:r>
      <w:r w:rsidR="00572BA3">
        <w:t>POSTANOWIENIA WSTĘPNE</w:t>
      </w:r>
      <w:bookmarkEnd w:id="68"/>
    </w:p>
    <w:p w14:paraId="1B08796B" w14:textId="77777777" w:rsidR="00572BA3" w:rsidRDefault="00572BA3" w:rsidP="006B6399">
      <w:pPr>
        <w:pStyle w:val="Nagwek2"/>
      </w:pPr>
      <w:bookmarkStart w:id="69" w:name="_Toc141963908"/>
      <w:r>
        <w:t>A.1.</w:t>
      </w:r>
      <w:r>
        <w:tab/>
        <w:t>UWARUNKOWANIA FORMALNO-PRAWNE</w:t>
      </w:r>
      <w:bookmarkEnd w:id="69"/>
    </w:p>
    <w:p w14:paraId="2F26B35F" w14:textId="77777777" w:rsidR="00572BA3" w:rsidRDefault="00572BA3" w:rsidP="00B119D1">
      <w:pPr>
        <w:spacing w:line="200" w:lineRule="exact"/>
        <w:rPr>
          <w:rFonts w:eastAsia="Times New Roman"/>
        </w:rPr>
      </w:pPr>
    </w:p>
    <w:p w14:paraId="6B2AF50A" w14:textId="228023B9" w:rsidR="005C2510" w:rsidRPr="00D14EAF" w:rsidRDefault="00572BA3" w:rsidP="00500951">
      <w:pPr>
        <w:tabs>
          <w:tab w:val="left" w:pos="8505"/>
        </w:tabs>
        <w:ind w:left="709" w:right="62" w:hanging="709"/>
        <w:jc w:val="both"/>
        <w:rPr>
          <w:rFonts w:eastAsia="Times New Roman" w:cs="Times New Roman"/>
          <w:color w:val="000000"/>
          <w:szCs w:val="24"/>
        </w:rPr>
      </w:pPr>
      <w:r>
        <w:rPr>
          <w:rFonts w:eastAsia="Times New Roman"/>
        </w:rPr>
        <w:t>A.1.1.</w:t>
      </w:r>
      <w:r>
        <w:rPr>
          <w:rFonts w:eastAsia="Times New Roman"/>
        </w:rPr>
        <w:tab/>
      </w:r>
      <w:r w:rsidR="005C2510" w:rsidRPr="00D14EAF">
        <w:rPr>
          <w:rFonts w:eastAsia="Times New Roman" w:cs="Times New Roman"/>
          <w:szCs w:val="24"/>
        </w:rPr>
        <w:t xml:space="preserve">Uwarunkowania formalno-prawne części Instrukcji Ruchu i Eksploatacji Sieci Dystrybucyjnej – Bilansowanie systemu dystrybucyjnego i zarządzanie ograniczeniami systemowymi (IRiESD-Bilansowanie) wynikają z następujących przepisów </w:t>
      </w:r>
      <w:r w:rsidR="00500951">
        <w:rPr>
          <w:rFonts w:eastAsia="Times New Roman" w:cs="Times New Roman"/>
          <w:szCs w:val="24"/>
        </w:rPr>
        <w:br/>
      </w:r>
      <w:r w:rsidR="005C2510" w:rsidRPr="00D14EAF">
        <w:rPr>
          <w:rFonts w:eastAsia="Times New Roman" w:cs="Times New Roman"/>
          <w:szCs w:val="24"/>
        </w:rPr>
        <w:t>i dokumentów</w:t>
      </w:r>
      <w:r w:rsidR="005C2510" w:rsidRPr="00D14EAF">
        <w:rPr>
          <w:rFonts w:eastAsia="Times New Roman" w:cs="Times New Roman"/>
          <w:color w:val="000000"/>
          <w:szCs w:val="24"/>
        </w:rPr>
        <w:t>:</w:t>
      </w:r>
    </w:p>
    <w:p w14:paraId="2DB1FAC9" w14:textId="77777777" w:rsidR="00115291" w:rsidRDefault="00115291">
      <w:pPr>
        <w:numPr>
          <w:ilvl w:val="0"/>
          <w:numId w:val="298"/>
        </w:numPr>
        <w:ind w:left="1134" w:right="60" w:hanging="425"/>
        <w:jc w:val="both"/>
        <w:rPr>
          <w:rFonts w:eastAsia="Times New Roman" w:cs="Times New Roman"/>
          <w:color w:val="000000"/>
          <w:szCs w:val="24"/>
        </w:rPr>
      </w:pPr>
      <w:r>
        <w:rPr>
          <w:rFonts w:eastAsia="Times New Roman" w:cs="Times New Roman"/>
          <w:color w:val="000000"/>
          <w:szCs w:val="24"/>
        </w:rPr>
        <w:t>ustawy z dnia 10 kwietnia 1997 r. Prawo energetyczne (t.j. Dz. U. z 2022 r. poz. 1385, 1723, 2127, 2243, 2370, 2687, z 2023 r. poz. 295) zwanej dalej: „Ustawą” oraz wydanymi na jej podstawie aktami wykonawczymi,</w:t>
      </w:r>
    </w:p>
    <w:p w14:paraId="1FEEB415" w14:textId="77777777" w:rsidR="00115291" w:rsidRDefault="00115291">
      <w:pPr>
        <w:numPr>
          <w:ilvl w:val="0"/>
          <w:numId w:val="298"/>
        </w:numPr>
        <w:autoSpaceDE w:val="0"/>
        <w:autoSpaceDN w:val="0"/>
        <w:adjustRightInd w:val="0"/>
        <w:ind w:left="1134" w:right="60" w:hanging="425"/>
        <w:jc w:val="both"/>
        <w:rPr>
          <w:rFonts w:cs="Times New Roman"/>
          <w:color w:val="000000"/>
          <w:szCs w:val="24"/>
        </w:rPr>
      </w:pPr>
      <w:r>
        <w:rPr>
          <w:rFonts w:cs="Times New Roman"/>
          <w:color w:val="000000"/>
          <w:szCs w:val="24"/>
        </w:rPr>
        <w:t>ustawy z dnia 20 lutego 2015 r., o odnawialnych źródłach energii – zwanej dalej „Ustawą OZE” (t.j. Dz. U. z 2022 r. poz. 1378, 1383, 2370, 2687),</w:t>
      </w:r>
    </w:p>
    <w:p w14:paraId="6574595A" w14:textId="42854972" w:rsidR="001D68B3" w:rsidRPr="00541D43" w:rsidRDefault="001D68B3" w:rsidP="001D68B3">
      <w:pPr>
        <w:numPr>
          <w:ilvl w:val="0"/>
          <w:numId w:val="298"/>
        </w:numPr>
        <w:spacing w:line="234" w:lineRule="auto"/>
        <w:ind w:left="1134" w:hanging="425"/>
        <w:jc w:val="both"/>
        <w:rPr>
          <w:rFonts w:eastAsia="Times New Roman"/>
          <w:szCs w:val="24"/>
        </w:rPr>
      </w:pPr>
      <w:r w:rsidRPr="00541D43">
        <w:rPr>
          <w:rFonts w:eastAsia="Times New Roman" w:cs="Times New Roman"/>
          <w:szCs w:val="24"/>
        </w:rPr>
        <w:t>koncesji</w:t>
      </w:r>
      <w:r>
        <w:rPr>
          <w:rFonts w:eastAsia="Times New Roman" w:cs="Times New Roman"/>
          <w:szCs w:val="24"/>
        </w:rPr>
        <w:t xml:space="preserve"> </w:t>
      </w:r>
      <w:r>
        <w:rPr>
          <w:rFonts w:cs="Times New Roman"/>
          <w:i/>
          <w:iCs/>
          <w:szCs w:val="24"/>
        </w:rPr>
        <w:t xml:space="preserve">ERG S.A. </w:t>
      </w:r>
      <w:r w:rsidRPr="00541D43">
        <w:rPr>
          <w:rFonts w:eastAsia="Times New Roman" w:cs="Times New Roman"/>
          <w:szCs w:val="24"/>
        </w:rPr>
        <w:t>na dystrybucję energii elektrycznej</w:t>
      </w:r>
      <w:r>
        <w:rPr>
          <w:rFonts w:eastAsia="Times New Roman" w:cs="Times New Roman"/>
          <w:szCs w:val="24"/>
        </w:rPr>
        <w:t xml:space="preserve"> </w:t>
      </w:r>
      <w:r>
        <w:rPr>
          <w:rFonts w:eastAsia="Times New Roman" w:cs="Times New Roman"/>
          <w:szCs w:val="24"/>
        </w:rPr>
        <w:br/>
      </w:r>
      <w:r w:rsidRPr="00541D43">
        <w:rPr>
          <w:rFonts w:eastAsia="Times New Roman" w:cs="Times New Roman"/>
          <w:szCs w:val="24"/>
        </w:rPr>
        <w:t xml:space="preserve">nr </w:t>
      </w:r>
      <w:r>
        <w:rPr>
          <w:rFonts w:eastAsia="Times New Roman" w:cs="Times New Roman"/>
          <w:szCs w:val="24"/>
        </w:rPr>
        <w:t>DEE/410/1198/W/OKA/2020/PS</w:t>
      </w:r>
      <w:r>
        <w:rPr>
          <w:rFonts w:cs="Times New Roman"/>
          <w:szCs w:val="24"/>
        </w:rPr>
        <w:t xml:space="preserve"> wydaną przez Prezesa Urzędu Regulacji Energetyki </w:t>
      </w:r>
      <w:r>
        <w:rPr>
          <w:rFonts w:eastAsia="Times New Roman"/>
          <w:szCs w:val="24"/>
        </w:rPr>
        <w:t>na okres od 6 września 2020 r. do 4 września 2030 r.,</w:t>
      </w:r>
    </w:p>
    <w:p w14:paraId="0C415177" w14:textId="40DEE85F" w:rsidR="001D68B3" w:rsidRDefault="001D68B3" w:rsidP="001D68B3">
      <w:pPr>
        <w:numPr>
          <w:ilvl w:val="0"/>
          <w:numId w:val="298"/>
        </w:numPr>
        <w:spacing w:line="0" w:lineRule="atLeast"/>
        <w:ind w:left="1134" w:hanging="425"/>
        <w:jc w:val="both"/>
        <w:rPr>
          <w:rFonts w:eastAsia="Times New Roman"/>
          <w:szCs w:val="24"/>
        </w:rPr>
      </w:pPr>
      <w:r w:rsidRPr="00541D43">
        <w:rPr>
          <w:rFonts w:eastAsia="Times New Roman" w:cs="Times New Roman"/>
          <w:szCs w:val="24"/>
        </w:rPr>
        <w:t>decyzji Prezesa U</w:t>
      </w:r>
      <w:r>
        <w:rPr>
          <w:rFonts w:eastAsia="Times New Roman" w:cs="Times New Roman"/>
          <w:szCs w:val="24"/>
        </w:rPr>
        <w:t xml:space="preserve">rzędu Regulacji nr DRE.WOSE.4711.4.6.2020.DSł z dnia </w:t>
      </w:r>
      <w:r>
        <w:rPr>
          <w:rFonts w:eastAsia="Times New Roman" w:cs="Times New Roman"/>
          <w:szCs w:val="24"/>
        </w:rPr>
        <w:br/>
        <w:t xml:space="preserve">15 lipca 2020 r. o </w:t>
      </w:r>
      <w:r w:rsidRPr="00541D43">
        <w:rPr>
          <w:rFonts w:eastAsia="Times New Roman"/>
          <w:szCs w:val="24"/>
        </w:rPr>
        <w:t xml:space="preserve">wyznaczeniu </w:t>
      </w:r>
      <w:r>
        <w:rPr>
          <w:rFonts w:cs="Times New Roman"/>
          <w:i/>
          <w:iCs/>
          <w:szCs w:val="24"/>
        </w:rPr>
        <w:t xml:space="preserve">ERG S.A. </w:t>
      </w:r>
      <w:r w:rsidRPr="00541D43">
        <w:rPr>
          <w:rFonts w:eastAsia="Times New Roman"/>
          <w:szCs w:val="24"/>
        </w:rPr>
        <w:t>Operatorem Systemu Dystrybucyjnego</w:t>
      </w:r>
      <w:r>
        <w:rPr>
          <w:rFonts w:eastAsia="Times New Roman"/>
          <w:szCs w:val="24"/>
        </w:rPr>
        <w:t>,</w:t>
      </w:r>
    </w:p>
    <w:p w14:paraId="0E7FDF1F" w14:textId="57EBCDC1" w:rsidR="00115291" w:rsidRPr="00167889" w:rsidRDefault="00115291" w:rsidP="001D68B3">
      <w:pPr>
        <w:numPr>
          <w:ilvl w:val="0"/>
          <w:numId w:val="298"/>
        </w:numPr>
        <w:spacing w:line="0" w:lineRule="atLeast"/>
        <w:ind w:left="1134" w:hanging="425"/>
        <w:jc w:val="both"/>
        <w:rPr>
          <w:rFonts w:eastAsia="Times New Roman"/>
          <w:szCs w:val="24"/>
        </w:rPr>
      </w:pPr>
      <w:r w:rsidRPr="00541D43">
        <w:rPr>
          <w:rFonts w:eastAsia="Times New Roman"/>
          <w:szCs w:val="24"/>
        </w:rPr>
        <w:t xml:space="preserve">Taryfy dla energii elektrycznej </w:t>
      </w:r>
      <w:r>
        <w:rPr>
          <w:rFonts w:eastAsia="Times New Roman"/>
          <w:szCs w:val="24"/>
        </w:rPr>
        <w:t xml:space="preserve">w zakresie dystrybucji energii elektrycznej </w:t>
      </w:r>
      <w:r>
        <w:rPr>
          <w:rFonts w:eastAsia="Times New Roman"/>
          <w:szCs w:val="24"/>
        </w:rPr>
        <w:br/>
      </w:r>
      <w:r w:rsidR="00D57274">
        <w:rPr>
          <w:rFonts w:eastAsia="Times New Roman"/>
          <w:i/>
          <w:iCs/>
        </w:rPr>
        <w:t>ERG S.A.</w:t>
      </w:r>
      <w:r>
        <w:rPr>
          <w:rFonts w:eastAsia="Times New Roman"/>
          <w:i/>
          <w:iCs/>
        </w:rPr>
        <w:t>,</w:t>
      </w:r>
    </w:p>
    <w:p w14:paraId="0C0E7DED" w14:textId="77777777" w:rsidR="005C2510" w:rsidRPr="00821426" w:rsidRDefault="005C2510">
      <w:pPr>
        <w:numPr>
          <w:ilvl w:val="0"/>
          <w:numId w:val="298"/>
        </w:numPr>
        <w:tabs>
          <w:tab w:val="left" w:pos="8505"/>
        </w:tabs>
        <w:ind w:left="1134" w:right="62" w:hanging="425"/>
        <w:jc w:val="both"/>
        <w:rPr>
          <w:rFonts w:eastAsia="Times New Roman" w:cs="Times New Roman"/>
          <w:color w:val="000000"/>
          <w:szCs w:val="24"/>
        </w:rPr>
      </w:pPr>
      <w:r w:rsidRPr="00AA02D6">
        <w:rPr>
          <w:rFonts w:eastAsia="Times New Roman" w:cs="Times New Roman"/>
          <w:color w:val="000000"/>
          <w:szCs w:val="24"/>
        </w:rPr>
        <w:t xml:space="preserve">określone w opracowanej przez operatora systemu przesyłowego (zwanego dalej: „OSP”) </w:t>
      </w:r>
      <w:r w:rsidRPr="00821426">
        <w:rPr>
          <w:rFonts w:eastAsia="Times New Roman" w:cs="Times New Roman"/>
          <w:color w:val="000000"/>
          <w:szCs w:val="24"/>
        </w:rPr>
        <w:t>Instrukcji Ruchu i Eksploatacji Sieci Przesyłowej (zwaną dalej „IRiESP”), zatwierdzonej decyzją Prezesa URE,</w:t>
      </w:r>
    </w:p>
    <w:p w14:paraId="23019D6E" w14:textId="77777777" w:rsidR="005C2510" w:rsidRPr="00821426" w:rsidRDefault="005C2510">
      <w:pPr>
        <w:numPr>
          <w:ilvl w:val="0"/>
          <w:numId w:val="298"/>
        </w:numPr>
        <w:tabs>
          <w:tab w:val="left" w:pos="8505"/>
        </w:tabs>
        <w:autoSpaceDE w:val="0"/>
        <w:autoSpaceDN w:val="0"/>
        <w:adjustRightInd w:val="0"/>
        <w:ind w:left="1134" w:right="62" w:hanging="425"/>
        <w:jc w:val="both"/>
        <w:rPr>
          <w:rFonts w:cs="Times New Roman"/>
          <w:color w:val="000000"/>
          <w:szCs w:val="24"/>
        </w:rPr>
      </w:pPr>
      <w:r w:rsidRPr="00AA02D6">
        <w:rPr>
          <w:rFonts w:cs="Times New Roman"/>
          <w:color w:val="000000"/>
          <w:szCs w:val="24"/>
        </w:rPr>
        <w:t xml:space="preserve">określone w opracowanych przez OSP Warunkach dotyczących bilansowania (zwanych dalej „WDB”), zatwierdzonych decyzją Prezesa URE, </w:t>
      </w:r>
    </w:p>
    <w:p w14:paraId="1AC7C7E3" w14:textId="05A9D627" w:rsidR="005C2510" w:rsidRPr="00821426" w:rsidRDefault="005C2510">
      <w:pPr>
        <w:numPr>
          <w:ilvl w:val="0"/>
          <w:numId w:val="298"/>
        </w:numPr>
        <w:tabs>
          <w:tab w:val="left" w:pos="8505"/>
        </w:tabs>
        <w:autoSpaceDE w:val="0"/>
        <w:autoSpaceDN w:val="0"/>
        <w:adjustRightInd w:val="0"/>
        <w:ind w:left="1134" w:right="62" w:hanging="425"/>
        <w:jc w:val="both"/>
        <w:rPr>
          <w:rFonts w:cs="Times New Roman"/>
          <w:color w:val="000000"/>
          <w:szCs w:val="24"/>
        </w:rPr>
      </w:pPr>
      <w:r w:rsidRPr="00AA02D6">
        <w:rPr>
          <w:rFonts w:cs="Times New Roman"/>
          <w:color w:val="000000"/>
          <w:szCs w:val="24"/>
        </w:rPr>
        <w:t xml:space="preserve">rozporządzenia Komisji (UE) 2017/2195 z dnia 23 listopada 2017 r. ustanawiającym wytyczne dotyczące bilansowania (Dz. Urz. UE L 312/6 </w:t>
      </w:r>
      <w:r>
        <w:rPr>
          <w:rFonts w:cs="Times New Roman"/>
          <w:color w:val="000000"/>
          <w:szCs w:val="24"/>
        </w:rPr>
        <w:br/>
      </w:r>
      <w:r w:rsidRPr="00AA02D6">
        <w:rPr>
          <w:rFonts w:cs="Times New Roman"/>
          <w:color w:val="000000"/>
          <w:szCs w:val="24"/>
        </w:rPr>
        <w:t>z 28.11.2017 r.</w:t>
      </w:r>
      <w:r w:rsidR="009440E6">
        <w:rPr>
          <w:rFonts w:cs="Times New Roman"/>
          <w:color w:val="000000"/>
          <w:szCs w:val="24"/>
        </w:rPr>
        <w:t xml:space="preserve"> z późn. zm.</w:t>
      </w:r>
      <w:r w:rsidRPr="00AA02D6">
        <w:rPr>
          <w:rFonts w:cs="Times New Roman"/>
          <w:color w:val="000000"/>
          <w:szCs w:val="24"/>
        </w:rPr>
        <w:t xml:space="preserve">) - EB GL, </w:t>
      </w:r>
    </w:p>
    <w:p w14:paraId="7D4C0DF4" w14:textId="43B3F23B" w:rsidR="005C2510" w:rsidRPr="00821426" w:rsidRDefault="005C2510">
      <w:pPr>
        <w:numPr>
          <w:ilvl w:val="0"/>
          <w:numId w:val="298"/>
        </w:numPr>
        <w:tabs>
          <w:tab w:val="left" w:pos="8505"/>
        </w:tabs>
        <w:autoSpaceDE w:val="0"/>
        <w:autoSpaceDN w:val="0"/>
        <w:adjustRightInd w:val="0"/>
        <w:ind w:left="1134" w:right="62" w:hanging="425"/>
        <w:jc w:val="both"/>
        <w:rPr>
          <w:rFonts w:cs="Times New Roman"/>
          <w:color w:val="000000"/>
          <w:szCs w:val="24"/>
        </w:rPr>
      </w:pPr>
      <w:r w:rsidRPr="00821426">
        <w:rPr>
          <w:rFonts w:cs="Times New Roman"/>
          <w:color w:val="000000"/>
          <w:szCs w:val="24"/>
        </w:rPr>
        <w:t>ustawy z dnia 11 stycznia 2018 r. o elektromobilności i paliwach alternatywnych, zwanej dalej „ustawą o elektromobilności” (Dz. U. z 2022 r. poz. 1083, 1260</w:t>
      </w:r>
      <w:r w:rsidR="00B951CC">
        <w:rPr>
          <w:rFonts w:cs="Times New Roman"/>
          <w:color w:val="000000"/>
          <w:szCs w:val="24"/>
        </w:rPr>
        <w:t>, 2687</w:t>
      </w:r>
      <w:r w:rsidRPr="00821426">
        <w:rPr>
          <w:rFonts w:cs="Times New Roman"/>
          <w:color w:val="000000"/>
          <w:szCs w:val="24"/>
        </w:rPr>
        <w:t>),</w:t>
      </w:r>
    </w:p>
    <w:p w14:paraId="69C03636" w14:textId="21A77BE7" w:rsidR="005C2510" w:rsidRPr="00821426" w:rsidRDefault="005C2510">
      <w:pPr>
        <w:numPr>
          <w:ilvl w:val="0"/>
          <w:numId w:val="298"/>
        </w:numPr>
        <w:tabs>
          <w:tab w:val="left" w:pos="8505"/>
        </w:tabs>
        <w:autoSpaceDE w:val="0"/>
        <w:autoSpaceDN w:val="0"/>
        <w:adjustRightInd w:val="0"/>
        <w:ind w:left="1134" w:right="62" w:hanging="425"/>
        <w:jc w:val="both"/>
        <w:rPr>
          <w:rFonts w:cs="Times New Roman"/>
          <w:color w:val="000000"/>
          <w:szCs w:val="24"/>
        </w:rPr>
      </w:pPr>
      <w:r w:rsidRPr="00821426">
        <w:rPr>
          <w:rFonts w:cs="Times New Roman"/>
          <w:color w:val="000000"/>
          <w:szCs w:val="24"/>
        </w:rPr>
        <w:t xml:space="preserve">ustawy z dnia 30 maja 2014 roku o prawach konsumenta, zwanej dalej „ustawą </w:t>
      </w:r>
      <w:r>
        <w:rPr>
          <w:rFonts w:cs="Times New Roman"/>
          <w:color w:val="000000"/>
          <w:szCs w:val="24"/>
        </w:rPr>
        <w:br/>
      </w:r>
      <w:r w:rsidRPr="00821426">
        <w:rPr>
          <w:rFonts w:cs="Times New Roman"/>
          <w:color w:val="000000"/>
          <w:szCs w:val="24"/>
        </w:rPr>
        <w:t>o prawach konsumenta” (</w:t>
      </w:r>
      <w:r>
        <w:rPr>
          <w:rFonts w:cs="Times New Roman"/>
          <w:color w:val="000000"/>
          <w:szCs w:val="24"/>
        </w:rPr>
        <w:t xml:space="preserve">t.j. </w:t>
      </w:r>
      <w:r w:rsidRPr="00821426">
        <w:rPr>
          <w:rFonts w:cs="Times New Roman"/>
          <w:color w:val="000000"/>
          <w:szCs w:val="24"/>
        </w:rPr>
        <w:t>Dz. U. z 202</w:t>
      </w:r>
      <w:r>
        <w:rPr>
          <w:rFonts w:cs="Times New Roman"/>
          <w:color w:val="000000"/>
          <w:szCs w:val="24"/>
        </w:rPr>
        <w:t>0</w:t>
      </w:r>
      <w:r w:rsidRPr="00821426">
        <w:rPr>
          <w:rFonts w:cs="Times New Roman"/>
          <w:color w:val="000000"/>
          <w:szCs w:val="24"/>
        </w:rPr>
        <w:t xml:space="preserve"> r., poz. 287</w:t>
      </w:r>
      <w:r w:rsidR="005824D3">
        <w:rPr>
          <w:rFonts w:cs="Times New Roman"/>
          <w:color w:val="000000"/>
          <w:szCs w:val="24"/>
        </w:rPr>
        <w:t>, z 2021 r. poz. 2105</w:t>
      </w:r>
      <w:r w:rsidRPr="00821426">
        <w:rPr>
          <w:rFonts w:cs="Times New Roman"/>
          <w:color w:val="000000"/>
          <w:szCs w:val="24"/>
        </w:rPr>
        <w:t xml:space="preserve">), </w:t>
      </w:r>
    </w:p>
    <w:p w14:paraId="0DEC971A" w14:textId="5AE45F94" w:rsidR="005C2510" w:rsidRDefault="005C2510">
      <w:pPr>
        <w:numPr>
          <w:ilvl w:val="0"/>
          <w:numId w:val="298"/>
        </w:numPr>
        <w:tabs>
          <w:tab w:val="left" w:pos="8505"/>
        </w:tabs>
        <w:autoSpaceDE w:val="0"/>
        <w:autoSpaceDN w:val="0"/>
        <w:adjustRightInd w:val="0"/>
        <w:ind w:left="1134" w:right="62" w:hanging="425"/>
        <w:jc w:val="both"/>
        <w:rPr>
          <w:rFonts w:cs="Times New Roman"/>
          <w:color w:val="000000"/>
          <w:szCs w:val="24"/>
        </w:rPr>
      </w:pPr>
      <w:r w:rsidRPr="00821426">
        <w:rPr>
          <w:rFonts w:cs="Times New Roman"/>
          <w:color w:val="000000"/>
          <w:szCs w:val="24"/>
        </w:rPr>
        <w:t>ustawy z dnia 8 grudnia 2017 r. o rynku mocy, zwanej dalej „ustawą o rynku mocy” (Dz. U. z 2021 r. poz. 1854</w:t>
      </w:r>
      <w:r w:rsidR="00543778">
        <w:rPr>
          <w:rFonts w:cs="Times New Roman"/>
          <w:color w:val="000000"/>
          <w:szCs w:val="24"/>
        </w:rPr>
        <w:t>, z 2022 r. poz. 2243</w:t>
      </w:r>
      <w:r w:rsidRPr="00821426">
        <w:rPr>
          <w:rFonts w:cs="Times New Roman"/>
          <w:color w:val="000000"/>
          <w:szCs w:val="24"/>
        </w:rPr>
        <w:t>)</w:t>
      </w:r>
      <w:r w:rsidR="00FB4FFE">
        <w:rPr>
          <w:rFonts w:cs="Times New Roman"/>
          <w:color w:val="000000"/>
          <w:szCs w:val="24"/>
        </w:rPr>
        <w:t>,</w:t>
      </w:r>
    </w:p>
    <w:p w14:paraId="04DA3125" w14:textId="7F36E4D1" w:rsidR="00FB4FFE" w:rsidRDefault="00FB4FFE">
      <w:pPr>
        <w:numPr>
          <w:ilvl w:val="0"/>
          <w:numId w:val="298"/>
        </w:numPr>
        <w:tabs>
          <w:tab w:val="left" w:pos="8505"/>
        </w:tabs>
        <w:autoSpaceDE w:val="0"/>
        <w:autoSpaceDN w:val="0"/>
        <w:adjustRightInd w:val="0"/>
        <w:ind w:left="1134" w:right="62" w:hanging="425"/>
        <w:jc w:val="both"/>
        <w:rPr>
          <w:rFonts w:cs="Times New Roman"/>
          <w:color w:val="000000"/>
          <w:szCs w:val="24"/>
        </w:rPr>
      </w:pPr>
      <w:r>
        <w:rPr>
          <w:rFonts w:cs="Times New Roman"/>
          <w:color w:val="000000"/>
          <w:szCs w:val="24"/>
        </w:rPr>
        <w:t>IRiESP,</w:t>
      </w:r>
    </w:p>
    <w:p w14:paraId="131ACDDC" w14:textId="44A77C65" w:rsidR="00FB4FFE" w:rsidRDefault="00FB4FFE">
      <w:pPr>
        <w:numPr>
          <w:ilvl w:val="0"/>
          <w:numId w:val="298"/>
        </w:numPr>
        <w:tabs>
          <w:tab w:val="left" w:pos="8505"/>
        </w:tabs>
        <w:autoSpaceDE w:val="0"/>
        <w:autoSpaceDN w:val="0"/>
        <w:adjustRightInd w:val="0"/>
        <w:ind w:left="1134" w:right="62" w:hanging="425"/>
        <w:jc w:val="both"/>
        <w:rPr>
          <w:rFonts w:cs="Times New Roman"/>
          <w:color w:val="000000"/>
          <w:szCs w:val="24"/>
        </w:rPr>
      </w:pPr>
      <w:r>
        <w:rPr>
          <w:rFonts w:cs="Times New Roman"/>
          <w:color w:val="000000"/>
          <w:szCs w:val="24"/>
        </w:rPr>
        <w:t>WDB,</w:t>
      </w:r>
    </w:p>
    <w:p w14:paraId="2EE82DC2" w14:textId="2EC869D5" w:rsidR="00FB4FFE" w:rsidRDefault="00FB4FFE">
      <w:pPr>
        <w:numPr>
          <w:ilvl w:val="0"/>
          <w:numId w:val="298"/>
        </w:numPr>
        <w:tabs>
          <w:tab w:val="left" w:pos="8505"/>
        </w:tabs>
        <w:autoSpaceDE w:val="0"/>
        <w:autoSpaceDN w:val="0"/>
        <w:adjustRightInd w:val="0"/>
        <w:ind w:left="1134" w:right="62" w:hanging="425"/>
        <w:jc w:val="both"/>
        <w:rPr>
          <w:rFonts w:cs="Times New Roman"/>
          <w:color w:val="000000"/>
          <w:szCs w:val="24"/>
        </w:rPr>
      </w:pPr>
      <w:r>
        <w:rPr>
          <w:rFonts w:cs="Times New Roman"/>
          <w:color w:val="000000"/>
          <w:szCs w:val="24"/>
        </w:rPr>
        <w:t>IRiESP-OIRE,</w:t>
      </w:r>
    </w:p>
    <w:p w14:paraId="23D2E1EB" w14:textId="6198D1B2" w:rsidR="00FB4FFE" w:rsidRDefault="00FB4FFE">
      <w:pPr>
        <w:numPr>
          <w:ilvl w:val="0"/>
          <w:numId w:val="298"/>
        </w:numPr>
        <w:tabs>
          <w:tab w:val="left" w:pos="8505"/>
        </w:tabs>
        <w:autoSpaceDE w:val="0"/>
        <w:autoSpaceDN w:val="0"/>
        <w:adjustRightInd w:val="0"/>
        <w:ind w:left="1134" w:right="62" w:hanging="425"/>
        <w:jc w:val="both"/>
        <w:rPr>
          <w:rFonts w:cs="Times New Roman"/>
          <w:color w:val="000000"/>
          <w:szCs w:val="24"/>
        </w:rPr>
      </w:pPr>
      <w:r>
        <w:rPr>
          <w:rFonts w:cs="Times New Roman"/>
          <w:color w:val="000000"/>
          <w:szCs w:val="24"/>
        </w:rPr>
        <w:t>Taryfy OSDn.</w:t>
      </w:r>
    </w:p>
    <w:p w14:paraId="67073EA1" w14:textId="09A0F36A" w:rsidR="003E0D56" w:rsidRPr="00541D43" w:rsidRDefault="003E0D56" w:rsidP="00444317">
      <w:pPr>
        <w:tabs>
          <w:tab w:val="left" w:pos="1121"/>
          <w:tab w:val="left" w:pos="8505"/>
        </w:tabs>
        <w:spacing w:line="237" w:lineRule="auto"/>
        <w:ind w:left="1141" w:right="62" w:hanging="1079"/>
        <w:jc w:val="both"/>
        <w:rPr>
          <w:rFonts w:eastAsia="Times New Roman"/>
          <w:szCs w:val="24"/>
        </w:rPr>
      </w:pPr>
      <w:r w:rsidRPr="003B5EA2">
        <w:rPr>
          <w:rFonts w:eastAsia="Times New Roman" w:cs="Times New Roman"/>
          <w:color w:val="000000"/>
          <w:szCs w:val="24"/>
        </w:rPr>
        <w:t xml:space="preserve">            </w:t>
      </w:r>
    </w:p>
    <w:p w14:paraId="1BFA978F" w14:textId="61DBC9A1" w:rsidR="00572BA3" w:rsidRDefault="00572BA3" w:rsidP="008F279B">
      <w:pPr>
        <w:tabs>
          <w:tab w:val="left" w:pos="1121"/>
        </w:tabs>
        <w:spacing w:line="236" w:lineRule="auto"/>
        <w:ind w:left="1141" w:hanging="1079"/>
        <w:jc w:val="both"/>
        <w:rPr>
          <w:rFonts w:eastAsia="Times New Roman"/>
        </w:rPr>
      </w:pPr>
      <w:r>
        <w:rPr>
          <w:rFonts w:eastAsia="Times New Roman"/>
        </w:rPr>
        <w:t>A.1.2.</w:t>
      </w:r>
      <w:r>
        <w:rPr>
          <w:rFonts w:eastAsia="Times New Roman"/>
        </w:rPr>
        <w:tab/>
      </w:r>
      <w:r w:rsidR="00D57274">
        <w:rPr>
          <w:rFonts w:eastAsia="Times New Roman"/>
          <w:i/>
          <w:iCs/>
        </w:rPr>
        <w:t>ERG S.A.</w:t>
      </w:r>
      <w:r w:rsidR="00644EE4">
        <w:rPr>
          <w:rFonts w:eastAsia="Times New Roman"/>
        </w:rPr>
        <w:t xml:space="preserve"> </w:t>
      </w:r>
      <w:r w:rsidR="00055E37" w:rsidRPr="009F6B7E">
        <w:rPr>
          <w:rFonts w:eastAsia="Times New Roman"/>
        </w:rPr>
        <w:t>j</w:t>
      </w:r>
      <w:r w:rsidR="005B63F1" w:rsidRPr="00027FAE">
        <w:rPr>
          <w:rFonts w:cs="Times New Roman"/>
          <w:szCs w:val="24"/>
        </w:rPr>
        <w:t>ako operator systemu dystrybucyjnego nie posiadający bezpośredniego połączenia z sieciami przesyłowymi (operator systemu dystrybucyjnego typu OSDn) prowadzi ruch, eksploatację i planowanie rozwoju sieci, a także bilansowanie systemu dystrybucyjnego i zarządzanie ograniczeniami systemowymi w sieci, na której został wyznaczony operatorem systemu dystrybucyjnego (zwanej dalej „siecią dystrybucyjną OSDn”), zgodnie z niniejszą IRiESD</w:t>
      </w:r>
      <w:r w:rsidR="005B63F1">
        <w:rPr>
          <w:rFonts w:cs="Times New Roman"/>
          <w:szCs w:val="24"/>
        </w:rPr>
        <w:t>.</w:t>
      </w:r>
    </w:p>
    <w:p w14:paraId="47DD231F" w14:textId="1A122F31" w:rsidR="00A93BC7" w:rsidRPr="00ED140B" w:rsidRDefault="00572BA3" w:rsidP="00765A7D">
      <w:pPr>
        <w:spacing w:before="120"/>
        <w:ind w:left="1134" w:right="62" w:hanging="992"/>
        <w:jc w:val="both"/>
        <w:rPr>
          <w:rFonts w:cs="Times New Roman"/>
          <w:sz w:val="22"/>
          <w:szCs w:val="22"/>
        </w:rPr>
      </w:pPr>
      <w:r w:rsidRPr="005E5275">
        <w:rPr>
          <w:rFonts w:eastAsia="Times New Roman"/>
          <w:szCs w:val="24"/>
        </w:rPr>
        <w:t>A.1.3.</w:t>
      </w:r>
      <w:r w:rsidRPr="005E5275">
        <w:rPr>
          <w:rFonts w:eastAsia="Times New Roman"/>
          <w:szCs w:val="24"/>
        </w:rPr>
        <w:tab/>
      </w:r>
      <w:r w:rsidR="00D57274">
        <w:rPr>
          <w:rFonts w:eastAsia="Times New Roman"/>
          <w:i/>
          <w:iCs/>
        </w:rPr>
        <w:t>ERG S.A.</w:t>
      </w:r>
      <w:r w:rsidR="00644EE4">
        <w:rPr>
          <w:rFonts w:eastAsia="Times New Roman"/>
          <w:i/>
          <w:iCs/>
        </w:rPr>
        <w:t xml:space="preserve"> </w:t>
      </w:r>
      <w:r w:rsidR="00055E37" w:rsidRPr="00A93BC7">
        <w:rPr>
          <w:rFonts w:cs="Times New Roman"/>
          <w:szCs w:val="24"/>
        </w:rPr>
        <w:t xml:space="preserve">jako </w:t>
      </w:r>
      <w:r w:rsidR="008766A2" w:rsidRPr="00A93BC7">
        <w:rPr>
          <w:rFonts w:cs="Times New Roman"/>
          <w:szCs w:val="24"/>
        </w:rPr>
        <w:t xml:space="preserve">operator systemu dystrybucyjnego </w:t>
      </w:r>
      <w:r w:rsidRPr="00A93BC7">
        <w:rPr>
          <w:rFonts w:eastAsia="Times New Roman"/>
          <w:szCs w:val="24"/>
        </w:rPr>
        <w:t>nie posiada</w:t>
      </w:r>
      <w:r w:rsidR="008766A2" w:rsidRPr="00A93BC7">
        <w:rPr>
          <w:rFonts w:eastAsia="Times New Roman"/>
          <w:szCs w:val="24"/>
        </w:rPr>
        <w:t>jący</w:t>
      </w:r>
      <w:r w:rsidRPr="00A93BC7">
        <w:rPr>
          <w:rFonts w:eastAsia="Times New Roman"/>
          <w:szCs w:val="24"/>
        </w:rPr>
        <w:t xml:space="preserve"> bezpośredniego połączenia z siecią przesyłową OSP, zwany dalej „OSDn”, realizuje określone w ustawie Prawo energetyczne obowiązki w zakresie współpracy z OSP dotyczące bilansowania systemu i zarządzania ograniczeniami systemowymi </w:t>
      </w:r>
      <w:r w:rsidR="00A93BC7" w:rsidRPr="00A93BC7">
        <w:rPr>
          <w:rFonts w:cs="Times New Roman"/>
          <w:szCs w:val="24"/>
        </w:rPr>
        <w:t xml:space="preserve">oraz określone </w:t>
      </w:r>
      <w:r w:rsidR="00A93BC7" w:rsidRPr="00A93BC7">
        <w:rPr>
          <w:rFonts w:cs="Times New Roman"/>
          <w:szCs w:val="24"/>
        </w:rPr>
        <w:lastRenderedPageBreak/>
        <w:t>w ustawie o rynku mocy obowiązki w zakresie współpracy z OSP, za pośrednictwem OSDp zgodnie z postanowieniami um</w:t>
      </w:r>
      <w:r w:rsidR="00261E0B">
        <w:rPr>
          <w:rFonts w:cs="Times New Roman"/>
          <w:szCs w:val="24"/>
        </w:rPr>
        <w:t>ów</w:t>
      </w:r>
      <w:r w:rsidR="00A93BC7" w:rsidRPr="00A93BC7">
        <w:rPr>
          <w:rFonts w:cs="Times New Roman"/>
          <w:szCs w:val="24"/>
        </w:rPr>
        <w:t xml:space="preserve"> zawart</w:t>
      </w:r>
      <w:r w:rsidR="00261E0B">
        <w:rPr>
          <w:rFonts w:cs="Times New Roman"/>
          <w:szCs w:val="24"/>
        </w:rPr>
        <w:t>ych</w:t>
      </w:r>
      <w:r w:rsidR="00A93BC7" w:rsidRPr="00A93BC7">
        <w:rPr>
          <w:rFonts w:cs="Times New Roman"/>
          <w:szCs w:val="24"/>
        </w:rPr>
        <w:t xml:space="preserve"> pomiędzy OSDp, a OSDn oraz zapis</w:t>
      </w:r>
      <w:r w:rsidR="00261E0B">
        <w:rPr>
          <w:rFonts w:cs="Times New Roman"/>
          <w:szCs w:val="24"/>
        </w:rPr>
        <w:t xml:space="preserve">ów </w:t>
      </w:r>
      <w:r w:rsidR="00A93BC7" w:rsidRPr="00A93BC7">
        <w:rPr>
          <w:rFonts w:cs="Times New Roman"/>
          <w:szCs w:val="24"/>
        </w:rPr>
        <w:t>IRiESD</w:t>
      </w:r>
      <w:r w:rsidR="00261E0B">
        <w:rPr>
          <w:rFonts w:cs="Times New Roman"/>
          <w:szCs w:val="24"/>
        </w:rPr>
        <w:t>-Bilansowanie.</w:t>
      </w:r>
    </w:p>
    <w:p w14:paraId="77950B8F" w14:textId="099924DF" w:rsidR="00572BA3" w:rsidRPr="005E5275" w:rsidRDefault="00572BA3" w:rsidP="008F279B">
      <w:pPr>
        <w:tabs>
          <w:tab w:val="left" w:pos="1121"/>
        </w:tabs>
        <w:spacing w:line="238" w:lineRule="auto"/>
        <w:ind w:left="1141" w:hanging="1079"/>
        <w:jc w:val="both"/>
        <w:rPr>
          <w:rFonts w:eastAsia="Times New Roman"/>
          <w:szCs w:val="24"/>
        </w:rPr>
      </w:pPr>
    </w:p>
    <w:p w14:paraId="2BE95926" w14:textId="77777777" w:rsidR="00572BA3" w:rsidRPr="005E5275" w:rsidRDefault="00572BA3" w:rsidP="005E5275">
      <w:pPr>
        <w:tabs>
          <w:tab w:val="left" w:pos="1121"/>
        </w:tabs>
        <w:spacing w:line="250" w:lineRule="auto"/>
        <w:ind w:left="1141" w:hanging="1079"/>
        <w:jc w:val="both"/>
        <w:rPr>
          <w:rFonts w:eastAsia="Times New Roman"/>
          <w:szCs w:val="24"/>
        </w:rPr>
      </w:pPr>
      <w:r w:rsidRPr="005E5275">
        <w:rPr>
          <w:rFonts w:eastAsia="Times New Roman"/>
          <w:szCs w:val="24"/>
        </w:rPr>
        <w:t>A.1.</w:t>
      </w:r>
      <w:r w:rsidR="003D77CF">
        <w:rPr>
          <w:rFonts w:eastAsia="Times New Roman"/>
          <w:szCs w:val="24"/>
        </w:rPr>
        <w:t>4</w:t>
      </w:r>
      <w:r w:rsidRPr="005E5275">
        <w:rPr>
          <w:rFonts w:eastAsia="Times New Roman"/>
          <w:szCs w:val="24"/>
        </w:rPr>
        <w:t>.</w:t>
      </w:r>
      <w:r w:rsidRPr="005E5275">
        <w:rPr>
          <w:rFonts w:eastAsia="Times New Roman"/>
          <w:szCs w:val="24"/>
        </w:rPr>
        <w:tab/>
        <w:t xml:space="preserve">Podmiot, którego sieci, urządzenia i instalacje są przyłączone do sieci dystrybucyjnej </w:t>
      </w:r>
      <w:r w:rsidR="005E5275" w:rsidRPr="005E5275">
        <w:rPr>
          <w:rFonts w:eastAsia="Times New Roman"/>
          <w:szCs w:val="24"/>
        </w:rPr>
        <w:t xml:space="preserve">OSDn </w:t>
      </w:r>
      <w:r w:rsidRPr="005E5275">
        <w:rPr>
          <w:rFonts w:eastAsia="Times New Roman"/>
          <w:szCs w:val="24"/>
        </w:rPr>
        <w:t xml:space="preserve">nie objętej obszarem RB i który posiada umowę dystrybucyjną z </w:t>
      </w:r>
      <w:r w:rsidR="005E5275" w:rsidRPr="005E5275">
        <w:rPr>
          <w:rFonts w:eastAsia="Times New Roman"/>
          <w:szCs w:val="24"/>
        </w:rPr>
        <w:t>OSDn</w:t>
      </w:r>
      <w:r w:rsidRPr="005E5275">
        <w:rPr>
          <w:rFonts w:eastAsia="Times New Roman"/>
          <w:szCs w:val="24"/>
        </w:rPr>
        <w:t xml:space="preserve"> albo umowę kompleksową zawartą</w:t>
      </w:r>
      <w:r w:rsidR="005E5275" w:rsidRPr="005E5275">
        <w:rPr>
          <w:rFonts w:eastAsia="Times New Roman"/>
          <w:szCs w:val="24"/>
        </w:rPr>
        <w:t xml:space="preserve"> </w:t>
      </w:r>
      <w:bookmarkStart w:id="70" w:name="page113"/>
      <w:bookmarkEnd w:id="70"/>
      <w:r w:rsidRPr="005E5275">
        <w:rPr>
          <w:rFonts w:eastAsia="Times New Roman"/>
          <w:szCs w:val="24"/>
        </w:rPr>
        <w:t xml:space="preserve">ze sprzedawcą posiadającym zawartą umowę o świadczenie usług dystrybucji energii elektrycznej, tzw. Generalną Umowę Dystrybucji dla usługi kompleksowej (GUD-K) z </w:t>
      </w:r>
      <w:r w:rsidR="005E5275">
        <w:rPr>
          <w:rFonts w:eastAsia="Times New Roman"/>
          <w:szCs w:val="24"/>
        </w:rPr>
        <w:t>OSDn</w:t>
      </w:r>
      <w:r w:rsidRPr="005E5275">
        <w:rPr>
          <w:rFonts w:eastAsia="Times New Roman"/>
          <w:szCs w:val="24"/>
        </w:rPr>
        <w:t>, jest Uczestnikiem Rynku Detalicznego (URD).</w:t>
      </w:r>
    </w:p>
    <w:p w14:paraId="320DC55F" w14:textId="77777777" w:rsidR="00572BA3" w:rsidRPr="005E5275" w:rsidRDefault="00572BA3">
      <w:pPr>
        <w:spacing w:line="122" w:lineRule="exact"/>
        <w:rPr>
          <w:rFonts w:eastAsia="Times New Roman"/>
          <w:szCs w:val="24"/>
        </w:rPr>
      </w:pPr>
    </w:p>
    <w:p w14:paraId="55599AB0" w14:textId="77777777" w:rsidR="00572BA3" w:rsidRPr="005E5275" w:rsidRDefault="00572BA3">
      <w:pPr>
        <w:spacing w:line="236" w:lineRule="auto"/>
        <w:ind w:left="1140"/>
        <w:jc w:val="both"/>
        <w:rPr>
          <w:rFonts w:eastAsia="Times New Roman"/>
          <w:szCs w:val="24"/>
        </w:rPr>
      </w:pPr>
      <w:r w:rsidRPr="005E5275">
        <w:rPr>
          <w:rFonts w:eastAsia="Times New Roman"/>
          <w:szCs w:val="24"/>
        </w:rPr>
        <w:t>Zasady obsługi uczestników rynku detalicznego przyłączonych do sieci, na której jest wyznaczony OSDn (zwanych dalej URDn) reguluje stosowna instrukcja ruchu i eksploatacji sieci dystrybucyjnej opracowana przez OSDn.</w:t>
      </w:r>
    </w:p>
    <w:p w14:paraId="69902F39" w14:textId="77777777" w:rsidR="00572BA3" w:rsidRPr="005E5275" w:rsidRDefault="00572BA3">
      <w:pPr>
        <w:spacing w:line="134" w:lineRule="exact"/>
        <w:rPr>
          <w:rFonts w:eastAsia="Times New Roman"/>
          <w:szCs w:val="24"/>
        </w:rPr>
      </w:pPr>
    </w:p>
    <w:p w14:paraId="5B707D04" w14:textId="77777777" w:rsidR="00572BA3" w:rsidRDefault="00572BA3" w:rsidP="006B6399">
      <w:pPr>
        <w:pStyle w:val="Nagwek2"/>
      </w:pPr>
      <w:bookmarkStart w:id="71" w:name="_Toc141963909"/>
      <w:r>
        <w:t>A.2.</w:t>
      </w:r>
      <w:r>
        <w:tab/>
        <w:t>ZAKRES PRZEDMIOTOWY I PODMIOTOWY</w:t>
      </w:r>
      <w:bookmarkEnd w:id="71"/>
    </w:p>
    <w:p w14:paraId="0578DE18" w14:textId="77777777" w:rsidR="00572BA3" w:rsidRDefault="00572BA3">
      <w:pPr>
        <w:spacing w:line="323" w:lineRule="exact"/>
        <w:rPr>
          <w:rFonts w:eastAsia="Times New Roman"/>
        </w:rPr>
      </w:pPr>
    </w:p>
    <w:p w14:paraId="08ECF7D1" w14:textId="77777777" w:rsidR="00572BA3" w:rsidRDefault="00572BA3" w:rsidP="006157AD">
      <w:pPr>
        <w:tabs>
          <w:tab w:val="left" w:pos="1120"/>
        </w:tabs>
        <w:spacing w:line="237" w:lineRule="auto"/>
        <w:ind w:left="1140" w:hanging="1079"/>
        <w:jc w:val="both"/>
        <w:rPr>
          <w:rFonts w:eastAsia="Times New Roman"/>
        </w:rPr>
      </w:pPr>
      <w:r>
        <w:rPr>
          <w:rFonts w:eastAsia="Times New Roman"/>
        </w:rPr>
        <w:t>A.2.1.</w:t>
      </w:r>
      <w:r>
        <w:rPr>
          <w:rFonts w:eastAsia="Times New Roman"/>
        </w:rPr>
        <w:tab/>
        <w:t xml:space="preserve">IRiESD-Bilansowanie określa zasady, procedury i uwarunkowania bilansowania systemu dystrybucyjnego oraz realizacji umów sprzedaży energii elektrycznej (umowa sprzedaży) lub umów kompleksowych zawartych przez podmioty przyłączone do sieci dystrybucyjnej i realizowanych w sieci dystrybucyjnej przez </w:t>
      </w:r>
      <w:r w:rsidR="00E33D16">
        <w:rPr>
          <w:rFonts w:eastAsia="Times New Roman"/>
        </w:rPr>
        <w:t>OSDn</w:t>
      </w:r>
      <w:r>
        <w:rPr>
          <w:rFonts w:eastAsia="Times New Roman"/>
        </w:rPr>
        <w:t>, a w szczególności:</w:t>
      </w:r>
    </w:p>
    <w:p w14:paraId="05EBD024" w14:textId="77777777" w:rsidR="00572BA3" w:rsidRDefault="00572BA3">
      <w:pPr>
        <w:numPr>
          <w:ilvl w:val="0"/>
          <w:numId w:val="127"/>
        </w:numPr>
        <w:tabs>
          <w:tab w:val="clear" w:pos="1626"/>
        </w:tabs>
        <w:spacing w:line="0" w:lineRule="atLeast"/>
        <w:ind w:left="1134"/>
        <w:jc w:val="both"/>
        <w:rPr>
          <w:rFonts w:eastAsia="Times New Roman"/>
        </w:rPr>
      </w:pPr>
      <w:r>
        <w:rPr>
          <w:rFonts w:eastAsia="Times New Roman"/>
        </w:rPr>
        <w:t>podmioty i warunki bilansowania systemu dystrybucyjnego,</w:t>
      </w:r>
    </w:p>
    <w:p w14:paraId="429CA5EE" w14:textId="77777777" w:rsidR="00572BA3" w:rsidRDefault="00572BA3">
      <w:pPr>
        <w:numPr>
          <w:ilvl w:val="0"/>
          <w:numId w:val="127"/>
        </w:numPr>
        <w:tabs>
          <w:tab w:val="clear" w:pos="1626"/>
        </w:tabs>
        <w:spacing w:line="0" w:lineRule="atLeast"/>
        <w:ind w:left="1418" w:hanging="284"/>
        <w:jc w:val="both"/>
        <w:rPr>
          <w:rFonts w:eastAsia="Times New Roman"/>
        </w:rPr>
      </w:pPr>
      <w:r>
        <w:rPr>
          <w:rFonts w:eastAsia="Times New Roman"/>
        </w:rPr>
        <w:t>zasady kodyfikacji podmiotów,</w:t>
      </w:r>
    </w:p>
    <w:p w14:paraId="0E9685CA" w14:textId="77777777" w:rsidR="00572BA3" w:rsidRDefault="00572BA3">
      <w:pPr>
        <w:numPr>
          <w:ilvl w:val="0"/>
          <w:numId w:val="127"/>
        </w:numPr>
        <w:tabs>
          <w:tab w:val="clear" w:pos="1626"/>
        </w:tabs>
        <w:spacing w:line="234" w:lineRule="auto"/>
        <w:ind w:left="1418" w:hanging="284"/>
        <w:jc w:val="both"/>
        <w:rPr>
          <w:rFonts w:eastAsia="Times New Roman"/>
        </w:rPr>
      </w:pPr>
      <w:r>
        <w:rPr>
          <w:rFonts w:eastAsia="Times New Roman"/>
        </w:rPr>
        <w:t>procedury powiadamiania o zawartych umowach sprzedaży energii elektrycznej lub umowach kompleksowych i weryfikacji powiadomień,</w:t>
      </w:r>
    </w:p>
    <w:p w14:paraId="3F974031" w14:textId="77777777" w:rsidR="00572BA3" w:rsidRDefault="00572BA3">
      <w:pPr>
        <w:numPr>
          <w:ilvl w:val="0"/>
          <w:numId w:val="127"/>
        </w:numPr>
        <w:tabs>
          <w:tab w:val="clear" w:pos="1626"/>
        </w:tabs>
        <w:spacing w:line="0" w:lineRule="atLeast"/>
        <w:ind w:left="1418" w:hanging="284"/>
        <w:jc w:val="both"/>
        <w:rPr>
          <w:rFonts w:eastAsia="Times New Roman"/>
        </w:rPr>
      </w:pPr>
      <w:r>
        <w:rPr>
          <w:rFonts w:eastAsia="Times New Roman"/>
        </w:rPr>
        <w:t>zasady pozyskiwania i udostępniania danych pomiarowych,</w:t>
      </w:r>
    </w:p>
    <w:p w14:paraId="28867F47" w14:textId="3A258C06" w:rsidR="00572BA3" w:rsidRDefault="00572BA3">
      <w:pPr>
        <w:numPr>
          <w:ilvl w:val="0"/>
          <w:numId w:val="127"/>
        </w:numPr>
        <w:tabs>
          <w:tab w:val="clear" w:pos="1626"/>
        </w:tabs>
        <w:spacing w:line="234" w:lineRule="auto"/>
        <w:ind w:left="1418" w:hanging="284"/>
        <w:jc w:val="both"/>
        <w:rPr>
          <w:rFonts w:eastAsia="Times New Roman"/>
        </w:rPr>
      </w:pPr>
      <w:r>
        <w:rPr>
          <w:rFonts w:eastAsia="Times New Roman"/>
        </w:rPr>
        <w:t xml:space="preserve">zasady współpracy OSDn z OSDp w zakresie przekazywania danych pomiarowych dla potrzeb rozliczeń na </w:t>
      </w:r>
      <w:r w:rsidR="00212531">
        <w:rPr>
          <w:rFonts w:eastAsia="Times New Roman"/>
        </w:rPr>
        <w:t>RB oraz zasady</w:t>
      </w:r>
      <w:r w:rsidR="00F53E83">
        <w:rPr>
          <w:rFonts w:eastAsia="Times New Roman"/>
        </w:rPr>
        <w:t xml:space="preserve"> współpracy w zakresie wymiany informacji dla potrzeb rynku mocy</w:t>
      </w:r>
      <w:r>
        <w:rPr>
          <w:rFonts w:eastAsia="Times New Roman"/>
        </w:rPr>
        <w:t>,</w:t>
      </w:r>
    </w:p>
    <w:p w14:paraId="4ACD9AB6" w14:textId="77777777" w:rsidR="00572BA3" w:rsidRDefault="00572BA3">
      <w:pPr>
        <w:numPr>
          <w:ilvl w:val="0"/>
          <w:numId w:val="127"/>
        </w:numPr>
        <w:tabs>
          <w:tab w:val="clear" w:pos="1626"/>
        </w:tabs>
        <w:spacing w:line="0" w:lineRule="atLeast"/>
        <w:ind w:left="1418" w:hanging="284"/>
        <w:jc w:val="both"/>
        <w:rPr>
          <w:rFonts w:eastAsia="Times New Roman"/>
        </w:rPr>
      </w:pPr>
      <w:r>
        <w:rPr>
          <w:rFonts w:eastAsia="Times New Roman"/>
        </w:rPr>
        <w:t>procedurę zmiany sprzedawcy,</w:t>
      </w:r>
    </w:p>
    <w:p w14:paraId="4CB522BD" w14:textId="77777777" w:rsidR="00572BA3" w:rsidRDefault="00572BA3">
      <w:pPr>
        <w:numPr>
          <w:ilvl w:val="0"/>
          <w:numId w:val="127"/>
        </w:numPr>
        <w:tabs>
          <w:tab w:val="clear" w:pos="1626"/>
        </w:tabs>
        <w:spacing w:line="0" w:lineRule="atLeast"/>
        <w:ind w:left="1418" w:hanging="284"/>
        <w:jc w:val="both"/>
        <w:rPr>
          <w:rFonts w:eastAsia="Times New Roman"/>
        </w:rPr>
      </w:pPr>
      <w:r>
        <w:rPr>
          <w:rFonts w:eastAsia="Times New Roman"/>
        </w:rPr>
        <w:t>zasady bilansowania handlowego w obszarze rynku detalicznego,</w:t>
      </w:r>
    </w:p>
    <w:p w14:paraId="59C9E50E" w14:textId="77777777" w:rsidR="004F01E0" w:rsidRDefault="004F01E0">
      <w:pPr>
        <w:numPr>
          <w:ilvl w:val="0"/>
          <w:numId w:val="127"/>
        </w:numPr>
        <w:tabs>
          <w:tab w:val="clear" w:pos="1626"/>
        </w:tabs>
        <w:spacing w:line="0" w:lineRule="atLeast"/>
        <w:ind w:left="1418" w:hanging="284"/>
        <w:jc w:val="both"/>
        <w:rPr>
          <w:rFonts w:eastAsia="Times New Roman"/>
        </w:rPr>
      </w:pPr>
      <w:r>
        <w:rPr>
          <w:color w:val="000000"/>
        </w:rPr>
        <w:t>zasady opracowania, aktualizacji i udostępniania standardowych profili zużycia</w:t>
      </w:r>
      <w:r>
        <w:rPr>
          <w:rFonts w:eastAsia="Times New Roman"/>
        </w:rPr>
        <w:t>,</w:t>
      </w:r>
    </w:p>
    <w:p w14:paraId="6AA92EBE" w14:textId="78F7E99B" w:rsidR="00572BA3" w:rsidRDefault="00572BA3">
      <w:pPr>
        <w:numPr>
          <w:ilvl w:val="0"/>
          <w:numId w:val="127"/>
        </w:numPr>
        <w:tabs>
          <w:tab w:val="clear" w:pos="1626"/>
        </w:tabs>
        <w:spacing w:line="0" w:lineRule="atLeast"/>
        <w:ind w:left="1418" w:hanging="284"/>
        <w:jc w:val="both"/>
        <w:rPr>
          <w:rFonts w:eastAsia="Times New Roman"/>
        </w:rPr>
      </w:pPr>
      <w:r>
        <w:rPr>
          <w:rFonts w:eastAsia="Times New Roman"/>
        </w:rPr>
        <w:t>postępowanie reklamacyjne,</w:t>
      </w:r>
    </w:p>
    <w:p w14:paraId="77732ACD" w14:textId="77777777" w:rsidR="00572BA3" w:rsidRDefault="00572BA3">
      <w:pPr>
        <w:numPr>
          <w:ilvl w:val="0"/>
          <w:numId w:val="127"/>
        </w:numPr>
        <w:tabs>
          <w:tab w:val="clear" w:pos="1626"/>
        </w:tabs>
        <w:spacing w:line="0" w:lineRule="atLeast"/>
        <w:ind w:left="1418" w:hanging="284"/>
        <w:jc w:val="both"/>
        <w:rPr>
          <w:rFonts w:eastAsia="Times New Roman"/>
        </w:rPr>
      </w:pPr>
      <w:r>
        <w:rPr>
          <w:rFonts w:eastAsia="Times New Roman"/>
        </w:rPr>
        <w:t>zarządzanie ograniczeniami systemowymi,</w:t>
      </w:r>
    </w:p>
    <w:p w14:paraId="183DFD60" w14:textId="77777777" w:rsidR="00572BA3" w:rsidRDefault="00572BA3">
      <w:pPr>
        <w:numPr>
          <w:ilvl w:val="0"/>
          <w:numId w:val="127"/>
        </w:numPr>
        <w:tabs>
          <w:tab w:val="clear" w:pos="1626"/>
        </w:tabs>
        <w:spacing w:line="0" w:lineRule="atLeast"/>
        <w:ind w:left="1418" w:hanging="284"/>
        <w:jc w:val="both"/>
        <w:rPr>
          <w:rFonts w:eastAsia="Times New Roman"/>
        </w:rPr>
      </w:pPr>
      <w:r>
        <w:rPr>
          <w:rFonts w:eastAsia="Times New Roman"/>
        </w:rPr>
        <w:t>zasady udzielania informacji i obsługi odbiorców,</w:t>
      </w:r>
    </w:p>
    <w:p w14:paraId="1D2E0BF1" w14:textId="77777777" w:rsidR="00572BA3" w:rsidRDefault="00572BA3">
      <w:pPr>
        <w:numPr>
          <w:ilvl w:val="0"/>
          <w:numId w:val="127"/>
        </w:numPr>
        <w:tabs>
          <w:tab w:val="clear" w:pos="1626"/>
        </w:tabs>
        <w:spacing w:line="0" w:lineRule="atLeast"/>
        <w:ind w:left="1418" w:hanging="284"/>
        <w:jc w:val="both"/>
        <w:rPr>
          <w:rFonts w:eastAsia="Times New Roman"/>
        </w:rPr>
      </w:pPr>
      <w:r>
        <w:rPr>
          <w:rFonts w:eastAsia="Times New Roman"/>
        </w:rPr>
        <w:t>zasady sprzedaży rezerwowej,</w:t>
      </w:r>
    </w:p>
    <w:p w14:paraId="0A8CDBA5" w14:textId="77777777" w:rsidR="00572BA3" w:rsidRDefault="00572BA3">
      <w:pPr>
        <w:numPr>
          <w:ilvl w:val="0"/>
          <w:numId w:val="127"/>
        </w:numPr>
        <w:tabs>
          <w:tab w:val="clear" w:pos="1626"/>
        </w:tabs>
        <w:spacing w:line="0" w:lineRule="atLeast"/>
        <w:ind w:left="1418" w:hanging="284"/>
        <w:jc w:val="both"/>
        <w:rPr>
          <w:rFonts w:eastAsia="Times New Roman"/>
        </w:rPr>
      </w:pPr>
      <w:r>
        <w:rPr>
          <w:rFonts w:eastAsia="Times New Roman"/>
        </w:rPr>
        <w:t>zasady wymiany informacji w obszarze rynku detalicznego,</w:t>
      </w:r>
    </w:p>
    <w:p w14:paraId="58D2FA2B" w14:textId="48DAE72C" w:rsidR="00572BA3" w:rsidRDefault="00572BA3">
      <w:pPr>
        <w:numPr>
          <w:ilvl w:val="0"/>
          <w:numId w:val="127"/>
        </w:numPr>
        <w:tabs>
          <w:tab w:val="clear" w:pos="1626"/>
        </w:tabs>
        <w:spacing w:line="234" w:lineRule="auto"/>
        <w:ind w:left="1418" w:hanging="284"/>
        <w:jc w:val="both"/>
        <w:rPr>
          <w:rFonts w:eastAsia="Times New Roman"/>
        </w:rPr>
      </w:pPr>
      <w:r>
        <w:rPr>
          <w:rFonts w:eastAsia="Times New Roman"/>
        </w:rPr>
        <w:t>zasady współpracy dotyczące regulacyjnych usług systemowych w zakresie rezerwy interwencyjnej</w:t>
      </w:r>
      <w:r w:rsidR="002309E8">
        <w:rPr>
          <w:rFonts w:eastAsia="Times New Roman"/>
        </w:rPr>
        <w:t>,</w:t>
      </w:r>
    </w:p>
    <w:p w14:paraId="10E35A94" w14:textId="7C4AE8D0" w:rsidR="002309E8" w:rsidRDefault="002309E8">
      <w:pPr>
        <w:numPr>
          <w:ilvl w:val="0"/>
          <w:numId w:val="127"/>
        </w:numPr>
        <w:tabs>
          <w:tab w:val="clear" w:pos="1626"/>
        </w:tabs>
        <w:spacing w:line="234" w:lineRule="auto"/>
        <w:ind w:left="1418" w:hanging="284"/>
        <w:jc w:val="both"/>
        <w:rPr>
          <w:rFonts w:eastAsia="Times New Roman"/>
        </w:rPr>
      </w:pPr>
      <w:r>
        <w:rPr>
          <w:color w:val="000000"/>
        </w:rPr>
        <w:t>istotne postanowienia umów o świadczenie usług dystrybucji zawieranych ze sprzedawcami energii elektrycznej (GUD i</w:t>
      </w:r>
      <w:r>
        <w:rPr>
          <w:color w:val="000000"/>
          <w:spacing w:val="-31"/>
        </w:rPr>
        <w:t xml:space="preserve"> </w:t>
      </w:r>
      <w:r>
        <w:rPr>
          <w:color w:val="000000"/>
        </w:rPr>
        <w:t>GUD-K).</w:t>
      </w:r>
    </w:p>
    <w:p w14:paraId="30D42A6D" w14:textId="77777777" w:rsidR="00572BA3" w:rsidRDefault="00572BA3">
      <w:pPr>
        <w:tabs>
          <w:tab w:val="left" w:pos="1120"/>
        </w:tabs>
        <w:spacing w:line="237" w:lineRule="auto"/>
        <w:ind w:left="1140" w:hanging="1079"/>
        <w:jc w:val="both"/>
        <w:rPr>
          <w:rFonts w:eastAsia="Times New Roman"/>
        </w:rPr>
      </w:pPr>
      <w:bookmarkStart w:id="72" w:name="page114"/>
      <w:bookmarkEnd w:id="72"/>
      <w:r>
        <w:rPr>
          <w:rFonts w:eastAsia="Times New Roman"/>
        </w:rPr>
        <w:t>A.2.2.</w:t>
      </w:r>
      <w:r>
        <w:rPr>
          <w:rFonts w:eastAsia="Times New Roman"/>
        </w:rPr>
        <w:tab/>
        <w:t xml:space="preserve">Obszar objęty bilansowaniem określonym w IRiESD-Bilansowanie obejmuje sieć dystrybucyjną </w:t>
      </w:r>
      <w:r w:rsidR="00F97A2D">
        <w:rPr>
          <w:rFonts w:eastAsia="Times New Roman"/>
        </w:rPr>
        <w:t>OSDn</w:t>
      </w:r>
      <w:r>
        <w:rPr>
          <w:rFonts w:eastAsia="Times New Roman"/>
        </w:rPr>
        <w:t>, z wyłączeniem miejsc dostarczania podmiotów, których urządzenia i sieci są objęte obszarem Rynku Bilansującego. Miejsca dostarczania tych podmiotów wyznaczają granice rynku bilansującego w sieci dystrybucyjnej.</w:t>
      </w:r>
    </w:p>
    <w:p w14:paraId="566C532A" w14:textId="77777777" w:rsidR="00572BA3" w:rsidRDefault="00572BA3" w:rsidP="002A5660">
      <w:pPr>
        <w:tabs>
          <w:tab w:val="left" w:pos="1120"/>
        </w:tabs>
        <w:spacing w:line="234" w:lineRule="auto"/>
        <w:ind w:left="1140" w:hanging="1079"/>
        <w:jc w:val="both"/>
        <w:rPr>
          <w:rFonts w:eastAsia="Times New Roman"/>
        </w:rPr>
      </w:pPr>
      <w:r>
        <w:rPr>
          <w:rFonts w:eastAsia="Times New Roman"/>
        </w:rPr>
        <w:t>A.2.3.</w:t>
      </w:r>
      <w:r>
        <w:rPr>
          <w:rFonts w:eastAsia="Times New Roman"/>
        </w:rPr>
        <w:tab/>
        <w:t>Procedury bilansowania i zarządzania ograniczeniami systemowymi w sieci dystrybucyjnej określone w IRiESD-Bilansowanie obowiązują:</w:t>
      </w:r>
    </w:p>
    <w:p w14:paraId="14BF5B9C" w14:textId="77777777" w:rsidR="00572BA3" w:rsidRPr="0031219B" w:rsidRDefault="0031219B">
      <w:pPr>
        <w:numPr>
          <w:ilvl w:val="0"/>
          <w:numId w:val="128"/>
        </w:numPr>
        <w:tabs>
          <w:tab w:val="clear" w:pos="1626"/>
        </w:tabs>
        <w:spacing w:line="0" w:lineRule="atLeast"/>
        <w:ind w:left="1560" w:hanging="426"/>
        <w:jc w:val="both"/>
        <w:rPr>
          <w:rFonts w:eastAsia="Times New Roman"/>
          <w:szCs w:val="24"/>
        </w:rPr>
      </w:pPr>
      <w:r w:rsidRPr="0031219B">
        <w:rPr>
          <w:rFonts w:eastAsia="Times New Roman"/>
          <w:szCs w:val="24"/>
        </w:rPr>
        <w:t>OSDn</w:t>
      </w:r>
      <w:r w:rsidR="00572BA3" w:rsidRPr="0031219B">
        <w:rPr>
          <w:rFonts w:eastAsia="Times New Roman"/>
          <w:szCs w:val="24"/>
        </w:rPr>
        <w:t>,</w:t>
      </w:r>
    </w:p>
    <w:p w14:paraId="0C2A31FD" w14:textId="77777777" w:rsidR="00572BA3" w:rsidRPr="0031219B" w:rsidRDefault="00572BA3">
      <w:pPr>
        <w:numPr>
          <w:ilvl w:val="0"/>
          <w:numId w:val="128"/>
        </w:numPr>
        <w:tabs>
          <w:tab w:val="clear" w:pos="1626"/>
        </w:tabs>
        <w:spacing w:line="0" w:lineRule="atLeast"/>
        <w:ind w:left="1418" w:hanging="284"/>
        <w:jc w:val="both"/>
        <w:rPr>
          <w:rFonts w:eastAsia="Times New Roman"/>
          <w:szCs w:val="24"/>
        </w:rPr>
      </w:pPr>
      <w:r w:rsidRPr="0031219B">
        <w:rPr>
          <w:rFonts w:eastAsia="Times New Roman"/>
          <w:szCs w:val="24"/>
        </w:rPr>
        <w:t xml:space="preserve">podmioty przyłączone do sieci dystrybucyjnej </w:t>
      </w:r>
      <w:r w:rsidR="0031219B">
        <w:rPr>
          <w:rFonts w:eastAsia="Times New Roman"/>
          <w:szCs w:val="24"/>
        </w:rPr>
        <w:t>OSDn</w:t>
      </w:r>
      <w:r w:rsidRPr="0031219B">
        <w:rPr>
          <w:rFonts w:eastAsia="Times New Roman"/>
          <w:szCs w:val="24"/>
        </w:rPr>
        <w:t>,</w:t>
      </w:r>
    </w:p>
    <w:p w14:paraId="49CC60DF" w14:textId="77777777" w:rsidR="00572BA3" w:rsidRPr="0031219B" w:rsidRDefault="00572BA3">
      <w:pPr>
        <w:numPr>
          <w:ilvl w:val="0"/>
          <w:numId w:val="128"/>
        </w:numPr>
        <w:tabs>
          <w:tab w:val="clear" w:pos="1626"/>
        </w:tabs>
        <w:spacing w:line="236" w:lineRule="auto"/>
        <w:ind w:left="1418" w:hanging="284"/>
        <w:jc w:val="both"/>
        <w:rPr>
          <w:rFonts w:eastAsia="Times New Roman"/>
          <w:szCs w:val="24"/>
        </w:rPr>
      </w:pPr>
      <w:r w:rsidRPr="0031219B">
        <w:rPr>
          <w:rFonts w:eastAsia="Times New Roman"/>
          <w:szCs w:val="24"/>
        </w:rPr>
        <w:lastRenderedPageBreak/>
        <w:t xml:space="preserve">uczestników rynku bilansującego (URB) pełniących funkcję podmiotu odpowiedzialnego za bilansowanie handlowe (POB) na obszarze </w:t>
      </w:r>
      <w:r w:rsidR="0031219B">
        <w:rPr>
          <w:rFonts w:eastAsia="Times New Roman"/>
          <w:szCs w:val="24"/>
        </w:rPr>
        <w:t>OSDn</w:t>
      </w:r>
      <w:r w:rsidRPr="0031219B">
        <w:rPr>
          <w:rFonts w:eastAsia="Times New Roman"/>
          <w:szCs w:val="24"/>
        </w:rPr>
        <w:t>,</w:t>
      </w:r>
    </w:p>
    <w:p w14:paraId="40AD1A10" w14:textId="77777777" w:rsidR="00572BA3" w:rsidRPr="0031219B" w:rsidRDefault="00572BA3">
      <w:pPr>
        <w:numPr>
          <w:ilvl w:val="0"/>
          <w:numId w:val="128"/>
        </w:numPr>
        <w:tabs>
          <w:tab w:val="clear" w:pos="1626"/>
        </w:tabs>
        <w:spacing w:line="234" w:lineRule="auto"/>
        <w:ind w:left="1418" w:hanging="284"/>
        <w:jc w:val="both"/>
        <w:rPr>
          <w:rFonts w:eastAsia="Times New Roman"/>
          <w:szCs w:val="24"/>
        </w:rPr>
      </w:pPr>
      <w:r w:rsidRPr="0031219B">
        <w:rPr>
          <w:rFonts w:eastAsia="Times New Roman"/>
          <w:szCs w:val="24"/>
        </w:rPr>
        <w:t xml:space="preserve">sprzedawców energii elektrycznej, którzy mają zawarte generalne umowy dystrybucji (GUD) z </w:t>
      </w:r>
      <w:r w:rsidR="0031219B">
        <w:rPr>
          <w:rFonts w:eastAsia="Times New Roman"/>
          <w:szCs w:val="24"/>
        </w:rPr>
        <w:t>OSDn</w:t>
      </w:r>
      <w:r w:rsidRPr="0031219B">
        <w:rPr>
          <w:rFonts w:eastAsia="Times New Roman"/>
          <w:szCs w:val="24"/>
        </w:rPr>
        <w:t>,</w:t>
      </w:r>
    </w:p>
    <w:p w14:paraId="4BCDA37D" w14:textId="77777777" w:rsidR="00572BA3" w:rsidRPr="0031219B" w:rsidRDefault="00572BA3">
      <w:pPr>
        <w:numPr>
          <w:ilvl w:val="0"/>
          <w:numId w:val="128"/>
        </w:numPr>
        <w:tabs>
          <w:tab w:val="clear" w:pos="1626"/>
        </w:tabs>
        <w:spacing w:line="234" w:lineRule="auto"/>
        <w:ind w:left="1418" w:hanging="284"/>
        <w:jc w:val="both"/>
        <w:rPr>
          <w:rFonts w:eastAsia="Times New Roman"/>
          <w:szCs w:val="24"/>
        </w:rPr>
      </w:pPr>
      <w:r w:rsidRPr="0031219B">
        <w:rPr>
          <w:rFonts w:eastAsia="Times New Roman"/>
          <w:szCs w:val="24"/>
        </w:rPr>
        <w:t xml:space="preserve">sprzedawców energii elektrycznej, którzy mają zawarte generalne umowy dystrybucji dla usługi kompleksowej (GUD-K) z </w:t>
      </w:r>
      <w:r w:rsidR="00BA00D4">
        <w:rPr>
          <w:rFonts w:eastAsia="Times New Roman"/>
          <w:szCs w:val="24"/>
        </w:rPr>
        <w:t>OSDn</w:t>
      </w:r>
      <w:r w:rsidRPr="0031219B">
        <w:rPr>
          <w:rFonts w:eastAsia="Times New Roman"/>
          <w:szCs w:val="24"/>
        </w:rPr>
        <w:t>,</w:t>
      </w:r>
    </w:p>
    <w:p w14:paraId="2B05DDC9" w14:textId="77777777" w:rsidR="00572BA3" w:rsidRPr="0031219B" w:rsidRDefault="00572BA3">
      <w:pPr>
        <w:numPr>
          <w:ilvl w:val="0"/>
          <w:numId w:val="128"/>
        </w:numPr>
        <w:tabs>
          <w:tab w:val="clear" w:pos="1626"/>
        </w:tabs>
        <w:spacing w:line="234" w:lineRule="auto"/>
        <w:ind w:left="1418" w:hanging="284"/>
        <w:jc w:val="both"/>
        <w:rPr>
          <w:rFonts w:eastAsia="Times New Roman"/>
          <w:szCs w:val="24"/>
        </w:rPr>
      </w:pPr>
      <w:r w:rsidRPr="0031219B">
        <w:rPr>
          <w:rFonts w:eastAsia="Times New Roman"/>
          <w:szCs w:val="24"/>
        </w:rPr>
        <w:t xml:space="preserve">sprzedawców energii elektrycznej pełniących na obszarze </w:t>
      </w:r>
      <w:r w:rsidR="002A5660">
        <w:rPr>
          <w:rFonts w:eastAsia="Times New Roman"/>
          <w:szCs w:val="24"/>
        </w:rPr>
        <w:t>OSDn</w:t>
      </w:r>
      <w:r w:rsidRPr="0031219B">
        <w:rPr>
          <w:rFonts w:eastAsia="Times New Roman"/>
          <w:szCs w:val="24"/>
        </w:rPr>
        <w:t xml:space="preserve"> funkcję sprzedawcy rezerwowego,</w:t>
      </w:r>
    </w:p>
    <w:p w14:paraId="1B1A26AA" w14:textId="77777777" w:rsidR="00572BA3" w:rsidRPr="00BA00D4" w:rsidRDefault="00572BA3">
      <w:pPr>
        <w:numPr>
          <w:ilvl w:val="0"/>
          <w:numId w:val="128"/>
        </w:numPr>
        <w:tabs>
          <w:tab w:val="clear" w:pos="1626"/>
        </w:tabs>
        <w:spacing w:line="0" w:lineRule="atLeast"/>
        <w:ind w:left="1418" w:hanging="284"/>
        <w:jc w:val="both"/>
        <w:rPr>
          <w:rFonts w:eastAsia="Times New Roman"/>
          <w:szCs w:val="24"/>
        </w:rPr>
      </w:pPr>
      <w:r w:rsidRPr="00BA00D4">
        <w:rPr>
          <w:rFonts w:eastAsia="Times New Roman"/>
          <w:szCs w:val="24"/>
        </w:rPr>
        <w:t xml:space="preserve">Operatorów Handlowych (OH) i Handlowo-Technicznych (OHT) reprezentujących podmioty wymienione w punktach od a) do g) w przypadku, gdy ich działalność operatorska dotyczy sieci dystrybucyjnej </w:t>
      </w:r>
      <w:r w:rsidR="00BA00D4">
        <w:rPr>
          <w:rFonts w:eastAsia="Times New Roman"/>
          <w:szCs w:val="24"/>
        </w:rPr>
        <w:t>OSDn</w:t>
      </w:r>
      <w:r w:rsidRPr="00BA00D4">
        <w:rPr>
          <w:rFonts w:eastAsia="Times New Roman"/>
          <w:szCs w:val="24"/>
        </w:rPr>
        <w:t>.</w:t>
      </w:r>
    </w:p>
    <w:p w14:paraId="5549F58A" w14:textId="77777777" w:rsidR="00572BA3" w:rsidRDefault="00572BA3" w:rsidP="006B6399">
      <w:pPr>
        <w:spacing w:line="200" w:lineRule="exact"/>
        <w:rPr>
          <w:rFonts w:eastAsia="Times New Roman"/>
        </w:rPr>
      </w:pPr>
    </w:p>
    <w:p w14:paraId="115D884D" w14:textId="77777777" w:rsidR="00572BA3" w:rsidRDefault="006B6399" w:rsidP="006B6399">
      <w:pPr>
        <w:pStyle w:val="Nagwek2"/>
        <w:ind w:left="709" w:hanging="709"/>
        <w:jc w:val="both"/>
      </w:pPr>
      <w:bookmarkStart w:id="73" w:name="_Toc141963910"/>
      <w:r>
        <w:t>A.3. OGÓLN</w:t>
      </w:r>
      <w:r w:rsidR="00CE7914">
        <w:t>E</w:t>
      </w:r>
      <w:r>
        <w:t xml:space="preserve"> ZASADY FUNKCJONOWANIA RYNKU BILANSUJĄCEGO </w:t>
      </w:r>
      <w:r>
        <w:br/>
        <w:t>I DETALICZNEGO</w:t>
      </w:r>
      <w:bookmarkEnd w:id="73"/>
      <w:r>
        <w:t xml:space="preserve"> </w:t>
      </w:r>
    </w:p>
    <w:tbl>
      <w:tblPr>
        <w:tblW w:w="9140" w:type="dxa"/>
        <w:tblLayout w:type="fixed"/>
        <w:tblCellMar>
          <w:left w:w="0" w:type="dxa"/>
          <w:right w:w="0" w:type="dxa"/>
        </w:tblCellMar>
        <w:tblLook w:val="0000" w:firstRow="0" w:lastRow="0" w:firstColumn="0" w:lastColumn="0" w:noHBand="0" w:noVBand="0"/>
      </w:tblPr>
      <w:tblGrid>
        <w:gridCol w:w="820"/>
        <w:gridCol w:w="8320"/>
      </w:tblGrid>
      <w:tr w:rsidR="00572BA3" w14:paraId="338F9EA4" w14:textId="77777777" w:rsidTr="00735153">
        <w:trPr>
          <w:trHeight w:val="667"/>
        </w:trPr>
        <w:tc>
          <w:tcPr>
            <w:tcW w:w="820" w:type="dxa"/>
            <w:shd w:val="clear" w:color="auto" w:fill="auto"/>
          </w:tcPr>
          <w:p w14:paraId="4C42AB4B" w14:textId="77777777" w:rsidR="00572BA3" w:rsidRDefault="00572BA3" w:rsidP="006B6399">
            <w:pPr>
              <w:spacing w:line="0" w:lineRule="atLeast"/>
              <w:ind w:left="60"/>
              <w:jc w:val="both"/>
              <w:rPr>
                <w:rFonts w:eastAsia="Times New Roman"/>
              </w:rPr>
            </w:pPr>
            <w:r>
              <w:rPr>
                <w:rFonts w:eastAsia="Times New Roman"/>
              </w:rPr>
              <w:t>A.3.1.</w:t>
            </w:r>
          </w:p>
        </w:tc>
        <w:tc>
          <w:tcPr>
            <w:tcW w:w="8320" w:type="dxa"/>
            <w:shd w:val="clear" w:color="auto" w:fill="auto"/>
            <w:vAlign w:val="bottom"/>
          </w:tcPr>
          <w:p w14:paraId="34B2345D" w14:textId="77777777" w:rsidR="00572BA3" w:rsidRDefault="00572BA3" w:rsidP="006B6399">
            <w:pPr>
              <w:spacing w:line="0" w:lineRule="atLeast"/>
              <w:ind w:left="320"/>
              <w:jc w:val="both"/>
              <w:rPr>
                <w:rFonts w:eastAsia="Times New Roman"/>
              </w:rPr>
            </w:pPr>
            <w:r>
              <w:rPr>
                <w:rFonts w:eastAsia="Times New Roman"/>
              </w:rPr>
              <w:t>Podmiotem   odpowiedzialnym   za   funkcjonowanie   Rynku   Bilansującego</w:t>
            </w:r>
            <w:r w:rsidR="00735153">
              <w:rPr>
                <w:rFonts w:eastAsia="Times New Roman"/>
              </w:rPr>
              <w:t xml:space="preserve"> </w:t>
            </w:r>
            <w:r w:rsidR="00735153">
              <w:rPr>
                <w:rFonts w:eastAsia="Times New Roman"/>
              </w:rPr>
              <w:br/>
              <w:t xml:space="preserve">i prowadzenie centralnego mechanizmu bilansowania handlowego jest PSE S.A., który na mocy ustawy Prawo energetyczne oraz posiadanej koncesji realizuje zadania OSP. Zasady funkcjonowania Rynku Bilansującego określa </w:t>
            </w:r>
            <w:r w:rsidR="00173BD7">
              <w:rPr>
                <w:rFonts w:eastAsia="Times New Roman"/>
              </w:rPr>
              <w:t>WDB</w:t>
            </w:r>
            <w:r w:rsidR="00735153">
              <w:rPr>
                <w:rFonts w:eastAsia="Times New Roman"/>
              </w:rPr>
              <w:t xml:space="preserve">. </w:t>
            </w:r>
          </w:p>
        </w:tc>
      </w:tr>
      <w:tr w:rsidR="00572BA3" w14:paraId="5DD42C86" w14:textId="77777777" w:rsidTr="00735153">
        <w:trPr>
          <w:trHeight w:val="396"/>
        </w:trPr>
        <w:tc>
          <w:tcPr>
            <w:tcW w:w="820" w:type="dxa"/>
            <w:shd w:val="clear" w:color="auto" w:fill="auto"/>
            <w:vAlign w:val="bottom"/>
          </w:tcPr>
          <w:p w14:paraId="27C5BEAA" w14:textId="77777777" w:rsidR="00572BA3" w:rsidRDefault="00572BA3" w:rsidP="00172A41">
            <w:pPr>
              <w:spacing w:line="0" w:lineRule="atLeast"/>
              <w:ind w:left="60"/>
              <w:jc w:val="both"/>
              <w:rPr>
                <w:rFonts w:eastAsia="Times New Roman"/>
              </w:rPr>
            </w:pPr>
            <w:r>
              <w:rPr>
                <w:rFonts w:eastAsia="Times New Roman"/>
              </w:rPr>
              <w:t>A.3.2.</w:t>
            </w:r>
          </w:p>
          <w:p w14:paraId="6830455D" w14:textId="77777777" w:rsidR="00172A41" w:rsidRDefault="00172A41" w:rsidP="00172A41">
            <w:pPr>
              <w:spacing w:line="0" w:lineRule="atLeast"/>
              <w:ind w:left="60"/>
              <w:jc w:val="both"/>
              <w:rPr>
                <w:rFonts w:eastAsia="Times New Roman"/>
              </w:rPr>
            </w:pPr>
          </w:p>
        </w:tc>
        <w:tc>
          <w:tcPr>
            <w:tcW w:w="8320" w:type="dxa"/>
            <w:shd w:val="clear" w:color="auto" w:fill="auto"/>
            <w:vAlign w:val="bottom"/>
          </w:tcPr>
          <w:p w14:paraId="1EE1F72D" w14:textId="77777777" w:rsidR="00572BA3" w:rsidRDefault="00172A41" w:rsidP="00172A41">
            <w:pPr>
              <w:spacing w:line="0" w:lineRule="atLeast"/>
              <w:ind w:left="320"/>
              <w:jc w:val="both"/>
              <w:rPr>
                <w:rFonts w:eastAsia="Times New Roman"/>
              </w:rPr>
            </w:pPr>
            <w:r>
              <w:rPr>
                <w:rFonts w:eastAsia="Times New Roman"/>
              </w:rPr>
              <w:t>OSDn</w:t>
            </w:r>
            <w:r w:rsidR="00572BA3">
              <w:rPr>
                <w:rFonts w:eastAsia="Times New Roman"/>
              </w:rPr>
              <w:t xml:space="preserve"> w ramach swoich obowiązków, określonych przepisami</w:t>
            </w:r>
            <w:r>
              <w:rPr>
                <w:rFonts w:eastAsia="Times New Roman"/>
              </w:rPr>
              <w:t xml:space="preserve"> prawa umożliwia realizację:</w:t>
            </w:r>
          </w:p>
        </w:tc>
      </w:tr>
    </w:tbl>
    <w:p w14:paraId="2FBCECD8" w14:textId="77777777" w:rsidR="00572BA3" w:rsidRDefault="00572BA3">
      <w:pPr>
        <w:numPr>
          <w:ilvl w:val="0"/>
          <w:numId w:val="129"/>
        </w:numPr>
        <w:tabs>
          <w:tab w:val="clear" w:pos="1626"/>
        </w:tabs>
        <w:spacing w:line="234" w:lineRule="auto"/>
        <w:ind w:left="1560" w:hanging="284"/>
        <w:jc w:val="both"/>
        <w:rPr>
          <w:rFonts w:eastAsia="Times New Roman"/>
        </w:rPr>
      </w:pPr>
      <w:r>
        <w:rPr>
          <w:rFonts w:eastAsia="Times New Roman"/>
        </w:rPr>
        <w:t>umów sprzedaży, w tym umów sprzedaży rezerwowej – na podstawie umowy o świadczenie usług dystrybucji energii elektrycznej, tzw. Generalnej Umowy</w:t>
      </w:r>
    </w:p>
    <w:p w14:paraId="7DD6DDFA" w14:textId="77777777" w:rsidR="00572BA3" w:rsidRDefault="00572BA3" w:rsidP="00172A41">
      <w:pPr>
        <w:spacing w:line="234" w:lineRule="auto"/>
        <w:ind w:left="1480"/>
        <w:jc w:val="both"/>
        <w:rPr>
          <w:rFonts w:eastAsia="Times New Roman"/>
        </w:rPr>
      </w:pPr>
      <w:r>
        <w:rPr>
          <w:rFonts w:eastAsia="Times New Roman"/>
        </w:rPr>
        <w:t>Dystrybucji (GUD) zawartej ze sprzedawcą oraz umowy o świadczenie usług dystrybucji zawartej z URD,</w:t>
      </w:r>
    </w:p>
    <w:p w14:paraId="370EB2E9" w14:textId="77777777" w:rsidR="00572BA3" w:rsidRDefault="00572BA3">
      <w:pPr>
        <w:numPr>
          <w:ilvl w:val="0"/>
          <w:numId w:val="129"/>
        </w:numPr>
        <w:tabs>
          <w:tab w:val="clear" w:pos="1626"/>
        </w:tabs>
        <w:spacing w:line="236" w:lineRule="auto"/>
        <w:ind w:left="1560" w:hanging="284"/>
        <w:jc w:val="both"/>
        <w:rPr>
          <w:rFonts w:eastAsia="Times New Roman"/>
        </w:rPr>
      </w:pPr>
      <w:r>
        <w:rPr>
          <w:rFonts w:eastAsia="Times New Roman"/>
        </w:rPr>
        <w:t>umów kompleksowych, w tym rezerwowych umów kompleksowych – na podstawie GUD-</w:t>
      </w:r>
      <w:r w:rsidRPr="00DE5400">
        <w:rPr>
          <w:rFonts w:eastAsia="Times New Roman"/>
        </w:rPr>
        <w:t>K lub umowy, o której mowa w pkt A.4.3.7. akapit drugi, zawartej ze sprzedawcą,</w:t>
      </w:r>
    </w:p>
    <w:p w14:paraId="49F26E7C" w14:textId="77777777" w:rsidR="00572BA3" w:rsidRDefault="00572BA3" w:rsidP="00172A41">
      <w:pPr>
        <w:spacing w:line="134" w:lineRule="exact"/>
        <w:jc w:val="both"/>
        <w:rPr>
          <w:rFonts w:eastAsia="Times New Roman"/>
        </w:rPr>
      </w:pPr>
    </w:p>
    <w:p w14:paraId="74855CB7" w14:textId="77777777" w:rsidR="00572BA3" w:rsidRDefault="00572BA3" w:rsidP="00172A41">
      <w:pPr>
        <w:spacing w:line="236" w:lineRule="auto"/>
        <w:ind w:left="1200"/>
        <w:jc w:val="both"/>
        <w:rPr>
          <w:rFonts w:eastAsia="Times New Roman"/>
        </w:rPr>
      </w:pPr>
      <w:r>
        <w:rPr>
          <w:rFonts w:eastAsia="Times New Roman"/>
        </w:rPr>
        <w:t>zawartych przez podmioty przyłączone do jego sieci, przy uwzględnieniu możliwości technicznych systemu dystrybucyjnego oraz przy zachowaniu jego bezpieczeństwa.</w:t>
      </w:r>
    </w:p>
    <w:p w14:paraId="3B42D83C" w14:textId="77777777" w:rsidR="00572BA3" w:rsidRDefault="00572BA3">
      <w:pPr>
        <w:tabs>
          <w:tab w:val="left" w:pos="1120"/>
        </w:tabs>
        <w:spacing w:line="236" w:lineRule="auto"/>
        <w:ind w:left="1140" w:hanging="1079"/>
        <w:jc w:val="both"/>
        <w:rPr>
          <w:rFonts w:eastAsia="Times New Roman"/>
        </w:rPr>
      </w:pPr>
      <w:r>
        <w:rPr>
          <w:rFonts w:eastAsia="Times New Roman"/>
        </w:rPr>
        <w:t>A.3.</w:t>
      </w:r>
      <w:r w:rsidR="00E12ACC">
        <w:rPr>
          <w:rFonts w:eastAsia="Times New Roman"/>
        </w:rPr>
        <w:t>3</w:t>
      </w:r>
      <w:r>
        <w:rPr>
          <w:rFonts w:eastAsia="Times New Roman"/>
        </w:rPr>
        <w:t>.</w:t>
      </w:r>
      <w:r>
        <w:rPr>
          <w:rFonts w:eastAsia="Times New Roman"/>
        </w:rPr>
        <w:tab/>
        <w:t>Uczestnik Rynku Detalicznego (URD) jest bilansowany handlowo na rynku bilansującym przez URB. URB pełni dla URD na rynku energii elektrycznej, funkcję podmiotu odpowiedzialnego za bilansowanie handlowe (POB).</w:t>
      </w:r>
    </w:p>
    <w:p w14:paraId="0A30005F" w14:textId="77777777" w:rsidR="00ED559B" w:rsidRDefault="00572BA3" w:rsidP="00C2327B">
      <w:pPr>
        <w:tabs>
          <w:tab w:val="left" w:pos="1120"/>
        </w:tabs>
        <w:spacing w:line="237" w:lineRule="auto"/>
        <w:ind w:left="1140" w:right="62" w:hanging="1079"/>
        <w:jc w:val="both"/>
        <w:rPr>
          <w:rFonts w:eastAsia="Times New Roman" w:cs="Times New Roman"/>
          <w:bCs/>
          <w:color w:val="000000"/>
          <w:szCs w:val="24"/>
        </w:rPr>
      </w:pPr>
      <w:r>
        <w:rPr>
          <w:rFonts w:eastAsia="Times New Roman"/>
        </w:rPr>
        <w:t>A.3.</w:t>
      </w:r>
      <w:r w:rsidR="00E12ACC">
        <w:rPr>
          <w:rFonts w:eastAsia="Times New Roman"/>
        </w:rPr>
        <w:t>4</w:t>
      </w:r>
      <w:r>
        <w:rPr>
          <w:rFonts w:eastAsia="Times New Roman"/>
        </w:rPr>
        <w:t>.</w:t>
      </w:r>
      <w:r>
        <w:rPr>
          <w:rFonts w:eastAsia="Times New Roman"/>
        </w:rPr>
        <w:tab/>
      </w:r>
      <w:r w:rsidR="00873F57" w:rsidRPr="003B5EA2">
        <w:rPr>
          <w:rFonts w:eastAsia="Times New Roman" w:cs="Times New Roman"/>
          <w:bCs/>
          <w:color w:val="000000"/>
          <w:szCs w:val="24"/>
        </w:rPr>
        <w:t>POB jest wskazywany przez</w:t>
      </w:r>
      <w:r w:rsidR="00ED559B">
        <w:rPr>
          <w:rFonts w:eastAsia="Times New Roman" w:cs="Times New Roman"/>
          <w:bCs/>
          <w:color w:val="000000"/>
          <w:szCs w:val="24"/>
        </w:rPr>
        <w:t>:</w:t>
      </w:r>
    </w:p>
    <w:p w14:paraId="0EAEF048" w14:textId="77777777" w:rsidR="00ED559B" w:rsidRPr="00ED559B" w:rsidRDefault="00873F57">
      <w:pPr>
        <w:pStyle w:val="Akapitzlist"/>
        <w:numPr>
          <w:ilvl w:val="0"/>
          <w:numId w:val="273"/>
        </w:numPr>
        <w:spacing w:line="237" w:lineRule="auto"/>
        <w:ind w:left="1418" w:right="62" w:hanging="284"/>
        <w:jc w:val="both"/>
        <w:rPr>
          <w:rFonts w:eastAsia="Times New Roman"/>
        </w:rPr>
      </w:pPr>
      <w:r w:rsidRPr="00ED559B">
        <w:rPr>
          <w:rFonts w:eastAsia="Times New Roman" w:cs="Times New Roman"/>
          <w:bCs/>
          <w:color w:val="000000"/>
          <w:szCs w:val="24"/>
        </w:rPr>
        <w:t>sprzedawcę</w:t>
      </w:r>
      <w:r w:rsidR="00ED559B">
        <w:rPr>
          <w:rFonts w:eastAsia="Times New Roman" w:cs="Times New Roman"/>
          <w:bCs/>
          <w:color w:val="000000"/>
          <w:szCs w:val="24"/>
        </w:rPr>
        <w:t xml:space="preserve">, </w:t>
      </w:r>
    </w:p>
    <w:p w14:paraId="2F1082A7" w14:textId="77777777" w:rsidR="00ED559B" w:rsidRPr="00ED559B" w:rsidRDefault="00873F57">
      <w:pPr>
        <w:pStyle w:val="Akapitzlist"/>
        <w:numPr>
          <w:ilvl w:val="0"/>
          <w:numId w:val="273"/>
        </w:numPr>
        <w:spacing w:line="237" w:lineRule="auto"/>
        <w:ind w:left="1418" w:right="62" w:hanging="284"/>
        <w:jc w:val="both"/>
        <w:rPr>
          <w:rFonts w:eastAsia="Times New Roman"/>
        </w:rPr>
      </w:pPr>
      <w:r w:rsidRPr="00ED559B">
        <w:rPr>
          <w:rFonts w:eastAsia="Times New Roman" w:cs="Times New Roman"/>
          <w:bCs/>
          <w:color w:val="000000"/>
          <w:szCs w:val="24"/>
        </w:rPr>
        <w:t>przedsiębiorstwo zajmujące się wytwarzaniem energii elektrycznej (URD</w:t>
      </w:r>
      <w:r w:rsidRPr="00ED559B">
        <w:rPr>
          <w:rFonts w:eastAsia="Times New Roman" w:cs="Times New Roman"/>
          <w:bCs/>
          <w:color w:val="000000"/>
          <w:szCs w:val="24"/>
          <w:vertAlign w:val="subscript"/>
        </w:rPr>
        <w:t>W</w:t>
      </w:r>
      <w:r w:rsidRPr="00ED559B">
        <w:rPr>
          <w:rFonts w:eastAsia="Times New Roman" w:cs="Times New Roman"/>
          <w:bCs/>
          <w:color w:val="000000"/>
          <w:szCs w:val="24"/>
        </w:rPr>
        <w:t xml:space="preserve">), </w:t>
      </w:r>
    </w:p>
    <w:p w14:paraId="36F93715" w14:textId="5ABEFF24" w:rsidR="00ED559B" w:rsidRPr="00ED559B" w:rsidRDefault="00ED559B">
      <w:pPr>
        <w:pStyle w:val="Akapitzlist"/>
        <w:numPr>
          <w:ilvl w:val="0"/>
          <w:numId w:val="273"/>
        </w:numPr>
        <w:spacing w:line="237" w:lineRule="auto"/>
        <w:ind w:left="1418" w:right="62" w:hanging="284"/>
        <w:jc w:val="both"/>
        <w:rPr>
          <w:rFonts w:eastAsia="Times New Roman"/>
        </w:rPr>
      </w:pPr>
      <w:r w:rsidRPr="00ED559B">
        <w:rPr>
          <w:rFonts w:eastAsia="Times New Roman" w:cs="Times New Roman"/>
          <w:bCs/>
          <w:color w:val="000000"/>
          <w:szCs w:val="24"/>
        </w:rPr>
        <w:t>przedsiębiorstwo zajmujące się</w:t>
      </w:r>
      <w:r>
        <w:rPr>
          <w:rFonts w:eastAsia="Times New Roman" w:cs="Times New Roman"/>
          <w:bCs/>
          <w:color w:val="000000"/>
          <w:szCs w:val="24"/>
        </w:rPr>
        <w:t xml:space="preserve"> magazynowaniem </w:t>
      </w:r>
      <w:r w:rsidRPr="00ED559B">
        <w:rPr>
          <w:rFonts w:eastAsia="Times New Roman" w:cs="Times New Roman"/>
          <w:bCs/>
          <w:color w:val="000000"/>
          <w:szCs w:val="24"/>
        </w:rPr>
        <w:t>energii elektrycznej (URD</w:t>
      </w:r>
      <w:r>
        <w:rPr>
          <w:rFonts w:eastAsia="Times New Roman" w:cs="Times New Roman"/>
          <w:bCs/>
          <w:color w:val="000000"/>
          <w:szCs w:val="24"/>
          <w:vertAlign w:val="subscript"/>
        </w:rPr>
        <w:t>ME</w:t>
      </w:r>
      <w:r>
        <w:rPr>
          <w:rFonts w:eastAsia="Times New Roman" w:cs="Times New Roman"/>
          <w:bCs/>
          <w:color w:val="000000"/>
          <w:szCs w:val="24"/>
        </w:rPr>
        <w:t>)</w:t>
      </w:r>
      <w:r w:rsidR="00D335C7">
        <w:rPr>
          <w:rFonts w:eastAsia="Times New Roman" w:cs="Times New Roman"/>
          <w:bCs/>
          <w:color w:val="000000"/>
          <w:szCs w:val="24"/>
        </w:rPr>
        <w:t>,</w:t>
      </w:r>
    </w:p>
    <w:p w14:paraId="0E6E441A" w14:textId="27710C7F" w:rsidR="00572BA3" w:rsidRPr="00ED559B" w:rsidRDefault="00873F57" w:rsidP="00ED559B">
      <w:pPr>
        <w:spacing w:line="237" w:lineRule="auto"/>
        <w:ind w:left="1134" w:right="62"/>
        <w:jc w:val="both"/>
        <w:rPr>
          <w:rFonts w:eastAsia="Times New Roman"/>
        </w:rPr>
      </w:pPr>
      <w:r w:rsidRPr="00ED559B">
        <w:rPr>
          <w:rFonts w:eastAsia="Times New Roman" w:cs="Times New Roman"/>
          <w:bCs/>
          <w:color w:val="000000"/>
          <w:szCs w:val="24"/>
        </w:rPr>
        <w:t>w umowie o świadczenie usług dystrybucji zawartej z OSDn. Rozliczeń wynikających z niezbilansowania energii elektrycznej dostarczonej do systemu oraz pobieranej z systemu, dla danego punktu poboru energii (PPE), dokonuje tylko jeden POB</w:t>
      </w:r>
      <w:r w:rsidR="00572BA3" w:rsidRPr="00ED559B">
        <w:rPr>
          <w:rFonts w:eastAsia="Times New Roman"/>
        </w:rPr>
        <w:t>.</w:t>
      </w:r>
    </w:p>
    <w:p w14:paraId="373745CE" w14:textId="77777777" w:rsidR="00572BA3" w:rsidRDefault="00572BA3" w:rsidP="00C2327B">
      <w:pPr>
        <w:tabs>
          <w:tab w:val="left" w:pos="1120"/>
        </w:tabs>
        <w:spacing w:line="234" w:lineRule="auto"/>
        <w:ind w:left="1140" w:right="62" w:hanging="1079"/>
        <w:jc w:val="both"/>
        <w:rPr>
          <w:rFonts w:eastAsia="Times New Roman"/>
        </w:rPr>
      </w:pPr>
      <w:r w:rsidRPr="005E11C0">
        <w:rPr>
          <w:rFonts w:eastAsia="Times New Roman"/>
        </w:rPr>
        <w:t>A.3.</w:t>
      </w:r>
      <w:r w:rsidR="00E12ACC" w:rsidRPr="005E11C0">
        <w:rPr>
          <w:rFonts w:eastAsia="Times New Roman"/>
        </w:rPr>
        <w:t>5</w:t>
      </w:r>
      <w:r w:rsidRPr="005E11C0">
        <w:rPr>
          <w:rFonts w:eastAsia="Times New Roman"/>
        </w:rPr>
        <w:t>.</w:t>
      </w:r>
      <w:r w:rsidRPr="005E11C0">
        <w:rPr>
          <w:rFonts w:eastAsia="Times New Roman"/>
        </w:rPr>
        <w:tab/>
        <w:t>Zmiana POB odbywa się na warunkach i zasadach określonych w rozdziale E IRiESD-Bilansowanie.</w:t>
      </w:r>
    </w:p>
    <w:p w14:paraId="5E7DB7B1" w14:textId="77777777" w:rsidR="001615D3" w:rsidRPr="00956BD9" w:rsidRDefault="00572BA3" w:rsidP="00C2327B">
      <w:pPr>
        <w:tabs>
          <w:tab w:val="left" w:pos="1120"/>
        </w:tabs>
        <w:spacing w:line="250" w:lineRule="auto"/>
        <w:ind w:left="1140" w:right="62" w:hanging="1079"/>
        <w:jc w:val="both"/>
        <w:rPr>
          <w:rFonts w:eastAsia="Times New Roman" w:cs="Times New Roman"/>
          <w:szCs w:val="24"/>
        </w:rPr>
      </w:pPr>
      <w:r>
        <w:rPr>
          <w:rFonts w:eastAsia="Times New Roman"/>
        </w:rPr>
        <w:t>A.3.</w:t>
      </w:r>
      <w:r w:rsidR="001615D3">
        <w:rPr>
          <w:rFonts w:eastAsia="Times New Roman"/>
        </w:rPr>
        <w:t>6</w:t>
      </w:r>
      <w:r>
        <w:rPr>
          <w:rFonts w:eastAsia="Times New Roman"/>
        </w:rPr>
        <w:t>.</w:t>
      </w:r>
      <w:r>
        <w:rPr>
          <w:rFonts w:eastAsia="Times New Roman"/>
        </w:rPr>
        <w:tab/>
      </w:r>
      <w:r w:rsidR="001615D3" w:rsidRPr="00956BD9">
        <w:rPr>
          <w:rFonts w:eastAsia="Times New Roman" w:cs="Times New Roman"/>
          <w:szCs w:val="24"/>
        </w:rPr>
        <w:t xml:space="preserve">OSDn zamieszcza na swojej stronie internetowej oraz udostępnia do </w:t>
      </w:r>
      <w:r w:rsidR="00F56F5B">
        <w:rPr>
          <w:rFonts w:eastAsia="Times New Roman" w:cs="Times New Roman"/>
          <w:szCs w:val="24"/>
        </w:rPr>
        <w:t>p</w:t>
      </w:r>
      <w:r w:rsidR="001615D3" w:rsidRPr="00956BD9">
        <w:rPr>
          <w:rFonts w:eastAsia="Times New Roman" w:cs="Times New Roman"/>
          <w:szCs w:val="24"/>
        </w:rPr>
        <w:t>ublicznego wglądu w swojej siedzibie:</w:t>
      </w:r>
    </w:p>
    <w:p w14:paraId="17FCE28F" w14:textId="77777777" w:rsidR="001615D3" w:rsidRPr="00956BD9" w:rsidRDefault="001615D3">
      <w:pPr>
        <w:numPr>
          <w:ilvl w:val="0"/>
          <w:numId w:val="130"/>
        </w:numPr>
        <w:tabs>
          <w:tab w:val="left" w:pos="1500"/>
        </w:tabs>
        <w:spacing w:line="271" w:lineRule="auto"/>
        <w:ind w:left="1500" w:right="62" w:hanging="368"/>
        <w:jc w:val="both"/>
        <w:rPr>
          <w:rFonts w:eastAsia="Times New Roman" w:cs="Times New Roman"/>
          <w:szCs w:val="24"/>
        </w:rPr>
      </w:pPr>
      <w:r w:rsidRPr="00956BD9">
        <w:rPr>
          <w:rFonts w:eastAsia="Times New Roman" w:cs="Times New Roman"/>
          <w:szCs w:val="24"/>
        </w:rPr>
        <w:t>aktualną listę sprzedawców rezerwowych zawierających umowy sprzedaży rezerwowej, wraz z informacją o adresach ich stron internetowych, na których zostały opublikowane oferty sprzedaży rezerwowej,</w:t>
      </w:r>
    </w:p>
    <w:p w14:paraId="5B8C58F2" w14:textId="77777777" w:rsidR="001615D3" w:rsidRPr="00956BD9" w:rsidRDefault="001615D3" w:rsidP="008F279B">
      <w:pPr>
        <w:tabs>
          <w:tab w:val="left" w:pos="8789"/>
        </w:tabs>
        <w:spacing w:line="17" w:lineRule="exact"/>
        <w:jc w:val="both"/>
        <w:rPr>
          <w:rFonts w:eastAsia="Times New Roman" w:cs="Times New Roman"/>
          <w:szCs w:val="24"/>
        </w:rPr>
      </w:pPr>
    </w:p>
    <w:p w14:paraId="323D2351" w14:textId="77777777" w:rsidR="001615D3" w:rsidRPr="00956BD9" w:rsidRDefault="001615D3">
      <w:pPr>
        <w:numPr>
          <w:ilvl w:val="0"/>
          <w:numId w:val="130"/>
        </w:numPr>
        <w:tabs>
          <w:tab w:val="left" w:pos="1500"/>
        </w:tabs>
        <w:spacing w:line="270" w:lineRule="auto"/>
        <w:ind w:left="1500" w:right="62" w:hanging="368"/>
        <w:jc w:val="both"/>
        <w:rPr>
          <w:rFonts w:eastAsia="Times New Roman" w:cs="Times New Roman"/>
          <w:szCs w:val="24"/>
        </w:rPr>
      </w:pPr>
      <w:r w:rsidRPr="00956BD9">
        <w:rPr>
          <w:rFonts w:eastAsia="Times New Roman" w:cs="Times New Roman"/>
          <w:szCs w:val="24"/>
        </w:rPr>
        <w:t>aktualną listę sprzedawców rezerwowych zawierających rezerwowe umowy kompleksowe, wraz z informacją o adresach ich stron internetowych, na których zostały opublikowane oferty sprzedaży rezerwowej.</w:t>
      </w:r>
    </w:p>
    <w:p w14:paraId="6E80A760" w14:textId="77777777" w:rsidR="001615D3" w:rsidRPr="00956BD9" w:rsidRDefault="001615D3" w:rsidP="008F279B">
      <w:pPr>
        <w:tabs>
          <w:tab w:val="left" w:pos="8789"/>
        </w:tabs>
        <w:spacing w:line="21" w:lineRule="exact"/>
        <w:jc w:val="both"/>
        <w:rPr>
          <w:rFonts w:eastAsia="Times New Roman" w:cs="Times New Roman"/>
          <w:szCs w:val="24"/>
        </w:rPr>
      </w:pPr>
    </w:p>
    <w:p w14:paraId="58A1FC9E" w14:textId="77777777" w:rsidR="001615D3" w:rsidRDefault="001615D3" w:rsidP="00342AC4">
      <w:pPr>
        <w:spacing w:line="270" w:lineRule="auto"/>
        <w:ind w:left="1140" w:right="62"/>
        <w:jc w:val="both"/>
        <w:rPr>
          <w:rFonts w:eastAsia="Times New Roman" w:cs="Times New Roman"/>
          <w:szCs w:val="24"/>
        </w:rPr>
      </w:pPr>
      <w:r w:rsidRPr="00956BD9">
        <w:rPr>
          <w:rFonts w:eastAsia="Times New Roman" w:cs="Times New Roman"/>
          <w:szCs w:val="24"/>
        </w:rPr>
        <w:t xml:space="preserve">Sprzedawcy, o których mowa powyżej, przekazują OSDn aktualną informację </w:t>
      </w:r>
      <w:r w:rsidRPr="00956BD9">
        <w:rPr>
          <w:rFonts w:eastAsia="Times New Roman" w:cs="Times New Roman"/>
          <w:szCs w:val="24"/>
        </w:rPr>
        <w:br/>
        <w:t>o adresie strony internetowej, na której zostały opublikowane oferty sprzedaży rezerwowej skierowane do URD.</w:t>
      </w:r>
    </w:p>
    <w:p w14:paraId="59652538" w14:textId="77777777" w:rsidR="00572BA3" w:rsidRDefault="00572BA3" w:rsidP="00342AC4">
      <w:pPr>
        <w:tabs>
          <w:tab w:val="left" w:pos="1120"/>
        </w:tabs>
        <w:spacing w:line="234" w:lineRule="auto"/>
        <w:ind w:left="1140" w:right="62" w:hanging="1079"/>
        <w:jc w:val="both"/>
        <w:rPr>
          <w:rFonts w:eastAsia="Times New Roman"/>
        </w:rPr>
      </w:pPr>
      <w:r>
        <w:rPr>
          <w:rFonts w:eastAsia="Times New Roman"/>
        </w:rPr>
        <w:t>A.3.</w:t>
      </w:r>
      <w:r w:rsidR="001615D3">
        <w:rPr>
          <w:rFonts w:eastAsia="Times New Roman"/>
        </w:rPr>
        <w:t>7</w:t>
      </w:r>
      <w:r>
        <w:rPr>
          <w:rFonts w:eastAsia="Times New Roman"/>
        </w:rPr>
        <w:t>.</w:t>
      </w:r>
      <w:r>
        <w:rPr>
          <w:rFonts w:eastAsia="Times New Roman"/>
        </w:rPr>
        <w:tab/>
      </w:r>
      <w:r w:rsidR="001615D3">
        <w:rPr>
          <w:rFonts w:eastAsia="Times New Roman"/>
        </w:rPr>
        <w:t>OSDn</w:t>
      </w:r>
      <w:r>
        <w:rPr>
          <w:rFonts w:eastAsia="Times New Roman"/>
        </w:rPr>
        <w:t xml:space="preserve"> zamieszcza na swojej stronie internetowej oraz udostępnia do publicznego wglądu w swojej siedzibie:</w:t>
      </w:r>
    </w:p>
    <w:p w14:paraId="1851BDCC" w14:textId="45A49017" w:rsidR="00572BA3" w:rsidRDefault="00572BA3">
      <w:pPr>
        <w:numPr>
          <w:ilvl w:val="0"/>
          <w:numId w:val="131"/>
        </w:numPr>
        <w:tabs>
          <w:tab w:val="clear" w:pos="1626"/>
        </w:tabs>
        <w:spacing w:line="0" w:lineRule="atLeast"/>
        <w:ind w:left="1418" w:right="62" w:hanging="284"/>
        <w:jc w:val="both"/>
        <w:rPr>
          <w:rFonts w:eastAsia="Times New Roman"/>
        </w:rPr>
      </w:pPr>
      <w:r>
        <w:rPr>
          <w:rFonts w:eastAsia="Times New Roman"/>
        </w:rPr>
        <w:t>aktualną listę sprzedawców energii elektrycznej, z którymi zawarł GUD,</w:t>
      </w:r>
    </w:p>
    <w:p w14:paraId="5B007474" w14:textId="6F111177" w:rsidR="00572BA3" w:rsidRDefault="00572BA3">
      <w:pPr>
        <w:numPr>
          <w:ilvl w:val="0"/>
          <w:numId w:val="131"/>
        </w:numPr>
        <w:tabs>
          <w:tab w:val="clear" w:pos="1626"/>
        </w:tabs>
        <w:spacing w:line="0" w:lineRule="atLeast"/>
        <w:ind w:left="1418" w:right="62" w:hanging="284"/>
        <w:jc w:val="both"/>
        <w:rPr>
          <w:rFonts w:eastAsia="Times New Roman"/>
        </w:rPr>
      </w:pPr>
      <w:r>
        <w:rPr>
          <w:rFonts w:eastAsia="Times New Roman"/>
        </w:rPr>
        <w:t>aktualną listę sprzedawców energii elektrycznej, z którymi zawarł GUD-K,</w:t>
      </w:r>
    </w:p>
    <w:p w14:paraId="05583448" w14:textId="54A09679" w:rsidR="00D6251D" w:rsidRDefault="00D6251D">
      <w:pPr>
        <w:numPr>
          <w:ilvl w:val="0"/>
          <w:numId w:val="131"/>
        </w:numPr>
        <w:tabs>
          <w:tab w:val="clear" w:pos="1626"/>
        </w:tabs>
        <w:spacing w:line="0" w:lineRule="atLeast"/>
        <w:ind w:left="1418" w:right="62" w:hanging="284"/>
        <w:jc w:val="both"/>
        <w:rPr>
          <w:rFonts w:eastAsia="Times New Roman"/>
        </w:rPr>
      </w:pPr>
      <w:r>
        <w:rPr>
          <w:rFonts w:eastAsia="Times New Roman"/>
        </w:rPr>
        <w:t>informacje o sprzedawcy z urzędu energii elektrycznej,</w:t>
      </w:r>
    </w:p>
    <w:p w14:paraId="7B346540" w14:textId="0C3CD537" w:rsidR="00D6251D" w:rsidRDefault="00D6251D">
      <w:pPr>
        <w:numPr>
          <w:ilvl w:val="0"/>
          <w:numId w:val="131"/>
        </w:numPr>
        <w:tabs>
          <w:tab w:val="clear" w:pos="1626"/>
        </w:tabs>
        <w:spacing w:line="0" w:lineRule="atLeast"/>
        <w:ind w:left="1418" w:right="62" w:hanging="284"/>
        <w:jc w:val="both"/>
        <w:rPr>
          <w:rFonts w:eastAsia="Times New Roman"/>
        </w:rPr>
      </w:pPr>
      <w:r>
        <w:rPr>
          <w:rFonts w:eastAsia="Times New Roman"/>
        </w:rPr>
        <w:t>informacji o sprzedawcy zobowiązanym wskazanym w decyzji wydanej przez Prezesa Urzędu Regulacji Energetyki na obszarze działania,</w:t>
      </w:r>
    </w:p>
    <w:p w14:paraId="3B80770F" w14:textId="77777777" w:rsidR="00572BA3" w:rsidRDefault="00572BA3">
      <w:pPr>
        <w:numPr>
          <w:ilvl w:val="0"/>
          <w:numId w:val="131"/>
        </w:numPr>
        <w:tabs>
          <w:tab w:val="clear" w:pos="1626"/>
        </w:tabs>
        <w:ind w:left="1418" w:right="62" w:hanging="284"/>
        <w:jc w:val="both"/>
        <w:rPr>
          <w:rFonts w:eastAsia="Times New Roman"/>
        </w:rPr>
      </w:pPr>
      <w:r>
        <w:rPr>
          <w:rFonts w:eastAsia="Times New Roman"/>
        </w:rPr>
        <w:t>wzorce umów zawieranych z użytkownikami systemu, w szczególności wzorce umów zawieranych z odbiorcami końcowymi oraz ze sprzedawcami energii elektrycznej i URB pełniącymi funkcję podmiotu odpowiedzialnego za bilansowanie handlowe.</w:t>
      </w:r>
    </w:p>
    <w:p w14:paraId="4A644A06" w14:textId="0A79659F" w:rsidR="00572BA3" w:rsidRPr="00D3263E" w:rsidRDefault="00572BA3" w:rsidP="007D465E">
      <w:pPr>
        <w:ind w:left="1134" w:right="62" w:hanging="1134"/>
        <w:jc w:val="both"/>
        <w:rPr>
          <w:color w:val="000000" w:themeColor="text1"/>
          <w:w w:val="105"/>
          <w:szCs w:val="24"/>
        </w:rPr>
      </w:pPr>
      <w:r>
        <w:rPr>
          <w:rFonts w:eastAsia="Times New Roman"/>
        </w:rPr>
        <w:t>A.3.</w:t>
      </w:r>
      <w:r w:rsidR="00BC6F6E">
        <w:rPr>
          <w:rFonts w:eastAsia="Times New Roman"/>
        </w:rPr>
        <w:t>8</w:t>
      </w:r>
      <w:r>
        <w:rPr>
          <w:rFonts w:eastAsia="Times New Roman"/>
        </w:rPr>
        <w:t>.</w:t>
      </w:r>
      <w:r>
        <w:rPr>
          <w:rFonts w:eastAsia="Times New Roman"/>
        </w:rPr>
        <w:tab/>
      </w:r>
      <w:r w:rsidR="00D3263E" w:rsidRPr="00D3263E">
        <w:rPr>
          <w:color w:val="000000" w:themeColor="text1"/>
          <w:w w:val="105"/>
          <w:szCs w:val="24"/>
        </w:rPr>
        <w:t xml:space="preserve">Świadczenie usług dystrybucji przez </w:t>
      </w:r>
      <w:r w:rsidR="009B61A2">
        <w:rPr>
          <w:color w:val="000000" w:themeColor="text1"/>
          <w:w w:val="105"/>
          <w:szCs w:val="24"/>
        </w:rPr>
        <w:t>OSDn</w:t>
      </w:r>
      <w:r w:rsidR="00D3263E" w:rsidRPr="00D3263E">
        <w:rPr>
          <w:color w:val="000000" w:themeColor="text1"/>
          <w:w w:val="105"/>
          <w:szCs w:val="24"/>
        </w:rPr>
        <w:t xml:space="preserve"> w zakresie energii pobranej</w:t>
      </w:r>
      <w:r w:rsidR="00D3263E" w:rsidRPr="00D3263E">
        <w:rPr>
          <w:color w:val="000000" w:themeColor="text1"/>
          <w:spacing w:val="-21"/>
          <w:w w:val="105"/>
          <w:szCs w:val="24"/>
        </w:rPr>
        <w:t xml:space="preserve"> </w:t>
      </w:r>
      <w:r w:rsidR="00D3263E" w:rsidRPr="00D3263E">
        <w:rPr>
          <w:color w:val="000000" w:themeColor="text1"/>
          <w:w w:val="105"/>
          <w:szCs w:val="24"/>
        </w:rPr>
        <w:t>z</w:t>
      </w:r>
      <w:r w:rsidR="00D3263E" w:rsidRPr="00D3263E">
        <w:rPr>
          <w:color w:val="000000" w:themeColor="text1"/>
          <w:spacing w:val="-27"/>
          <w:w w:val="105"/>
          <w:szCs w:val="24"/>
        </w:rPr>
        <w:t xml:space="preserve"> </w:t>
      </w:r>
      <w:r w:rsidR="00D3263E" w:rsidRPr="00D3263E">
        <w:rPr>
          <w:color w:val="000000" w:themeColor="text1"/>
          <w:w w:val="105"/>
          <w:szCs w:val="24"/>
        </w:rPr>
        <w:t>sieci</w:t>
      </w:r>
      <w:r w:rsidR="00D3263E" w:rsidRPr="00D3263E">
        <w:rPr>
          <w:color w:val="000000" w:themeColor="text1"/>
          <w:spacing w:val="-16"/>
          <w:w w:val="105"/>
          <w:szCs w:val="24"/>
        </w:rPr>
        <w:t xml:space="preserve"> </w:t>
      </w:r>
      <w:r w:rsidR="00D3263E" w:rsidRPr="00D3263E">
        <w:rPr>
          <w:color w:val="000000" w:themeColor="text1"/>
          <w:w w:val="105"/>
          <w:szCs w:val="24"/>
        </w:rPr>
        <w:t>dystrybucyjnej</w:t>
      </w:r>
      <w:r w:rsidR="00D3263E" w:rsidRPr="00D3263E">
        <w:rPr>
          <w:color w:val="000000" w:themeColor="text1"/>
          <w:spacing w:val="-32"/>
          <w:w w:val="105"/>
          <w:szCs w:val="24"/>
        </w:rPr>
        <w:t xml:space="preserve"> </w:t>
      </w:r>
      <w:r w:rsidR="009B61A2" w:rsidRPr="009B61A2">
        <w:rPr>
          <w:color w:val="000000" w:themeColor="text1"/>
          <w:w w:val="105"/>
          <w:szCs w:val="24"/>
        </w:rPr>
        <w:t>OSD</w:t>
      </w:r>
      <w:r w:rsidR="00471819">
        <w:rPr>
          <w:color w:val="000000" w:themeColor="text1"/>
          <w:w w:val="105"/>
          <w:szCs w:val="24"/>
        </w:rPr>
        <w:t>n</w:t>
      </w:r>
      <w:r w:rsidR="009B61A2" w:rsidRPr="009B61A2">
        <w:rPr>
          <w:color w:val="000000" w:themeColor="text1"/>
          <w:w w:val="105"/>
          <w:szCs w:val="24"/>
        </w:rPr>
        <w:t xml:space="preserve"> </w:t>
      </w:r>
      <w:r w:rsidR="00D3263E" w:rsidRPr="009B61A2">
        <w:rPr>
          <w:color w:val="000000" w:themeColor="text1"/>
          <w:w w:val="105"/>
          <w:szCs w:val="24"/>
        </w:rPr>
        <w:t>lub</w:t>
      </w:r>
      <w:r w:rsidR="00D3263E" w:rsidRPr="00D3263E">
        <w:rPr>
          <w:color w:val="000000" w:themeColor="text1"/>
          <w:spacing w:val="-26"/>
          <w:w w:val="105"/>
          <w:szCs w:val="24"/>
        </w:rPr>
        <w:t xml:space="preserve"> </w:t>
      </w:r>
      <w:r w:rsidR="00D3263E" w:rsidRPr="00D3263E">
        <w:rPr>
          <w:color w:val="000000" w:themeColor="text1"/>
          <w:w w:val="105"/>
          <w:szCs w:val="24"/>
        </w:rPr>
        <w:t>wprowadzonej</w:t>
      </w:r>
      <w:r w:rsidR="00D3263E" w:rsidRPr="00D3263E">
        <w:rPr>
          <w:color w:val="000000" w:themeColor="text1"/>
          <w:spacing w:val="-8"/>
          <w:w w:val="105"/>
          <w:szCs w:val="24"/>
        </w:rPr>
        <w:t xml:space="preserve"> </w:t>
      </w:r>
      <w:r w:rsidR="00D3263E" w:rsidRPr="00D3263E">
        <w:rPr>
          <w:color w:val="000000" w:themeColor="text1"/>
          <w:w w:val="105"/>
          <w:szCs w:val="24"/>
        </w:rPr>
        <w:t>do</w:t>
      </w:r>
      <w:r w:rsidR="00D3263E" w:rsidRPr="00D3263E">
        <w:rPr>
          <w:color w:val="000000" w:themeColor="text1"/>
          <w:spacing w:val="-24"/>
          <w:w w:val="105"/>
          <w:szCs w:val="24"/>
        </w:rPr>
        <w:t xml:space="preserve"> </w:t>
      </w:r>
      <w:r w:rsidR="00D3263E" w:rsidRPr="00D3263E">
        <w:rPr>
          <w:color w:val="000000" w:themeColor="text1"/>
          <w:w w:val="105"/>
          <w:szCs w:val="24"/>
        </w:rPr>
        <w:t>tej</w:t>
      </w:r>
      <w:r w:rsidR="00D3263E" w:rsidRPr="00D3263E">
        <w:rPr>
          <w:color w:val="000000" w:themeColor="text1"/>
          <w:spacing w:val="-24"/>
          <w:w w:val="105"/>
          <w:szCs w:val="24"/>
        </w:rPr>
        <w:t xml:space="preserve"> </w:t>
      </w:r>
      <w:r w:rsidR="00D3263E" w:rsidRPr="00D3263E">
        <w:rPr>
          <w:color w:val="000000" w:themeColor="text1"/>
          <w:w w:val="105"/>
          <w:szCs w:val="24"/>
        </w:rPr>
        <w:t>sieci</w:t>
      </w:r>
      <w:r w:rsidR="00D3263E" w:rsidRPr="00D3263E">
        <w:rPr>
          <w:color w:val="000000" w:themeColor="text1"/>
          <w:spacing w:val="-18"/>
          <w:w w:val="105"/>
          <w:szCs w:val="24"/>
        </w:rPr>
        <w:t xml:space="preserve"> </w:t>
      </w:r>
      <w:r w:rsidR="00D3263E" w:rsidRPr="00D3263E">
        <w:rPr>
          <w:color w:val="000000" w:themeColor="text1"/>
          <w:w w:val="105"/>
          <w:szCs w:val="24"/>
        </w:rPr>
        <w:t xml:space="preserve">przez </w:t>
      </w:r>
      <w:r w:rsidR="00471819">
        <w:rPr>
          <w:color w:val="000000" w:themeColor="text1"/>
          <w:w w:val="105"/>
          <w:szCs w:val="24"/>
        </w:rPr>
        <w:t xml:space="preserve">OSD </w:t>
      </w:r>
      <w:r w:rsidR="00471819" w:rsidRPr="009B61A2">
        <w:rPr>
          <w:color w:val="000000" w:themeColor="text1"/>
          <w:w w:val="105"/>
          <w:szCs w:val="24"/>
        </w:rPr>
        <w:t>inn</w:t>
      </w:r>
      <w:r w:rsidR="00471819">
        <w:rPr>
          <w:color w:val="000000" w:themeColor="text1"/>
          <w:w w:val="105"/>
          <w:szCs w:val="24"/>
        </w:rPr>
        <w:t>ego</w:t>
      </w:r>
      <w:r w:rsidR="00471819" w:rsidRPr="009B61A2">
        <w:rPr>
          <w:color w:val="000000" w:themeColor="text1"/>
          <w:w w:val="105"/>
          <w:szCs w:val="24"/>
        </w:rPr>
        <w:t xml:space="preserve"> n</w:t>
      </w:r>
      <w:r w:rsidR="00471819">
        <w:rPr>
          <w:color w:val="000000" w:themeColor="text1"/>
          <w:w w:val="105"/>
          <w:szCs w:val="24"/>
        </w:rPr>
        <w:t>iż OSDn</w:t>
      </w:r>
      <w:r w:rsidR="00D3263E" w:rsidRPr="00D3263E">
        <w:rPr>
          <w:color w:val="000000" w:themeColor="text1"/>
          <w:w w:val="105"/>
          <w:szCs w:val="24"/>
        </w:rPr>
        <w:t>, odbywa się wyłącznie na podstawie umowy o świadczenie usług dystrybucji. Umowa o świadczenie usług dystrybucji z OSDn jest zawierana na wniosek, o którym mowa w pkt</w:t>
      </w:r>
      <w:r w:rsidR="00D3263E" w:rsidRPr="00D3263E">
        <w:rPr>
          <w:color w:val="000000" w:themeColor="text1"/>
          <w:spacing w:val="26"/>
          <w:w w:val="105"/>
          <w:szCs w:val="24"/>
        </w:rPr>
        <w:t xml:space="preserve"> </w:t>
      </w:r>
      <w:r w:rsidR="00D3263E" w:rsidRPr="00D3263E">
        <w:rPr>
          <w:color w:val="000000" w:themeColor="text1"/>
          <w:w w:val="105"/>
          <w:szCs w:val="24"/>
        </w:rPr>
        <w:t>B</w:t>
      </w:r>
      <w:r w:rsidR="009E12BC">
        <w:rPr>
          <w:color w:val="000000" w:themeColor="text1"/>
          <w:w w:val="105"/>
          <w:szCs w:val="24"/>
        </w:rPr>
        <w:t>.1.</w:t>
      </w:r>
    </w:p>
    <w:p w14:paraId="26BF0EF8" w14:textId="6AEA02DC" w:rsidR="00D3263E" w:rsidRPr="00D3263E" w:rsidRDefault="00D3263E" w:rsidP="009E12BC">
      <w:pPr>
        <w:ind w:left="1134" w:right="62"/>
        <w:jc w:val="both"/>
        <w:rPr>
          <w:rFonts w:eastAsia="Times New Roman"/>
          <w:color w:val="000000" w:themeColor="text1"/>
          <w:szCs w:val="24"/>
        </w:rPr>
      </w:pPr>
      <w:r w:rsidRPr="00D3263E">
        <w:rPr>
          <w:color w:val="000000" w:themeColor="text1"/>
          <w:w w:val="105"/>
          <w:szCs w:val="24"/>
        </w:rPr>
        <w:t xml:space="preserve">Warunki i zakres współpracy </w:t>
      </w:r>
      <w:r w:rsidR="009E12BC">
        <w:rPr>
          <w:color w:val="000000" w:themeColor="text1"/>
          <w:w w:val="105"/>
          <w:szCs w:val="24"/>
        </w:rPr>
        <w:t>OSDn</w:t>
      </w:r>
      <w:r w:rsidRPr="00D3263E">
        <w:rPr>
          <w:color w:val="000000" w:themeColor="text1"/>
          <w:w w:val="105"/>
          <w:szCs w:val="24"/>
        </w:rPr>
        <w:t xml:space="preserve"> z </w:t>
      </w:r>
      <w:r w:rsidR="009E12BC">
        <w:rPr>
          <w:color w:val="000000" w:themeColor="text1"/>
          <w:w w:val="105"/>
          <w:szCs w:val="24"/>
        </w:rPr>
        <w:t>OSDp</w:t>
      </w:r>
      <w:r w:rsidRPr="00D3263E">
        <w:rPr>
          <w:color w:val="000000" w:themeColor="text1"/>
          <w:w w:val="105"/>
          <w:szCs w:val="24"/>
        </w:rPr>
        <w:t xml:space="preserve">, w zakresie przekazywania danych pomiarowych określa umowa zawarta pomiędzy </w:t>
      </w:r>
      <w:r w:rsidR="009E12BC">
        <w:rPr>
          <w:color w:val="000000" w:themeColor="text1"/>
          <w:w w:val="105"/>
          <w:szCs w:val="24"/>
        </w:rPr>
        <w:t>OSDn</w:t>
      </w:r>
      <w:r w:rsidRPr="00D3263E">
        <w:rPr>
          <w:color w:val="000000" w:themeColor="text1"/>
          <w:w w:val="105"/>
          <w:szCs w:val="24"/>
        </w:rPr>
        <w:t xml:space="preserve"> a OSD</w:t>
      </w:r>
      <w:r w:rsidR="009E12BC">
        <w:rPr>
          <w:color w:val="000000" w:themeColor="text1"/>
          <w:w w:val="105"/>
          <w:szCs w:val="24"/>
        </w:rPr>
        <w:t>p</w:t>
      </w:r>
      <w:r w:rsidRPr="00D3263E">
        <w:rPr>
          <w:color w:val="000000" w:themeColor="text1"/>
          <w:w w:val="105"/>
          <w:szCs w:val="24"/>
        </w:rPr>
        <w:t>, o której mowa w pkt A.6.1</w:t>
      </w:r>
    </w:p>
    <w:p w14:paraId="04789E47" w14:textId="77777777" w:rsidR="00212F0C" w:rsidRPr="00956BD9" w:rsidRDefault="00212F0C" w:rsidP="00342AC4">
      <w:pPr>
        <w:spacing w:line="248" w:lineRule="auto"/>
        <w:ind w:left="1134" w:right="62" w:hanging="1134"/>
        <w:jc w:val="both"/>
        <w:rPr>
          <w:rFonts w:eastAsia="Times New Roman" w:cs="Times New Roman"/>
          <w:szCs w:val="24"/>
        </w:rPr>
      </w:pPr>
      <w:r w:rsidRPr="00956BD9">
        <w:rPr>
          <w:rFonts w:eastAsia="Times New Roman" w:cs="Times New Roman"/>
          <w:szCs w:val="24"/>
        </w:rPr>
        <w:t>A.</w:t>
      </w:r>
      <w:r>
        <w:rPr>
          <w:rFonts w:eastAsia="Times New Roman" w:cs="Times New Roman"/>
          <w:szCs w:val="24"/>
        </w:rPr>
        <w:t>3</w:t>
      </w:r>
      <w:r w:rsidRPr="00956BD9">
        <w:rPr>
          <w:rFonts w:eastAsia="Times New Roman" w:cs="Times New Roman"/>
          <w:szCs w:val="24"/>
        </w:rPr>
        <w:t>.</w:t>
      </w:r>
      <w:r>
        <w:rPr>
          <w:rFonts w:eastAsia="Times New Roman" w:cs="Times New Roman"/>
          <w:szCs w:val="24"/>
        </w:rPr>
        <w:t>9</w:t>
      </w:r>
      <w:r w:rsidRPr="00956BD9">
        <w:rPr>
          <w:rFonts w:eastAsia="Times New Roman" w:cs="Times New Roman"/>
          <w:szCs w:val="24"/>
        </w:rPr>
        <w:t>.</w:t>
      </w:r>
      <w:r w:rsidRPr="00956BD9">
        <w:rPr>
          <w:rFonts w:eastAsia="Times New Roman" w:cs="Times New Roman"/>
          <w:szCs w:val="24"/>
        </w:rPr>
        <w:tab/>
        <w:t>Sprzedawca informuje URD, z którym zawarł umowę sprzedaży lub umowę kompleksową, sprzedawcę rezerwowego oraz OSDn o:</w:t>
      </w:r>
    </w:p>
    <w:p w14:paraId="225CB1F5" w14:textId="77777777" w:rsidR="00212F0C" w:rsidRPr="00956BD9" w:rsidRDefault="00212F0C">
      <w:pPr>
        <w:numPr>
          <w:ilvl w:val="0"/>
          <w:numId w:val="132"/>
        </w:numPr>
        <w:tabs>
          <w:tab w:val="left" w:pos="1564"/>
        </w:tabs>
        <w:spacing w:line="0" w:lineRule="atLeast"/>
        <w:ind w:left="1564" w:right="62" w:hanging="356"/>
        <w:jc w:val="both"/>
        <w:rPr>
          <w:rFonts w:eastAsia="Times New Roman" w:cs="Times New Roman"/>
          <w:szCs w:val="24"/>
        </w:rPr>
      </w:pPr>
      <w:r w:rsidRPr="00956BD9">
        <w:rPr>
          <w:rFonts w:eastAsia="Times New Roman" w:cs="Times New Roman"/>
          <w:szCs w:val="24"/>
        </w:rPr>
        <w:t>konieczności zaprzestania sprzedaży energii elektrycznej temu URD,</w:t>
      </w:r>
    </w:p>
    <w:p w14:paraId="5923C544" w14:textId="77777777" w:rsidR="00212F0C" w:rsidRPr="00956BD9" w:rsidRDefault="00212F0C" w:rsidP="00342AC4">
      <w:pPr>
        <w:spacing w:line="12" w:lineRule="exact"/>
        <w:ind w:right="62"/>
        <w:jc w:val="both"/>
        <w:rPr>
          <w:rFonts w:eastAsia="Times New Roman" w:cs="Times New Roman"/>
          <w:szCs w:val="24"/>
        </w:rPr>
      </w:pPr>
    </w:p>
    <w:p w14:paraId="4C53A38F" w14:textId="77777777" w:rsidR="00212F0C" w:rsidRPr="00956BD9" w:rsidRDefault="00212F0C">
      <w:pPr>
        <w:numPr>
          <w:ilvl w:val="0"/>
          <w:numId w:val="132"/>
        </w:numPr>
        <w:tabs>
          <w:tab w:val="left" w:pos="1564"/>
        </w:tabs>
        <w:spacing w:line="234" w:lineRule="auto"/>
        <w:ind w:left="1564" w:right="62" w:hanging="356"/>
        <w:jc w:val="both"/>
        <w:rPr>
          <w:rFonts w:eastAsia="Times New Roman" w:cs="Times New Roman"/>
          <w:szCs w:val="24"/>
        </w:rPr>
      </w:pPr>
      <w:r w:rsidRPr="00956BD9">
        <w:rPr>
          <w:rFonts w:eastAsia="Times New Roman" w:cs="Times New Roman"/>
          <w:szCs w:val="24"/>
        </w:rPr>
        <w:t>przewidywanej dacie zaprzestania sprzedaży energii elektrycznej, jeśli jest znana lub możliwa do ustalenia przez tego sprzedawcę,</w:t>
      </w:r>
    </w:p>
    <w:p w14:paraId="3FB68755" w14:textId="77777777" w:rsidR="00212F0C" w:rsidRPr="00956BD9" w:rsidRDefault="00212F0C" w:rsidP="00342AC4">
      <w:pPr>
        <w:spacing w:line="14" w:lineRule="exact"/>
        <w:ind w:right="62"/>
        <w:jc w:val="both"/>
        <w:rPr>
          <w:rFonts w:eastAsia="Times New Roman" w:cs="Times New Roman"/>
          <w:szCs w:val="24"/>
        </w:rPr>
      </w:pPr>
    </w:p>
    <w:p w14:paraId="58728E4F" w14:textId="77777777" w:rsidR="00212F0C" w:rsidRPr="00956BD9" w:rsidRDefault="00212F0C" w:rsidP="00342AC4">
      <w:pPr>
        <w:spacing w:line="236" w:lineRule="auto"/>
        <w:ind w:left="1144" w:right="62"/>
        <w:jc w:val="both"/>
        <w:rPr>
          <w:rFonts w:eastAsia="Times New Roman" w:cs="Times New Roman"/>
          <w:szCs w:val="24"/>
        </w:rPr>
      </w:pPr>
      <w:r w:rsidRPr="00956BD9">
        <w:rPr>
          <w:rFonts w:eastAsia="Times New Roman" w:cs="Times New Roman"/>
          <w:szCs w:val="24"/>
        </w:rPr>
        <w:t xml:space="preserve">niezwłocznie, nie później niż w terminie 2 dni od dnia powzięcia przez tego sprzedawcę informacji o braku możliwości dalszego wywiązywania się </w:t>
      </w:r>
      <w:r w:rsidR="00C2327B">
        <w:rPr>
          <w:rFonts w:eastAsia="Times New Roman" w:cs="Times New Roman"/>
          <w:szCs w:val="24"/>
        </w:rPr>
        <w:br/>
      </w:r>
      <w:r w:rsidRPr="00956BD9">
        <w:rPr>
          <w:rFonts w:eastAsia="Times New Roman" w:cs="Times New Roman"/>
          <w:szCs w:val="24"/>
        </w:rPr>
        <w:t>z umowy sprzedaży lub umowy kompleksowej zawartej z tym URD.</w:t>
      </w:r>
    </w:p>
    <w:p w14:paraId="3DCA6303" w14:textId="77777777" w:rsidR="00212F0C" w:rsidRPr="00956BD9" w:rsidRDefault="00212F0C" w:rsidP="00F56F5B">
      <w:pPr>
        <w:spacing w:line="2" w:lineRule="exact"/>
        <w:ind w:right="285"/>
        <w:jc w:val="both"/>
        <w:rPr>
          <w:rFonts w:eastAsia="Times New Roman" w:cs="Times New Roman"/>
          <w:szCs w:val="24"/>
        </w:rPr>
      </w:pPr>
    </w:p>
    <w:p w14:paraId="18453CAA" w14:textId="77777777" w:rsidR="00212F0C" w:rsidRPr="00956BD9" w:rsidRDefault="00212F0C" w:rsidP="00342AC4">
      <w:pPr>
        <w:spacing w:line="0" w:lineRule="atLeast"/>
        <w:ind w:left="1144" w:right="62"/>
        <w:jc w:val="both"/>
        <w:rPr>
          <w:rFonts w:eastAsia="Times New Roman" w:cs="Times New Roman"/>
          <w:szCs w:val="24"/>
        </w:rPr>
      </w:pPr>
      <w:r w:rsidRPr="00956BD9">
        <w:rPr>
          <w:rFonts w:eastAsia="Times New Roman" w:cs="Times New Roman"/>
          <w:szCs w:val="24"/>
        </w:rPr>
        <w:t xml:space="preserve">Powyższych zapisów nie stosuje się do URD, o których mowa w art. 6a ust. 3 </w:t>
      </w:r>
      <w:r w:rsidR="00477CCC">
        <w:rPr>
          <w:rFonts w:eastAsia="Times New Roman" w:cs="Times New Roman"/>
          <w:szCs w:val="24"/>
        </w:rPr>
        <w:br/>
      </w:r>
      <w:r w:rsidRPr="00956BD9">
        <w:rPr>
          <w:rFonts w:eastAsia="Times New Roman" w:cs="Times New Roman"/>
          <w:szCs w:val="24"/>
        </w:rPr>
        <w:t>i art.</w:t>
      </w:r>
      <w:r w:rsidR="00477CCC">
        <w:rPr>
          <w:rFonts w:eastAsia="Times New Roman" w:cs="Times New Roman"/>
          <w:szCs w:val="24"/>
        </w:rPr>
        <w:t xml:space="preserve"> </w:t>
      </w:r>
      <w:r w:rsidRPr="00956BD9">
        <w:rPr>
          <w:rFonts w:eastAsia="Times New Roman" w:cs="Times New Roman"/>
          <w:szCs w:val="24"/>
        </w:rPr>
        <w:t>6b. ustawy Prawo energetyczne.</w:t>
      </w:r>
    </w:p>
    <w:p w14:paraId="3334FFAE" w14:textId="77777777" w:rsidR="00212F0C" w:rsidRDefault="00212F0C" w:rsidP="00501D3F">
      <w:pPr>
        <w:ind w:left="1144" w:right="143"/>
        <w:jc w:val="both"/>
        <w:rPr>
          <w:rFonts w:eastAsia="Times New Roman" w:cs="Times New Roman"/>
          <w:szCs w:val="24"/>
        </w:rPr>
      </w:pPr>
      <w:r w:rsidRPr="00956BD9">
        <w:rPr>
          <w:rFonts w:eastAsia="Times New Roman" w:cs="Times New Roman"/>
          <w:szCs w:val="24"/>
        </w:rPr>
        <w:t xml:space="preserve">Zapisy tego punktu nie zwalniają sprzedawcy z obowiązku, o którym mowa </w:t>
      </w:r>
      <w:r w:rsidR="00477CCC">
        <w:rPr>
          <w:rFonts w:eastAsia="Times New Roman" w:cs="Times New Roman"/>
          <w:szCs w:val="24"/>
        </w:rPr>
        <w:br/>
      </w:r>
      <w:r w:rsidRPr="00956BD9">
        <w:rPr>
          <w:rFonts w:eastAsia="Times New Roman" w:cs="Times New Roman"/>
          <w:szCs w:val="24"/>
        </w:rPr>
        <w:t>w pkt.</w:t>
      </w:r>
      <w:r w:rsidR="00477CCC">
        <w:rPr>
          <w:rFonts w:eastAsia="Times New Roman" w:cs="Times New Roman"/>
          <w:szCs w:val="24"/>
        </w:rPr>
        <w:t xml:space="preserve"> </w:t>
      </w:r>
      <w:r w:rsidRPr="00C9435A">
        <w:rPr>
          <w:rFonts w:eastAsia="Times New Roman" w:cs="Times New Roman"/>
          <w:szCs w:val="24"/>
        </w:rPr>
        <w:t>D.</w:t>
      </w:r>
      <w:r w:rsidR="00947F16" w:rsidRPr="00C9435A">
        <w:rPr>
          <w:rFonts w:eastAsia="Times New Roman" w:cs="Times New Roman"/>
          <w:szCs w:val="24"/>
        </w:rPr>
        <w:t>2</w:t>
      </w:r>
      <w:r w:rsidRPr="00C9435A">
        <w:rPr>
          <w:rFonts w:eastAsia="Times New Roman" w:cs="Times New Roman"/>
          <w:szCs w:val="24"/>
        </w:rPr>
        <w:t>.7.</w:t>
      </w:r>
    </w:p>
    <w:p w14:paraId="476AD5E4" w14:textId="65A29A27" w:rsidR="00501D3F" w:rsidRPr="00800950" w:rsidRDefault="00501D3F" w:rsidP="00501D3F">
      <w:pPr>
        <w:pStyle w:val="Tekstpodstawowy"/>
        <w:spacing w:before="127" w:line="240" w:lineRule="auto"/>
        <w:ind w:left="1134" w:right="223" w:firstLine="3"/>
        <w:rPr>
          <w:color w:val="000000" w:themeColor="text1"/>
          <w:szCs w:val="24"/>
          <w:lang w:val="pl-PL"/>
        </w:rPr>
      </w:pPr>
      <w:r w:rsidRPr="00501D3F">
        <w:rPr>
          <w:color w:val="000000" w:themeColor="text1"/>
          <w:w w:val="105"/>
        </w:rPr>
        <w:t xml:space="preserve">W przypadku wystąpienia okoliczności wskazanych w lit. a) </w:t>
      </w:r>
      <w:r>
        <w:rPr>
          <w:color w:val="000000" w:themeColor="text1"/>
          <w:w w:val="105"/>
          <w:lang w:val="pl-PL"/>
        </w:rPr>
        <w:t>OSDn</w:t>
      </w:r>
      <w:r w:rsidRPr="00501D3F">
        <w:rPr>
          <w:color w:val="000000" w:themeColor="text1"/>
          <w:w w:val="105"/>
        </w:rPr>
        <w:t xml:space="preserve"> wstrzymuje z dniem określonym zgodnie z lit. b) realizację umowy, o której mowa w pkt</w:t>
      </w:r>
      <w:r w:rsidRPr="00501D3F">
        <w:rPr>
          <w:color w:val="000000" w:themeColor="text1"/>
          <w:w w:val="105"/>
          <w:lang w:val="pl-PL"/>
        </w:rPr>
        <w:t xml:space="preserve"> </w:t>
      </w:r>
      <w:r w:rsidRPr="00501D3F">
        <w:rPr>
          <w:color w:val="000000" w:themeColor="text1"/>
          <w:w w:val="105"/>
        </w:rPr>
        <w:t>A.4.3.6. lub A.4.3.7</w:t>
      </w:r>
      <w:r w:rsidR="00800950">
        <w:rPr>
          <w:color w:val="000000" w:themeColor="text1"/>
          <w:w w:val="105"/>
          <w:lang w:val="pl-PL"/>
        </w:rPr>
        <w:t>.</w:t>
      </w:r>
    </w:p>
    <w:p w14:paraId="1341795A" w14:textId="77777777" w:rsidR="00212F0C" w:rsidRPr="00956BD9" w:rsidRDefault="00212F0C" w:rsidP="00212F0C">
      <w:pPr>
        <w:tabs>
          <w:tab w:val="left" w:pos="1123"/>
        </w:tabs>
        <w:spacing w:line="0" w:lineRule="atLeast"/>
        <w:ind w:left="64"/>
        <w:jc w:val="both"/>
        <w:rPr>
          <w:rFonts w:eastAsia="Times New Roman" w:cs="Times New Roman"/>
          <w:szCs w:val="24"/>
        </w:rPr>
      </w:pPr>
      <w:r w:rsidRPr="00956BD9">
        <w:rPr>
          <w:rFonts w:eastAsia="Times New Roman" w:cs="Times New Roman"/>
          <w:szCs w:val="24"/>
        </w:rPr>
        <w:t>A.</w:t>
      </w:r>
      <w:r>
        <w:rPr>
          <w:rFonts w:eastAsia="Times New Roman" w:cs="Times New Roman"/>
          <w:szCs w:val="24"/>
        </w:rPr>
        <w:t>3.10.</w:t>
      </w:r>
      <w:r w:rsidRPr="00956BD9">
        <w:rPr>
          <w:rFonts w:eastAsia="Times New Roman" w:cs="Times New Roman"/>
          <w:szCs w:val="24"/>
        </w:rPr>
        <w:tab/>
        <w:t>Informacja, o której mowa w pkt. A.</w:t>
      </w:r>
      <w:r>
        <w:rPr>
          <w:rFonts w:eastAsia="Times New Roman" w:cs="Times New Roman"/>
          <w:szCs w:val="24"/>
        </w:rPr>
        <w:t>3.9</w:t>
      </w:r>
      <w:r w:rsidRPr="00956BD9">
        <w:rPr>
          <w:rFonts w:eastAsia="Times New Roman" w:cs="Times New Roman"/>
          <w:szCs w:val="24"/>
        </w:rPr>
        <w:t>., powinna zawierać w szczególności:</w:t>
      </w:r>
    </w:p>
    <w:p w14:paraId="51D91B94" w14:textId="77777777" w:rsidR="00212F0C" w:rsidRPr="00956BD9" w:rsidRDefault="00212F0C">
      <w:pPr>
        <w:numPr>
          <w:ilvl w:val="0"/>
          <w:numId w:val="133"/>
        </w:numPr>
        <w:tabs>
          <w:tab w:val="left" w:pos="1564"/>
        </w:tabs>
        <w:spacing w:line="0" w:lineRule="atLeast"/>
        <w:ind w:left="1564" w:hanging="356"/>
        <w:jc w:val="both"/>
        <w:rPr>
          <w:rFonts w:eastAsia="Times New Roman" w:cs="Times New Roman"/>
          <w:szCs w:val="24"/>
        </w:rPr>
      </w:pPr>
      <w:r w:rsidRPr="00956BD9">
        <w:rPr>
          <w:rFonts w:eastAsia="Times New Roman" w:cs="Times New Roman"/>
          <w:szCs w:val="24"/>
        </w:rPr>
        <w:t>kod PPE,</w:t>
      </w:r>
    </w:p>
    <w:p w14:paraId="1103EB37" w14:textId="77777777" w:rsidR="00212F0C" w:rsidRPr="00956BD9" w:rsidRDefault="00212F0C">
      <w:pPr>
        <w:numPr>
          <w:ilvl w:val="0"/>
          <w:numId w:val="133"/>
        </w:numPr>
        <w:tabs>
          <w:tab w:val="left" w:pos="1564"/>
        </w:tabs>
        <w:spacing w:line="0" w:lineRule="atLeast"/>
        <w:ind w:left="1564" w:hanging="356"/>
        <w:jc w:val="both"/>
        <w:rPr>
          <w:rFonts w:eastAsia="Times New Roman" w:cs="Times New Roman"/>
          <w:szCs w:val="24"/>
        </w:rPr>
      </w:pPr>
      <w:r w:rsidRPr="00956BD9">
        <w:rPr>
          <w:rFonts w:eastAsia="Times New Roman" w:cs="Times New Roman"/>
          <w:szCs w:val="24"/>
        </w:rPr>
        <w:t>przewidywaną datę zaprzestania sprzedaży energii elektrycznej.</w:t>
      </w:r>
    </w:p>
    <w:p w14:paraId="5E63466A" w14:textId="77777777" w:rsidR="00212F0C" w:rsidRPr="00956BD9" w:rsidRDefault="00212F0C" w:rsidP="00212F0C">
      <w:pPr>
        <w:tabs>
          <w:tab w:val="left" w:pos="1123"/>
        </w:tabs>
        <w:spacing w:line="256" w:lineRule="auto"/>
        <w:ind w:left="1144" w:right="220" w:hanging="1079"/>
        <w:jc w:val="both"/>
        <w:rPr>
          <w:rFonts w:eastAsia="Times New Roman" w:cs="Times New Roman"/>
          <w:szCs w:val="24"/>
        </w:rPr>
      </w:pPr>
      <w:r w:rsidRPr="00956BD9">
        <w:rPr>
          <w:rFonts w:eastAsia="Times New Roman" w:cs="Times New Roman"/>
          <w:szCs w:val="24"/>
        </w:rPr>
        <w:t>A.</w:t>
      </w:r>
      <w:r w:rsidR="00DE194F">
        <w:rPr>
          <w:rFonts w:eastAsia="Times New Roman" w:cs="Times New Roman"/>
          <w:szCs w:val="24"/>
        </w:rPr>
        <w:t>3</w:t>
      </w:r>
      <w:r w:rsidRPr="00956BD9">
        <w:rPr>
          <w:rFonts w:eastAsia="Times New Roman" w:cs="Times New Roman"/>
          <w:szCs w:val="24"/>
        </w:rPr>
        <w:t>.</w:t>
      </w:r>
      <w:r w:rsidR="00DE194F">
        <w:rPr>
          <w:rFonts w:eastAsia="Times New Roman" w:cs="Times New Roman"/>
          <w:szCs w:val="24"/>
        </w:rPr>
        <w:t>11</w:t>
      </w:r>
      <w:r w:rsidRPr="00956BD9">
        <w:rPr>
          <w:rFonts w:eastAsia="Times New Roman" w:cs="Times New Roman"/>
          <w:szCs w:val="24"/>
        </w:rPr>
        <w:t>.</w:t>
      </w:r>
      <w:r w:rsidRPr="00956BD9">
        <w:rPr>
          <w:rFonts w:eastAsia="Times New Roman" w:cs="Times New Roman"/>
          <w:szCs w:val="24"/>
        </w:rPr>
        <w:tab/>
        <w:t>OSDn po powzięciu informacji o konieczności zaprzestania przez sprzedawcę sprzedaży energii elektrycznej, niezwłocznie informuje OSP o konieczności zaprzestania przez OSDn świadczenia usług dystrybucji na rzecz tego sprzedawcy, w następujących przypadkach:</w:t>
      </w:r>
    </w:p>
    <w:p w14:paraId="21913B82" w14:textId="77777777" w:rsidR="00212F0C" w:rsidRPr="00956BD9" w:rsidRDefault="00212F0C">
      <w:pPr>
        <w:numPr>
          <w:ilvl w:val="0"/>
          <w:numId w:val="134"/>
        </w:numPr>
        <w:tabs>
          <w:tab w:val="left" w:pos="1564"/>
        </w:tabs>
        <w:spacing w:line="0" w:lineRule="atLeast"/>
        <w:ind w:left="1564" w:hanging="356"/>
        <w:jc w:val="both"/>
        <w:rPr>
          <w:rFonts w:eastAsia="Times New Roman" w:cs="Times New Roman"/>
          <w:szCs w:val="24"/>
        </w:rPr>
      </w:pPr>
      <w:r w:rsidRPr="00956BD9">
        <w:rPr>
          <w:rFonts w:eastAsia="Times New Roman" w:cs="Times New Roman"/>
          <w:szCs w:val="24"/>
        </w:rPr>
        <w:t>utrata POB sprzedawcy,</w:t>
      </w:r>
    </w:p>
    <w:p w14:paraId="5BA4AC63" w14:textId="77777777" w:rsidR="00212F0C" w:rsidRPr="00956BD9" w:rsidRDefault="00212F0C" w:rsidP="00212F0C">
      <w:pPr>
        <w:spacing w:line="12" w:lineRule="exact"/>
        <w:jc w:val="both"/>
        <w:rPr>
          <w:rFonts w:eastAsia="Times New Roman" w:cs="Times New Roman"/>
          <w:szCs w:val="24"/>
        </w:rPr>
      </w:pPr>
    </w:p>
    <w:p w14:paraId="57763AB7" w14:textId="77777777" w:rsidR="00212F0C" w:rsidRPr="00956BD9" w:rsidRDefault="00212F0C">
      <w:pPr>
        <w:numPr>
          <w:ilvl w:val="0"/>
          <w:numId w:val="134"/>
        </w:numPr>
        <w:tabs>
          <w:tab w:val="left" w:pos="1564"/>
        </w:tabs>
        <w:spacing w:line="234" w:lineRule="auto"/>
        <w:ind w:left="1564" w:right="220" w:hanging="356"/>
        <w:jc w:val="both"/>
        <w:rPr>
          <w:rFonts w:eastAsia="Times New Roman" w:cs="Times New Roman"/>
          <w:szCs w:val="24"/>
        </w:rPr>
      </w:pPr>
      <w:r w:rsidRPr="00956BD9">
        <w:rPr>
          <w:rFonts w:eastAsia="Times New Roman" w:cs="Times New Roman"/>
          <w:szCs w:val="24"/>
        </w:rPr>
        <w:lastRenderedPageBreak/>
        <w:t xml:space="preserve">wstrzymanie realizacji lub rozwiązanie umów ze sprzedawca, o których </w:t>
      </w:r>
      <w:r w:rsidRPr="00F57747">
        <w:rPr>
          <w:rFonts w:eastAsia="Times New Roman" w:cs="Times New Roman"/>
          <w:szCs w:val="24"/>
        </w:rPr>
        <w:t>mowa w pkt. A.</w:t>
      </w:r>
      <w:r w:rsidR="001A70C5" w:rsidRPr="00F57747">
        <w:rPr>
          <w:rFonts w:eastAsia="Times New Roman" w:cs="Times New Roman"/>
          <w:szCs w:val="24"/>
        </w:rPr>
        <w:t>4.3.6.</w:t>
      </w:r>
    </w:p>
    <w:p w14:paraId="6DB755C5" w14:textId="77777777" w:rsidR="00212F0C" w:rsidRPr="00956BD9" w:rsidRDefault="00212F0C" w:rsidP="000637E4">
      <w:pPr>
        <w:tabs>
          <w:tab w:val="left" w:pos="1123"/>
        </w:tabs>
        <w:spacing w:line="255" w:lineRule="auto"/>
        <w:ind w:left="1144" w:right="62" w:hanging="1079"/>
        <w:jc w:val="both"/>
        <w:rPr>
          <w:rFonts w:eastAsia="Times New Roman" w:cs="Times New Roman"/>
          <w:szCs w:val="24"/>
        </w:rPr>
      </w:pPr>
      <w:r w:rsidRPr="00956BD9">
        <w:rPr>
          <w:rFonts w:eastAsia="Times New Roman" w:cs="Times New Roman"/>
          <w:szCs w:val="24"/>
        </w:rPr>
        <w:t>A.</w:t>
      </w:r>
      <w:r w:rsidR="009D25EB">
        <w:rPr>
          <w:rFonts w:eastAsia="Times New Roman" w:cs="Times New Roman"/>
          <w:szCs w:val="24"/>
        </w:rPr>
        <w:t>3</w:t>
      </w:r>
      <w:r w:rsidRPr="00956BD9">
        <w:rPr>
          <w:rFonts w:eastAsia="Times New Roman" w:cs="Times New Roman"/>
          <w:szCs w:val="24"/>
        </w:rPr>
        <w:t>.</w:t>
      </w:r>
      <w:r w:rsidR="009D25EB">
        <w:rPr>
          <w:rFonts w:eastAsia="Times New Roman" w:cs="Times New Roman"/>
          <w:szCs w:val="24"/>
        </w:rPr>
        <w:t>12</w:t>
      </w:r>
      <w:r w:rsidRPr="00956BD9">
        <w:rPr>
          <w:rFonts w:eastAsia="Times New Roman" w:cs="Times New Roman"/>
          <w:szCs w:val="24"/>
        </w:rPr>
        <w:t>.</w:t>
      </w:r>
      <w:r w:rsidRPr="00956BD9">
        <w:rPr>
          <w:rFonts w:eastAsia="Times New Roman" w:cs="Times New Roman"/>
          <w:szCs w:val="24"/>
        </w:rPr>
        <w:tab/>
        <w:t>OSDn po wystąpieniu zdarzenia, które może skutkować koniecznością zaprzestania przez OSDn świadczenia usług dystrybucji na rzecz sprzedawcy, niezwłocznie informuje OSP, OSDp o tym zdarzeniu, w następujących przypadkach:</w:t>
      </w:r>
    </w:p>
    <w:p w14:paraId="2D6257DC" w14:textId="77777777" w:rsidR="00212F0C" w:rsidRPr="00956BD9" w:rsidRDefault="00212F0C">
      <w:pPr>
        <w:numPr>
          <w:ilvl w:val="0"/>
          <w:numId w:val="135"/>
        </w:numPr>
        <w:tabs>
          <w:tab w:val="left" w:pos="1564"/>
        </w:tabs>
        <w:spacing w:line="236" w:lineRule="auto"/>
        <w:ind w:left="1564" w:right="62" w:hanging="356"/>
        <w:jc w:val="both"/>
        <w:rPr>
          <w:rFonts w:eastAsia="Times New Roman" w:cs="Times New Roman"/>
          <w:szCs w:val="24"/>
        </w:rPr>
      </w:pPr>
      <w:r w:rsidRPr="00956BD9">
        <w:rPr>
          <w:rFonts w:eastAsia="Times New Roman" w:cs="Times New Roman"/>
          <w:szCs w:val="24"/>
        </w:rPr>
        <w:t>brak gwarancji dotyczących wiarygodności finansowej tego sprzedawcy lub POB wskazanego przez tego sprzedawcę, wynikających z umów zawartych przez OSDn z tymi podmiotami,</w:t>
      </w:r>
    </w:p>
    <w:p w14:paraId="30D15EFA" w14:textId="77777777" w:rsidR="00212F0C" w:rsidRPr="00956BD9" w:rsidRDefault="00212F0C" w:rsidP="000637E4">
      <w:pPr>
        <w:spacing w:line="13" w:lineRule="exact"/>
        <w:ind w:right="62"/>
        <w:jc w:val="both"/>
        <w:rPr>
          <w:rFonts w:eastAsia="Times New Roman" w:cs="Times New Roman"/>
          <w:szCs w:val="24"/>
        </w:rPr>
      </w:pPr>
    </w:p>
    <w:p w14:paraId="6B355E4E" w14:textId="77777777" w:rsidR="00212F0C" w:rsidRPr="00F57747" w:rsidRDefault="00212F0C">
      <w:pPr>
        <w:numPr>
          <w:ilvl w:val="0"/>
          <w:numId w:val="135"/>
        </w:numPr>
        <w:tabs>
          <w:tab w:val="left" w:pos="1564"/>
        </w:tabs>
        <w:spacing w:line="234" w:lineRule="auto"/>
        <w:ind w:left="1564" w:right="62" w:hanging="356"/>
        <w:jc w:val="both"/>
        <w:rPr>
          <w:rFonts w:eastAsia="Times New Roman" w:cs="Times New Roman"/>
          <w:szCs w:val="24"/>
        </w:rPr>
      </w:pPr>
      <w:r w:rsidRPr="00956BD9">
        <w:rPr>
          <w:rFonts w:eastAsia="Times New Roman" w:cs="Times New Roman"/>
          <w:szCs w:val="24"/>
        </w:rPr>
        <w:t xml:space="preserve">wstrzymanie realizacji lub wypowiedzenie umowy ze sprzedawcą, o której </w:t>
      </w:r>
      <w:r w:rsidRPr="00F57747">
        <w:rPr>
          <w:rFonts w:eastAsia="Times New Roman" w:cs="Times New Roman"/>
          <w:szCs w:val="24"/>
        </w:rPr>
        <w:t>mowa w pkt. A.</w:t>
      </w:r>
      <w:r w:rsidR="009D25EB" w:rsidRPr="00F57747">
        <w:rPr>
          <w:rFonts w:eastAsia="Times New Roman" w:cs="Times New Roman"/>
          <w:szCs w:val="24"/>
        </w:rPr>
        <w:t>4.3.6.,</w:t>
      </w:r>
    </w:p>
    <w:p w14:paraId="796FCD18" w14:textId="77777777" w:rsidR="00212F0C" w:rsidRPr="00F57747" w:rsidRDefault="00212F0C" w:rsidP="000637E4">
      <w:pPr>
        <w:spacing w:line="14" w:lineRule="exact"/>
        <w:ind w:right="62"/>
        <w:jc w:val="both"/>
        <w:rPr>
          <w:rFonts w:eastAsia="Times New Roman" w:cs="Times New Roman"/>
          <w:szCs w:val="24"/>
        </w:rPr>
      </w:pPr>
    </w:p>
    <w:p w14:paraId="511C0E2D" w14:textId="77777777" w:rsidR="00212F0C" w:rsidRPr="00F57747" w:rsidRDefault="00212F0C">
      <w:pPr>
        <w:numPr>
          <w:ilvl w:val="0"/>
          <w:numId w:val="135"/>
        </w:numPr>
        <w:tabs>
          <w:tab w:val="left" w:pos="1564"/>
        </w:tabs>
        <w:spacing w:line="234" w:lineRule="auto"/>
        <w:ind w:left="1564" w:right="62" w:hanging="356"/>
        <w:jc w:val="both"/>
        <w:rPr>
          <w:rFonts w:eastAsia="Times New Roman" w:cs="Times New Roman"/>
          <w:szCs w:val="24"/>
        </w:rPr>
      </w:pPr>
      <w:r w:rsidRPr="00F57747">
        <w:rPr>
          <w:rFonts w:eastAsia="Times New Roman" w:cs="Times New Roman"/>
          <w:szCs w:val="24"/>
        </w:rPr>
        <w:t xml:space="preserve">wstrzymanie realizacji lub wypowiedzenie umowy z POB, o której mowa </w:t>
      </w:r>
      <w:r w:rsidRPr="00F57747">
        <w:rPr>
          <w:rFonts w:eastAsia="Times New Roman" w:cs="Times New Roman"/>
          <w:szCs w:val="24"/>
        </w:rPr>
        <w:br/>
        <w:t>w pkt. A.</w:t>
      </w:r>
      <w:r w:rsidR="009D25EB" w:rsidRPr="00F57747">
        <w:rPr>
          <w:rFonts w:eastAsia="Times New Roman" w:cs="Times New Roman"/>
          <w:szCs w:val="24"/>
        </w:rPr>
        <w:t>4.3.5.</w:t>
      </w:r>
    </w:p>
    <w:p w14:paraId="3C58A2F3" w14:textId="12B7145E" w:rsidR="009A6F9B" w:rsidRDefault="009A6F9B" w:rsidP="000637E4">
      <w:pPr>
        <w:spacing w:line="253" w:lineRule="auto"/>
        <w:ind w:left="1134" w:right="62" w:hanging="1134"/>
        <w:jc w:val="both"/>
        <w:rPr>
          <w:rFonts w:eastAsia="Times New Roman" w:cs="Times New Roman"/>
          <w:bCs/>
          <w:color w:val="000000"/>
          <w:szCs w:val="24"/>
        </w:rPr>
      </w:pPr>
      <w:r w:rsidRPr="003B5EA2">
        <w:rPr>
          <w:rFonts w:eastAsia="Times New Roman" w:cs="Times New Roman"/>
          <w:bCs/>
          <w:color w:val="000000"/>
          <w:szCs w:val="24"/>
        </w:rPr>
        <w:t>A.</w:t>
      </w:r>
      <w:r>
        <w:rPr>
          <w:rFonts w:eastAsia="Times New Roman" w:cs="Times New Roman"/>
          <w:bCs/>
          <w:color w:val="000000"/>
          <w:szCs w:val="24"/>
        </w:rPr>
        <w:t xml:space="preserve">3.13.   </w:t>
      </w:r>
      <w:r w:rsidRPr="003B5EA2">
        <w:rPr>
          <w:rFonts w:eastAsia="Times New Roman" w:cs="Times New Roman"/>
          <w:bCs/>
          <w:color w:val="000000"/>
          <w:szCs w:val="24"/>
        </w:rPr>
        <w:t>Wytwórca w mikroinstalacji jest URD</w:t>
      </w:r>
      <w:r w:rsidRPr="003B5EA2">
        <w:rPr>
          <w:rFonts w:eastAsia="Times New Roman" w:cs="Times New Roman"/>
          <w:bCs/>
          <w:color w:val="000000"/>
          <w:szCs w:val="24"/>
          <w:vertAlign w:val="subscript"/>
        </w:rPr>
        <w:t>O</w:t>
      </w:r>
      <w:r w:rsidRPr="003B5EA2">
        <w:rPr>
          <w:rFonts w:eastAsia="Times New Roman" w:cs="Times New Roman"/>
          <w:bCs/>
          <w:color w:val="000000"/>
          <w:szCs w:val="24"/>
        </w:rPr>
        <w:t xml:space="preserve"> zarówno w zakresie energii pobranej </w:t>
      </w:r>
      <w:r>
        <w:rPr>
          <w:rFonts w:eastAsia="Times New Roman" w:cs="Times New Roman"/>
          <w:bCs/>
          <w:color w:val="000000"/>
          <w:szCs w:val="24"/>
        </w:rPr>
        <w:br/>
      </w:r>
      <w:r w:rsidRPr="003B5EA2">
        <w:rPr>
          <w:rFonts w:eastAsia="Times New Roman" w:cs="Times New Roman"/>
          <w:bCs/>
          <w:color w:val="000000"/>
          <w:szCs w:val="24"/>
        </w:rPr>
        <w:t>z sieci OSDn jak i w zakresie energii wprowadzonej do sieci OSDn, dla danego punktu poboru energii (PPE).</w:t>
      </w:r>
    </w:p>
    <w:p w14:paraId="0AB6A2B1" w14:textId="2D53C8FB" w:rsidR="00BB4E34" w:rsidRPr="003B5EA2" w:rsidRDefault="00F56967" w:rsidP="000637E4">
      <w:pPr>
        <w:spacing w:line="253" w:lineRule="auto"/>
        <w:ind w:left="1134" w:right="62" w:hanging="1134"/>
        <w:jc w:val="both"/>
        <w:rPr>
          <w:rFonts w:eastAsia="Times New Roman" w:cs="Times New Roman"/>
          <w:bCs/>
          <w:color w:val="000000"/>
          <w:szCs w:val="24"/>
        </w:rPr>
      </w:pPr>
      <w:r>
        <w:rPr>
          <w:rFonts w:eastAsia="Times New Roman" w:cs="Times New Roman"/>
          <w:bCs/>
          <w:color w:val="000000"/>
          <w:szCs w:val="24"/>
        </w:rPr>
        <w:tab/>
        <w:t>Posiadacz magazynu energii o łącznej mocy zainstalowanej magazynu energii elektrycznej mniejszej lub równej 50 kW jest URDo zarówno w zakresie energii elektrycznej pobranej z sieci OSDn jak i w zakresie energii wprowadzonej do sieci OSDn, dla danego PPE</w:t>
      </w:r>
      <w:r w:rsidR="008B6440">
        <w:rPr>
          <w:rFonts w:eastAsia="Times New Roman" w:cs="Times New Roman"/>
          <w:bCs/>
          <w:color w:val="000000"/>
          <w:szCs w:val="24"/>
        </w:rPr>
        <w:t>.</w:t>
      </w:r>
    </w:p>
    <w:p w14:paraId="2F700C82" w14:textId="5452C776" w:rsidR="009A6F9B" w:rsidRDefault="009A6F9B" w:rsidP="000637E4">
      <w:pPr>
        <w:spacing w:line="253" w:lineRule="auto"/>
        <w:ind w:left="1134" w:right="62" w:hanging="1134"/>
        <w:jc w:val="both"/>
        <w:rPr>
          <w:rFonts w:eastAsia="Times New Roman" w:cs="Times New Roman"/>
          <w:bCs/>
          <w:color w:val="000000"/>
          <w:szCs w:val="24"/>
        </w:rPr>
      </w:pPr>
      <w:r w:rsidRPr="003B5EA2">
        <w:rPr>
          <w:rFonts w:eastAsia="Times New Roman" w:cs="Times New Roman"/>
          <w:bCs/>
          <w:color w:val="000000"/>
          <w:szCs w:val="24"/>
        </w:rPr>
        <w:t>A.</w:t>
      </w:r>
      <w:r>
        <w:rPr>
          <w:rFonts w:eastAsia="Times New Roman" w:cs="Times New Roman"/>
          <w:bCs/>
          <w:color w:val="000000"/>
          <w:szCs w:val="24"/>
        </w:rPr>
        <w:t>3</w:t>
      </w:r>
      <w:r w:rsidRPr="003B5EA2">
        <w:rPr>
          <w:rFonts w:eastAsia="Times New Roman" w:cs="Times New Roman"/>
          <w:bCs/>
          <w:color w:val="000000"/>
          <w:szCs w:val="24"/>
        </w:rPr>
        <w:t>.1</w:t>
      </w:r>
      <w:r>
        <w:rPr>
          <w:rFonts w:eastAsia="Times New Roman" w:cs="Times New Roman"/>
          <w:bCs/>
          <w:color w:val="000000"/>
          <w:szCs w:val="24"/>
        </w:rPr>
        <w:t>4</w:t>
      </w:r>
      <w:r w:rsidRPr="003B5EA2">
        <w:rPr>
          <w:rFonts w:eastAsia="Times New Roman" w:cs="Times New Roman"/>
          <w:bCs/>
          <w:color w:val="000000"/>
          <w:szCs w:val="24"/>
        </w:rPr>
        <w:t xml:space="preserve">. </w:t>
      </w:r>
      <w:r>
        <w:rPr>
          <w:rFonts w:eastAsia="Times New Roman" w:cs="Times New Roman"/>
          <w:bCs/>
          <w:color w:val="000000"/>
          <w:szCs w:val="24"/>
        </w:rPr>
        <w:t xml:space="preserve">   </w:t>
      </w:r>
      <w:r w:rsidRPr="003B5EA2">
        <w:rPr>
          <w:rFonts w:eastAsia="Times New Roman" w:cs="Times New Roman"/>
          <w:bCs/>
          <w:color w:val="000000"/>
          <w:szCs w:val="24"/>
        </w:rPr>
        <w:t>Wytwórca inny niż, o którym jest mowa w pkt. A.1.1</w:t>
      </w:r>
      <w:r w:rsidR="00E41A25">
        <w:rPr>
          <w:rFonts w:eastAsia="Times New Roman" w:cs="Times New Roman"/>
          <w:bCs/>
          <w:color w:val="000000"/>
          <w:szCs w:val="24"/>
        </w:rPr>
        <w:t>3</w:t>
      </w:r>
      <w:r w:rsidRPr="003B5EA2">
        <w:rPr>
          <w:rFonts w:eastAsia="Times New Roman" w:cs="Times New Roman"/>
          <w:bCs/>
          <w:color w:val="000000"/>
          <w:szCs w:val="24"/>
        </w:rPr>
        <w:t>. jest URD</w:t>
      </w:r>
      <w:r w:rsidRPr="003B5EA2">
        <w:rPr>
          <w:rFonts w:eastAsia="Times New Roman" w:cs="Times New Roman"/>
          <w:bCs/>
          <w:color w:val="000000"/>
          <w:szCs w:val="24"/>
          <w:vertAlign w:val="subscript"/>
        </w:rPr>
        <w:t xml:space="preserve">W </w:t>
      </w:r>
      <w:r w:rsidRPr="003B5EA2">
        <w:rPr>
          <w:rFonts w:eastAsia="Times New Roman" w:cs="Times New Roman"/>
          <w:bCs/>
          <w:color w:val="000000"/>
          <w:szCs w:val="24"/>
        </w:rPr>
        <w:t xml:space="preserve">zarówno </w:t>
      </w:r>
      <w:r w:rsidRPr="003B5EA2">
        <w:rPr>
          <w:rFonts w:eastAsia="Times New Roman" w:cs="Times New Roman"/>
          <w:bCs/>
          <w:color w:val="000000"/>
          <w:szCs w:val="24"/>
        </w:rPr>
        <w:br/>
        <w:t>w zakresie energii pobranej z sieci OSDn jak i w zakresie energii wprowadzonej do sieci OSDn, dla danego punktu poboru energii (PPE).</w:t>
      </w:r>
    </w:p>
    <w:p w14:paraId="44AF6ADE" w14:textId="06D2ADBB" w:rsidR="000637E4" w:rsidRPr="0041504B" w:rsidRDefault="000637E4" w:rsidP="000637E4">
      <w:pPr>
        <w:spacing w:line="253" w:lineRule="auto"/>
        <w:ind w:left="1134" w:right="62" w:hanging="1134"/>
        <w:jc w:val="both"/>
        <w:rPr>
          <w:rFonts w:eastAsia="Times New Roman" w:cs="Times New Roman"/>
          <w:bCs/>
          <w:color w:val="000000" w:themeColor="text1"/>
          <w:szCs w:val="24"/>
        </w:rPr>
      </w:pPr>
      <w:r>
        <w:rPr>
          <w:rFonts w:eastAsia="Times New Roman" w:cs="Times New Roman"/>
          <w:bCs/>
          <w:color w:val="000000"/>
          <w:szCs w:val="24"/>
        </w:rPr>
        <w:tab/>
        <w:t>Posiadacz magazynu energii elektrycznej inny niż o którym jest mowa w pkt. A.3.13. jest URD</w:t>
      </w:r>
      <w:r w:rsidRPr="000637E4">
        <w:rPr>
          <w:rFonts w:eastAsia="Times New Roman" w:cs="Times New Roman"/>
          <w:bCs/>
          <w:color w:val="000000"/>
          <w:szCs w:val="24"/>
          <w:vertAlign w:val="subscript"/>
        </w:rPr>
        <w:t>ME</w:t>
      </w:r>
      <w:r>
        <w:rPr>
          <w:rFonts w:eastAsia="Times New Roman" w:cs="Times New Roman"/>
          <w:bCs/>
          <w:color w:val="000000"/>
          <w:szCs w:val="24"/>
        </w:rPr>
        <w:t xml:space="preserve"> zarówno w zakresie energii elektrycznej pobranej z sieci OSDn jak i </w:t>
      </w:r>
      <w:r w:rsidRPr="0041504B">
        <w:rPr>
          <w:rFonts w:eastAsia="Times New Roman" w:cs="Times New Roman"/>
          <w:bCs/>
          <w:color w:val="000000" w:themeColor="text1"/>
          <w:szCs w:val="24"/>
        </w:rPr>
        <w:t>w zakresie energii elektrycznej wprowadzonej do sieci OSDn, dla danego PPE.</w:t>
      </w:r>
    </w:p>
    <w:p w14:paraId="789CB4F5" w14:textId="18A3A74F" w:rsidR="00BC6828" w:rsidRPr="000637E4" w:rsidRDefault="00BC6828" w:rsidP="000637E4">
      <w:pPr>
        <w:tabs>
          <w:tab w:val="left" w:pos="1120"/>
        </w:tabs>
        <w:spacing w:line="236" w:lineRule="auto"/>
        <w:ind w:left="1140" w:right="62" w:hanging="1079"/>
        <w:jc w:val="both"/>
        <w:rPr>
          <w:rFonts w:eastAsia="Times New Roman"/>
        </w:rPr>
      </w:pPr>
    </w:p>
    <w:p w14:paraId="2ED72420" w14:textId="77777777" w:rsidR="00572BA3" w:rsidRPr="004847F9" w:rsidRDefault="00572BA3" w:rsidP="000637E4">
      <w:pPr>
        <w:pStyle w:val="Nagwek2"/>
        <w:ind w:left="426" w:right="62" w:hanging="426"/>
        <w:jc w:val="both"/>
        <w:rPr>
          <w:rStyle w:val="Nagwek2Znak"/>
          <w:b/>
        </w:rPr>
      </w:pPr>
      <w:bookmarkStart w:id="74" w:name="_Toc141963911"/>
      <w:r w:rsidRPr="004847F9">
        <w:t>A</w:t>
      </w:r>
      <w:r w:rsidRPr="004847F9">
        <w:rPr>
          <w:rStyle w:val="Nagwek2Znak"/>
          <w:b/>
        </w:rPr>
        <w:t>.4.</w:t>
      </w:r>
      <w:r w:rsidRPr="004847F9">
        <w:rPr>
          <w:rStyle w:val="Nagwek2Znak"/>
          <w:b/>
        </w:rPr>
        <w:tab/>
        <w:t>WARUNKI REALIZACJI UMÓW SPRZEDAŻY ORAZ UMÓW KOMPLEKSOWYCH I UCZESTNICTWA W PROCESIE BILANSOWANIA</w:t>
      </w:r>
      <w:bookmarkEnd w:id="74"/>
    </w:p>
    <w:p w14:paraId="0E91A2B0" w14:textId="77777777" w:rsidR="00572BA3" w:rsidRDefault="00572BA3">
      <w:pPr>
        <w:spacing w:line="200" w:lineRule="exact"/>
        <w:rPr>
          <w:rFonts w:eastAsia="Times New Roman"/>
        </w:rPr>
      </w:pPr>
    </w:p>
    <w:p w14:paraId="041B0339" w14:textId="77777777" w:rsidR="00572BA3" w:rsidRPr="006372A9" w:rsidRDefault="00572BA3">
      <w:pPr>
        <w:tabs>
          <w:tab w:val="left" w:pos="1120"/>
        </w:tabs>
        <w:spacing w:line="238" w:lineRule="auto"/>
        <w:ind w:left="1140" w:hanging="1079"/>
        <w:jc w:val="both"/>
        <w:rPr>
          <w:rFonts w:eastAsia="Times New Roman"/>
          <w:color w:val="000000" w:themeColor="text1"/>
          <w:szCs w:val="24"/>
        </w:rPr>
      </w:pPr>
      <w:r>
        <w:rPr>
          <w:rFonts w:eastAsia="Times New Roman"/>
        </w:rPr>
        <w:t>A.4.1.</w:t>
      </w:r>
      <w:r>
        <w:rPr>
          <w:rFonts w:eastAsia="Times New Roman"/>
        </w:rPr>
        <w:tab/>
      </w:r>
      <w:r w:rsidR="00233811">
        <w:rPr>
          <w:rFonts w:eastAsia="Times New Roman"/>
        </w:rPr>
        <w:t>OSDn</w:t>
      </w:r>
      <w:r>
        <w:rPr>
          <w:rFonts w:eastAsia="Times New Roman"/>
        </w:rPr>
        <w:t xml:space="preserve"> zapewnia użytkownikom systemu dystrybucyjnego realizację umów sprzedaży energii elektrycznej lub umów kompleksowych zawartych przez te podmioty, jeżeli zostaną one zgłoszone do </w:t>
      </w:r>
      <w:r w:rsidR="00233811">
        <w:rPr>
          <w:rFonts w:eastAsia="Times New Roman"/>
        </w:rPr>
        <w:t>OSDn</w:t>
      </w:r>
      <w:r>
        <w:rPr>
          <w:rFonts w:eastAsia="Times New Roman"/>
        </w:rPr>
        <w:t xml:space="preserve"> w obowiązującej formie, trybie </w:t>
      </w:r>
      <w:r w:rsidR="00233811">
        <w:rPr>
          <w:rFonts w:eastAsia="Times New Roman"/>
        </w:rPr>
        <w:br/>
      </w:r>
      <w:r>
        <w:rPr>
          <w:rFonts w:eastAsia="Times New Roman"/>
        </w:rPr>
        <w:t xml:space="preserve">i terminie oraz przy spełnieniu przez te podmioty wymagań określonych </w:t>
      </w:r>
      <w:r w:rsidR="00233811">
        <w:rPr>
          <w:rFonts w:eastAsia="Times New Roman"/>
        </w:rPr>
        <w:br/>
      </w:r>
      <w:r w:rsidRPr="006372A9">
        <w:rPr>
          <w:rFonts w:eastAsia="Times New Roman"/>
          <w:color w:val="000000" w:themeColor="text1"/>
          <w:szCs w:val="24"/>
        </w:rPr>
        <w:t xml:space="preserve">w IRiESD i odpowiednich umowach zawartych z </w:t>
      </w:r>
      <w:r w:rsidR="00233811" w:rsidRPr="006372A9">
        <w:rPr>
          <w:rFonts w:eastAsia="Times New Roman"/>
          <w:color w:val="000000" w:themeColor="text1"/>
          <w:szCs w:val="24"/>
        </w:rPr>
        <w:t>OSDn</w:t>
      </w:r>
      <w:r w:rsidRPr="006372A9">
        <w:rPr>
          <w:rFonts w:eastAsia="Times New Roman"/>
          <w:color w:val="000000" w:themeColor="text1"/>
          <w:szCs w:val="24"/>
        </w:rPr>
        <w:t>.</w:t>
      </w:r>
    </w:p>
    <w:p w14:paraId="1B57478C" w14:textId="2D0DAFA5" w:rsidR="00572BA3" w:rsidRDefault="00572BA3">
      <w:pPr>
        <w:tabs>
          <w:tab w:val="left" w:pos="1120"/>
        </w:tabs>
        <w:spacing w:line="237" w:lineRule="auto"/>
        <w:ind w:left="1140" w:hanging="1079"/>
        <w:jc w:val="both"/>
        <w:rPr>
          <w:rFonts w:cs="Times New Roman"/>
          <w:color w:val="000000" w:themeColor="text1"/>
          <w:szCs w:val="24"/>
        </w:rPr>
      </w:pPr>
      <w:r w:rsidRPr="006372A9">
        <w:rPr>
          <w:rFonts w:eastAsia="Times New Roman"/>
          <w:color w:val="000000" w:themeColor="text1"/>
          <w:szCs w:val="24"/>
        </w:rPr>
        <w:t>A.4.2.</w:t>
      </w:r>
      <w:r w:rsidRPr="006372A9">
        <w:rPr>
          <w:rFonts w:eastAsia="Times New Roman"/>
          <w:color w:val="000000" w:themeColor="text1"/>
          <w:szCs w:val="24"/>
        </w:rPr>
        <w:tab/>
      </w:r>
      <w:r w:rsidR="006372A9" w:rsidRPr="006372A9">
        <w:rPr>
          <w:rFonts w:cs="Times New Roman"/>
          <w:color w:val="000000" w:themeColor="text1"/>
          <w:szCs w:val="24"/>
        </w:rPr>
        <w:t>URD</w:t>
      </w:r>
      <w:r w:rsidR="006372A9" w:rsidRPr="006372A9">
        <w:rPr>
          <w:rFonts w:cs="Times New Roman"/>
          <w:color w:val="000000" w:themeColor="text1"/>
          <w:szCs w:val="24"/>
          <w:vertAlign w:val="subscript"/>
        </w:rPr>
        <w:t>W</w:t>
      </w:r>
      <w:r w:rsidR="006372A9" w:rsidRPr="006372A9">
        <w:rPr>
          <w:rFonts w:cs="Times New Roman"/>
          <w:color w:val="000000" w:themeColor="text1"/>
          <w:szCs w:val="24"/>
        </w:rPr>
        <w:t>, URD</w:t>
      </w:r>
      <w:r w:rsidR="006372A9" w:rsidRPr="006372A9">
        <w:rPr>
          <w:rFonts w:cs="Times New Roman"/>
          <w:color w:val="000000" w:themeColor="text1"/>
          <w:szCs w:val="24"/>
          <w:vertAlign w:val="subscript"/>
        </w:rPr>
        <w:t>O</w:t>
      </w:r>
      <w:r w:rsidR="006372A9" w:rsidRPr="006372A9">
        <w:rPr>
          <w:rFonts w:cs="Times New Roman"/>
          <w:color w:val="000000" w:themeColor="text1"/>
          <w:szCs w:val="24"/>
        </w:rPr>
        <w:t>, URD</w:t>
      </w:r>
      <w:r w:rsidR="006372A9" w:rsidRPr="006372A9">
        <w:rPr>
          <w:rFonts w:cs="Times New Roman"/>
          <w:color w:val="000000" w:themeColor="text1"/>
          <w:szCs w:val="24"/>
          <w:vertAlign w:val="subscript"/>
        </w:rPr>
        <w:t>ME</w:t>
      </w:r>
      <w:r w:rsidR="006372A9" w:rsidRPr="006372A9">
        <w:rPr>
          <w:rFonts w:cs="Times New Roman"/>
          <w:color w:val="000000" w:themeColor="text1"/>
          <w:szCs w:val="24"/>
        </w:rPr>
        <w:t xml:space="preserve"> oraz sprzedawcy, którzy posiadają zawartą z OSDn umowę dystrybucji, mogą zlecić wykonywanie swoich obowiązków wynikających </w:t>
      </w:r>
      <w:r w:rsidR="006372A9">
        <w:rPr>
          <w:rFonts w:cs="Times New Roman"/>
          <w:color w:val="000000" w:themeColor="text1"/>
          <w:szCs w:val="24"/>
        </w:rPr>
        <w:br/>
      </w:r>
      <w:r w:rsidR="006372A9" w:rsidRPr="006372A9">
        <w:rPr>
          <w:rFonts w:cs="Times New Roman"/>
          <w:color w:val="000000" w:themeColor="text1"/>
          <w:szCs w:val="24"/>
        </w:rPr>
        <w:t xml:space="preserve">z IRiESD-Bilansowanie innym podmiotom, o ile nie jest to sprzeczne z przepisami obowiązującego prawa i posiadanymi koncesjami. Podmioty te działają w imieniu </w:t>
      </w:r>
      <w:r w:rsidR="006372A9">
        <w:rPr>
          <w:rFonts w:cs="Times New Roman"/>
          <w:color w:val="000000" w:themeColor="text1"/>
          <w:szCs w:val="24"/>
        </w:rPr>
        <w:br/>
      </w:r>
      <w:r w:rsidR="006372A9" w:rsidRPr="006372A9">
        <w:rPr>
          <w:rFonts w:cs="Times New Roman"/>
          <w:color w:val="000000" w:themeColor="text1"/>
          <w:szCs w:val="24"/>
        </w:rPr>
        <w:t>i na rzecz URD</w:t>
      </w:r>
      <w:r w:rsidR="006372A9" w:rsidRPr="006372A9">
        <w:rPr>
          <w:rFonts w:cs="Times New Roman"/>
          <w:color w:val="000000" w:themeColor="text1"/>
          <w:szCs w:val="24"/>
          <w:vertAlign w:val="subscript"/>
        </w:rPr>
        <w:t>W</w:t>
      </w:r>
      <w:r w:rsidR="006372A9" w:rsidRPr="006372A9">
        <w:rPr>
          <w:rFonts w:cs="Times New Roman"/>
          <w:color w:val="000000" w:themeColor="text1"/>
          <w:szCs w:val="24"/>
        </w:rPr>
        <w:t>, URD</w:t>
      </w:r>
      <w:r w:rsidR="006372A9" w:rsidRPr="006372A9">
        <w:rPr>
          <w:rFonts w:cs="Times New Roman"/>
          <w:color w:val="000000" w:themeColor="text1"/>
          <w:szCs w:val="24"/>
          <w:vertAlign w:val="subscript"/>
        </w:rPr>
        <w:t>O</w:t>
      </w:r>
      <w:r w:rsidR="006372A9" w:rsidRPr="006372A9">
        <w:rPr>
          <w:rFonts w:cs="Times New Roman"/>
          <w:color w:val="000000" w:themeColor="text1"/>
          <w:szCs w:val="24"/>
        </w:rPr>
        <w:t>, URD</w:t>
      </w:r>
      <w:r w:rsidR="006372A9" w:rsidRPr="006372A9">
        <w:rPr>
          <w:rFonts w:cs="Times New Roman"/>
          <w:color w:val="000000" w:themeColor="text1"/>
          <w:szCs w:val="24"/>
          <w:vertAlign w:val="subscript"/>
        </w:rPr>
        <w:t>ME</w:t>
      </w:r>
      <w:r w:rsidR="006372A9" w:rsidRPr="006372A9">
        <w:rPr>
          <w:rFonts w:cs="Times New Roman"/>
          <w:color w:val="000000" w:themeColor="text1"/>
          <w:szCs w:val="24"/>
        </w:rPr>
        <w:t xml:space="preserve"> lub sprzedawcy.</w:t>
      </w:r>
    </w:p>
    <w:p w14:paraId="5B716DAC" w14:textId="77777777" w:rsidR="0037630A" w:rsidRPr="006372A9" w:rsidRDefault="0037630A">
      <w:pPr>
        <w:tabs>
          <w:tab w:val="left" w:pos="1120"/>
        </w:tabs>
        <w:spacing w:line="237" w:lineRule="auto"/>
        <w:ind w:left="1140" w:hanging="1079"/>
        <w:jc w:val="both"/>
        <w:rPr>
          <w:rFonts w:eastAsia="Times New Roman"/>
          <w:color w:val="000000" w:themeColor="text1"/>
          <w:szCs w:val="24"/>
        </w:rPr>
      </w:pPr>
    </w:p>
    <w:p w14:paraId="7E609548" w14:textId="77777777" w:rsidR="00572BA3" w:rsidRDefault="00572BA3" w:rsidP="004F247B">
      <w:pPr>
        <w:spacing w:line="326" w:lineRule="exact"/>
        <w:jc w:val="both"/>
        <w:rPr>
          <w:rFonts w:eastAsia="Times New Roman"/>
        </w:rPr>
      </w:pPr>
    </w:p>
    <w:p w14:paraId="5A4BD9AD" w14:textId="77777777" w:rsidR="00572BA3" w:rsidRDefault="00572BA3" w:rsidP="004F247B">
      <w:pPr>
        <w:tabs>
          <w:tab w:val="left" w:pos="1120"/>
        </w:tabs>
        <w:spacing w:line="0" w:lineRule="atLeast"/>
        <w:ind w:left="60"/>
        <w:jc w:val="both"/>
        <w:rPr>
          <w:rFonts w:eastAsia="Times New Roman"/>
          <w:b/>
        </w:rPr>
      </w:pPr>
      <w:r>
        <w:rPr>
          <w:rFonts w:eastAsia="Times New Roman"/>
          <w:b/>
        </w:rPr>
        <w:t>A.4.3.</w:t>
      </w:r>
      <w:r>
        <w:rPr>
          <w:rFonts w:eastAsia="Times New Roman"/>
        </w:rPr>
        <w:tab/>
      </w:r>
      <w:r>
        <w:rPr>
          <w:rFonts w:eastAsia="Times New Roman"/>
          <w:b/>
        </w:rPr>
        <w:t>Warunki i wymagania formalno-prawne</w:t>
      </w:r>
    </w:p>
    <w:p w14:paraId="2AEA98B1" w14:textId="77777777" w:rsidR="00572BA3" w:rsidRDefault="00572BA3" w:rsidP="004F247B">
      <w:pPr>
        <w:spacing w:line="127" w:lineRule="exact"/>
        <w:jc w:val="both"/>
        <w:rPr>
          <w:rFonts w:eastAsia="Times New Roman"/>
        </w:rPr>
      </w:pPr>
    </w:p>
    <w:p w14:paraId="04F085C9" w14:textId="77777777" w:rsidR="00572BA3" w:rsidRPr="00726D45" w:rsidRDefault="00572BA3" w:rsidP="004F247B">
      <w:pPr>
        <w:tabs>
          <w:tab w:val="left" w:pos="1120"/>
        </w:tabs>
        <w:spacing w:line="234" w:lineRule="auto"/>
        <w:ind w:left="1140" w:hanging="1079"/>
        <w:jc w:val="both"/>
        <w:rPr>
          <w:rFonts w:eastAsia="Times New Roman"/>
        </w:rPr>
      </w:pPr>
      <w:r>
        <w:rPr>
          <w:rFonts w:eastAsia="Times New Roman"/>
        </w:rPr>
        <w:t>A.4.3.1.</w:t>
      </w:r>
      <w:r>
        <w:rPr>
          <w:rFonts w:eastAsia="Times New Roman"/>
        </w:rPr>
        <w:tab/>
      </w:r>
      <w:r w:rsidR="004F247B">
        <w:rPr>
          <w:rFonts w:eastAsia="Times New Roman"/>
        </w:rPr>
        <w:t>OSDn</w:t>
      </w:r>
      <w:r>
        <w:rPr>
          <w:rFonts w:eastAsia="Times New Roman"/>
        </w:rPr>
        <w:t xml:space="preserve"> z zachowaniem wymagań </w:t>
      </w:r>
      <w:r w:rsidRPr="00726D45">
        <w:rPr>
          <w:rFonts w:eastAsia="Times New Roman"/>
        </w:rPr>
        <w:t>pkt. A.4.3.6, realizuje zawarte przez URD umowy sprzedaży energii elektrycznej, po:</w:t>
      </w:r>
    </w:p>
    <w:p w14:paraId="1A492E70" w14:textId="77777777" w:rsidR="00572BA3" w:rsidRPr="00726D45" w:rsidRDefault="00572BA3">
      <w:pPr>
        <w:numPr>
          <w:ilvl w:val="0"/>
          <w:numId w:val="136"/>
        </w:numPr>
        <w:tabs>
          <w:tab w:val="left" w:pos="1500"/>
        </w:tabs>
        <w:spacing w:line="0" w:lineRule="atLeast"/>
        <w:ind w:left="1560" w:hanging="426"/>
        <w:jc w:val="both"/>
        <w:rPr>
          <w:rFonts w:eastAsia="Times New Roman"/>
        </w:rPr>
      </w:pPr>
      <w:r w:rsidRPr="00726D45">
        <w:rPr>
          <w:rFonts w:eastAsia="Times New Roman"/>
        </w:rPr>
        <w:t>uzyskaniu przez URD odpowiednich koncesji – jeżeli jest taki wymóg prawny,</w:t>
      </w:r>
    </w:p>
    <w:p w14:paraId="04873DEE" w14:textId="77777777" w:rsidR="00572BA3" w:rsidRPr="00726D45" w:rsidRDefault="00572BA3">
      <w:pPr>
        <w:numPr>
          <w:ilvl w:val="0"/>
          <w:numId w:val="136"/>
        </w:numPr>
        <w:tabs>
          <w:tab w:val="left" w:pos="1500"/>
        </w:tabs>
        <w:spacing w:line="0" w:lineRule="atLeast"/>
        <w:ind w:left="1560" w:hanging="426"/>
        <w:jc w:val="both"/>
        <w:rPr>
          <w:rFonts w:eastAsia="Times New Roman"/>
        </w:rPr>
      </w:pPr>
      <w:r w:rsidRPr="00726D45">
        <w:rPr>
          <w:rFonts w:eastAsia="Times New Roman"/>
        </w:rPr>
        <w:t xml:space="preserve">zawarciu przez URD umowy dystrybucji z </w:t>
      </w:r>
      <w:r w:rsidR="004F247B" w:rsidRPr="00726D45">
        <w:rPr>
          <w:rFonts w:eastAsia="Times New Roman"/>
        </w:rPr>
        <w:t>OSDn</w:t>
      </w:r>
      <w:r w:rsidRPr="00726D45">
        <w:rPr>
          <w:rFonts w:eastAsia="Times New Roman"/>
        </w:rPr>
        <w:t>,</w:t>
      </w:r>
    </w:p>
    <w:p w14:paraId="535F92A0" w14:textId="77777777" w:rsidR="00572BA3" w:rsidRPr="00726D45" w:rsidRDefault="00572BA3">
      <w:pPr>
        <w:numPr>
          <w:ilvl w:val="0"/>
          <w:numId w:val="136"/>
        </w:numPr>
        <w:tabs>
          <w:tab w:val="left" w:pos="1500"/>
        </w:tabs>
        <w:spacing w:line="234" w:lineRule="auto"/>
        <w:ind w:left="1560" w:right="-80" w:hanging="426"/>
        <w:jc w:val="both"/>
        <w:rPr>
          <w:rFonts w:eastAsia="Times New Roman"/>
        </w:rPr>
      </w:pPr>
      <w:r w:rsidRPr="00726D45">
        <w:rPr>
          <w:rFonts w:eastAsia="Times New Roman"/>
        </w:rPr>
        <w:t>zawarciu przez URD typu odbiorca (URD</w:t>
      </w:r>
      <w:r w:rsidRPr="00726D45">
        <w:rPr>
          <w:rFonts w:eastAsia="Times New Roman"/>
          <w:sz w:val="16"/>
        </w:rPr>
        <w:t>O</w:t>
      </w:r>
      <w:r w:rsidRPr="00726D45">
        <w:rPr>
          <w:rFonts w:eastAsia="Times New Roman"/>
        </w:rPr>
        <w:t xml:space="preserve">) umowy z wybranym sprzedawcą, posiadającym zawartą GUD z </w:t>
      </w:r>
      <w:r w:rsidR="004F247B" w:rsidRPr="00726D45">
        <w:rPr>
          <w:rFonts w:eastAsia="Times New Roman"/>
        </w:rPr>
        <w:t>OSDn</w:t>
      </w:r>
      <w:r w:rsidRPr="00726D45">
        <w:rPr>
          <w:rFonts w:eastAsia="Times New Roman"/>
        </w:rPr>
        <w:t>,</w:t>
      </w:r>
    </w:p>
    <w:p w14:paraId="1488E2B0" w14:textId="77777777" w:rsidR="00572BA3" w:rsidRDefault="00572BA3">
      <w:pPr>
        <w:numPr>
          <w:ilvl w:val="0"/>
          <w:numId w:val="136"/>
        </w:numPr>
        <w:tabs>
          <w:tab w:val="left" w:pos="1500"/>
        </w:tabs>
        <w:spacing w:line="234" w:lineRule="auto"/>
        <w:ind w:left="1560" w:right="-80" w:hanging="426"/>
        <w:jc w:val="both"/>
        <w:rPr>
          <w:rFonts w:eastAsia="Times New Roman"/>
        </w:rPr>
      </w:pPr>
      <w:r w:rsidRPr="00726D45">
        <w:rPr>
          <w:rFonts w:eastAsia="Times New Roman"/>
        </w:rPr>
        <w:lastRenderedPageBreak/>
        <w:t>wskazaniu przez URD typu wytwórca (URD</w:t>
      </w:r>
      <w:r w:rsidRPr="00726D45">
        <w:rPr>
          <w:rFonts w:eastAsia="Times New Roman"/>
          <w:sz w:val="16"/>
        </w:rPr>
        <w:t>W</w:t>
      </w:r>
      <w:r w:rsidRPr="00726D45">
        <w:rPr>
          <w:rFonts w:eastAsia="Times New Roman"/>
        </w:rPr>
        <w:t xml:space="preserve">) wybranego POB, posiadającego zawartą umowę dystrybucji z </w:t>
      </w:r>
      <w:r w:rsidR="004F247B" w:rsidRPr="00726D45">
        <w:rPr>
          <w:rFonts w:eastAsia="Times New Roman"/>
        </w:rPr>
        <w:t>OSDn</w:t>
      </w:r>
      <w:r w:rsidR="00D945B7">
        <w:rPr>
          <w:rFonts w:eastAsia="Times New Roman"/>
        </w:rPr>
        <w:t>,</w:t>
      </w:r>
    </w:p>
    <w:p w14:paraId="626D3641" w14:textId="1F4D6ED7" w:rsidR="00632B90" w:rsidRPr="00D15DC4" w:rsidRDefault="00632B90">
      <w:pPr>
        <w:numPr>
          <w:ilvl w:val="0"/>
          <w:numId w:val="136"/>
        </w:numPr>
        <w:tabs>
          <w:tab w:val="clear" w:pos="1626"/>
        </w:tabs>
        <w:spacing w:line="0" w:lineRule="atLeast"/>
        <w:ind w:left="1418" w:right="-80" w:hanging="284"/>
        <w:jc w:val="both"/>
        <w:rPr>
          <w:rFonts w:eastAsia="Times New Roman" w:cs="Times New Roman"/>
          <w:b/>
          <w:color w:val="000000"/>
          <w:szCs w:val="24"/>
          <w:u w:val="single"/>
        </w:rPr>
      </w:pPr>
      <w:r w:rsidRPr="00D80DE5">
        <w:rPr>
          <w:rFonts w:cs="Times New Roman"/>
          <w:szCs w:val="24"/>
        </w:rPr>
        <w:t>zawarciu przez URD typu odbiorca (URD</w:t>
      </w:r>
      <w:r w:rsidRPr="00D80DE5">
        <w:rPr>
          <w:rFonts w:cs="Times New Roman"/>
          <w:szCs w:val="24"/>
          <w:vertAlign w:val="subscript"/>
        </w:rPr>
        <w:t>O</w:t>
      </w:r>
      <w:r w:rsidRPr="00D80DE5">
        <w:rPr>
          <w:rFonts w:cs="Times New Roman"/>
          <w:szCs w:val="24"/>
        </w:rPr>
        <w:t xml:space="preserve">), będącego wytwórcą </w:t>
      </w:r>
      <w:r>
        <w:rPr>
          <w:rFonts w:cs="Times New Roman"/>
          <w:szCs w:val="24"/>
        </w:rPr>
        <w:br/>
      </w:r>
      <w:r w:rsidRPr="00D80DE5">
        <w:rPr>
          <w:rFonts w:cs="Times New Roman"/>
          <w:szCs w:val="24"/>
        </w:rPr>
        <w:t xml:space="preserve">w mikroinstalacji (innym niż </w:t>
      </w:r>
      <w:r w:rsidR="00D2720B">
        <w:rPr>
          <w:rFonts w:cs="Times New Roman"/>
          <w:szCs w:val="24"/>
        </w:rPr>
        <w:t>P</w:t>
      </w:r>
      <w:r w:rsidRPr="00D80DE5">
        <w:rPr>
          <w:rFonts w:cs="Times New Roman"/>
          <w:szCs w:val="24"/>
        </w:rPr>
        <w:t>rosument rozliczany na podstawie umowy kompleksowej), umowy dystrybucji z OSDn</w:t>
      </w:r>
      <w:r w:rsidR="00D15DC4">
        <w:rPr>
          <w:rFonts w:cs="Times New Roman"/>
          <w:szCs w:val="24"/>
        </w:rPr>
        <w:t>,</w:t>
      </w:r>
    </w:p>
    <w:p w14:paraId="2057B9B5" w14:textId="4BBC8A91" w:rsidR="00D15DC4" w:rsidRPr="0084753C" w:rsidRDefault="00D15DC4">
      <w:pPr>
        <w:numPr>
          <w:ilvl w:val="0"/>
          <w:numId w:val="136"/>
        </w:numPr>
        <w:tabs>
          <w:tab w:val="clear" w:pos="1626"/>
        </w:tabs>
        <w:spacing w:line="0" w:lineRule="atLeast"/>
        <w:ind w:left="1418" w:right="-80" w:hanging="284"/>
        <w:jc w:val="both"/>
        <w:rPr>
          <w:rFonts w:eastAsia="Times New Roman" w:cs="Times New Roman"/>
          <w:b/>
          <w:color w:val="000000" w:themeColor="text1"/>
          <w:szCs w:val="24"/>
          <w:u w:val="single"/>
        </w:rPr>
      </w:pPr>
      <w:r w:rsidRPr="00D15DC4">
        <w:rPr>
          <w:rFonts w:cs="Times New Roman"/>
          <w:color w:val="000000" w:themeColor="text1"/>
          <w:szCs w:val="24"/>
        </w:rPr>
        <w:t>wskazaniu przez URD</w:t>
      </w:r>
      <w:r w:rsidRPr="00D15DC4">
        <w:rPr>
          <w:rFonts w:cs="Times New Roman"/>
          <w:color w:val="000000" w:themeColor="text1"/>
          <w:szCs w:val="24"/>
          <w:vertAlign w:val="subscript"/>
        </w:rPr>
        <w:t>ME</w:t>
      </w:r>
      <w:r w:rsidRPr="00D15DC4">
        <w:rPr>
          <w:rFonts w:cs="Times New Roman"/>
          <w:color w:val="000000" w:themeColor="text1"/>
          <w:szCs w:val="24"/>
        </w:rPr>
        <w:t xml:space="preserve"> wybranego POB, posiadającego zawartą umowę </w:t>
      </w:r>
      <w:r w:rsidRPr="0084753C">
        <w:rPr>
          <w:rFonts w:cs="Times New Roman"/>
          <w:color w:val="000000" w:themeColor="text1"/>
          <w:szCs w:val="24"/>
        </w:rPr>
        <w:t>dystrybucji z OSDn.</w:t>
      </w:r>
    </w:p>
    <w:p w14:paraId="12C73DEC" w14:textId="77777777" w:rsidR="00572BA3" w:rsidRPr="0084753C" w:rsidRDefault="00572BA3" w:rsidP="007F2914">
      <w:pPr>
        <w:tabs>
          <w:tab w:val="left" w:pos="1120"/>
        </w:tabs>
        <w:spacing w:line="234" w:lineRule="auto"/>
        <w:ind w:left="1140" w:right="-80" w:hanging="1079"/>
        <w:jc w:val="both"/>
        <w:rPr>
          <w:rFonts w:eastAsia="Times New Roman"/>
          <w:szCs w:val="24"/>
        </w:rPr>
      </w:pPr>
      <w:r w:rsidRPr="0084753C">
        <w:rPr>
          <w:rFonts w:eastAsia="Times New Roman"/>
          <w:szCs w:val="24"/>
        </w:rPr>
        <w:t>A.4.3.2.</w:t>
      </w:r>
      <w:r w:rsidRPr="0084753C">
        <w:rPr>
          <w:rFonts w:eastAsia="Times New Roman"/>
          <w:szCs w:val="24"/>
        </w:rPr>
        <w:tab/>
      </w:r>
      <w:r w:rsidR="00F5267A" w:rsidRPr="0084753C">
        <w:rPr>
          <w:rFonts w:eastAsia="Times New Roman"/>
          <w:szCs w:val="24"/>
        </w:rPr>
        <w:t xml:space="preserve">OSDn </w:t>
      </w:r>
      <w:r w:rsidRPr="0084753C">
        <w:rPr>
          <w:rFonts w:eastAsia="Times New Roman"/>
          <w:szCs w:val="24"/>
        </w:rPr>
        <w:t>realizuje umowy kompleksowe zawarte przez URD z wybranym sprzedawcą, z zachowaniem wymagań pkt. A.4.3.7.</w:t>
      </w:r>
    </w:p>
    <w:p w14:paraId="2A00B3A5" w14:textId="77777777" w:rsidR="00C6058D" w:rsidRPr="0084753C" w:rsidRDefault="00572BA3" w:rsidP="00C6058D">
      <w:pPr>
        <w:spacing w:before="120"/>
        <w:ind w:left="1134" w:right="-142" w:hanging="1134"/>
        <w:jc w:val="both"/>
        <w:rPr>
          <w:rFonts w:cs="Times New Roman"/>
          <w:szCs w:val="24"/>
        </w:rPr>
      </w:pPr>
      <w:r w:rsidRPr="0084753C">
        <w:rPr>
          <w:rFonts w:eastAsia="Times New Roman"/>
          <w:szCs w:val="24"/>
        </w:rPr>
        <w:t>A.4.3.3.</w:t>
      </w:r>
      <w:r w:rsidRPr="0084753C">
        <w:rPr>
          <w:rFonts w:eastAsia="Times New Roman"/>
          <w:szCs w:val="24"/>
        </w:rPr>
        <w:tab/>
      </w:r>
      <w:r w:rsidR="00C6058D" w:rsidRPr="0084753C">
        <w:rPr>
          <w:rFonts w:cs="Times New Roman"/>
          <w:szCs w:val="24"/>
        </w:rPr>
        <w:t>Umowa dystrybucji zawarta pomiędzy URD, a OSDn, powinna spełniać wymagania określone w ustawie Prawo energetyczne i zawierać w szczególności następujące elementy:</w:t>
      </w:r>
    </w:p>
    <w:p w14:paraId="77F87936" w14:textId="77777777" w:rsidR="00C6058D" w:rsidRPr="0084753C" w:rsidRDefault="00C6058D" w:rsidP="00C6058D">
      <w:pPr>
        <w:spacing w:before="120"/>
        <w:ind w:left="1276" w:right="-142" w:hanging="142"/>
        <w:jc w:val="both"/>
        <w:rPr>
          <w:rFonts w:cs="Times New Roman"/>
          <w:szCs w:val="24"/>
        </w:rPr>
      </w:pPr>
      <w:r w:rsidRPr="0084753C">
        <w:rPr>
          <w:rFonts w:cs="Times New Roman"/>
          <w:szCs w:val="24"/>
        </w:rPr>
        <w:t>a) oznaczenie sprzedawcy, który posiada zawartą GUD z OSDn - dotyczy URD</w:t>
      </w:r>
      <w:r w:rsidRPr="0084753C">
        <w:rPr>
          <w:rFonts w:cs="Times New Roman"/>
          <w:szCs w:val="24"/>
          <w:vertAlign w:val="subscript"/>
        </w:rPr>
        <w:t>O</w:t>
      </w:r>
      <w:r w:rsidRPr="0084753C">
        <w:rPr>
          <w:rFonts w:cs="Times New Roman"/>
          <w:szCs w:val="24"/>
        </w:rPr>
        <w:t>,</w:t>
      </w:r>
    </w:p>
    <w:p w14:paraId="124EF645" w14:textId="77777777" w:rsidR="00C6058D" w:rsidRPr="0084753C" w:rsidRDefault="00C6058D" w:rsidP="00C6058D">
      <w:pPr>
        <w:spacing w:before="120"/>
        <w:ind w:left="1276" w:right="-142" w:hanging="142"/>
        <w:jc w:val="both"/>
        <w:rPr>
          <w:rFonts w:cs="Times New Roman"/>
          <w:szCs w:val="24"/>
        </w:rPr>
      </w:pPr>
      <w:r w:rsidRPr="0084753C">
        <w:rPr>
          <w:rFonts w:cs="Times New Roman"/>
          <w:szCs w:val="24"/>
        </w:rPr>
        <w:t>b) wskazanie sprzedawcy rezerwowego, który posiada zawartą GUD z OSDn umożliwiającą sprzedaż rezerwową – dotyczy URD</w:t>
      </w:r>
      <w:r w:rsidRPr="0084753C">
        <w:rPr>
          <w:rFonts w:cs="Times New Roman"/>
          <w:szCs w:val="24"/>
          <w:vertAlign w:val="subscript"/>
        </w:rPr>
        <w:t>O</w:t>
      </w:r>
      <w:r w:rsidRPr="0084753C">
        <w:rPr>
          <w:rFonts w:cs="Times New Roman"/>
          <w:szCs w:val="24"/>
        </w:rPr>
        <w:t>,</w:t>
      </w:r>
    </w:p>
    <w:p w14:paraId="7A4A6D09" w14:textId="77777777" w:rsidR="00C6058D" w:rsidRPr="0084753C" w:rsidRDefault="00C6058D" w:rsidP="00C6058D">
      <w:pPr>
        <w:spacing w:before="120"/>
        <w:ind w:left="1276" w:right="-142" w:hanging="142"/>
        <w:jc w:val="both"/>
        <w:rPr>
          <w:rFonts w:cs="Times New Roman"/>
          <w:szCs w:val="24"/>
        </w:rPr>
      </w:pPr>
      <w:r w:rsidRPr="0084753C">
        <w:rPr>
          <w:rFonts w:cs="Times New Roman"/>
          <w:szCs w:val="24"/>
        </w:rPr>
        <w:t>c) określenie, że POB dla URD</w:t>
      </w:r>
      <w:r w:rsidRPr="0084753C">
        <w:rPr>
          <w:rFonts w:cs="Times New Roman"/>
          <w:szCs w:val="24"/>
          <w:vertAlign w:val="subscript"/>
        </w:rPr>
        <w:t>O</w:t>
      </w:r>
      <w:r w:rsidRPr="0084753C">
        <w:rPr>
          <w:rFonts w:cs="Times New Roman"/>
          <w:szCs w:val="24"/>
        </w:rPr>
        <w:t xml:space="preserve"> jest podmiot wskazany przez sprzedawcę w GUD, dla którego OSDn realizuje umowę sprzedaży – dotyczy URD</w:t>
      </w:r>
      <w:r w:rsidRPr="0084753C">
        <w:rPr>
          <w:rFonts w:cs="Times New Roman"/>
          <w:szCs w:val="24"/>
          <w:vertAlign w:val="subscript"/>
        </w:rPr>
        <w:t>O</w:t>
      </w:r>
      <w:r w:rsidRPr="0084753C">
        <w:rPr>
          <w:rFonts w:cs="Times New Roman"/>
          <w:szCs w:val="24"/>
        </w:rPr>
        <w:t>,</w:t>
      </w:r>
    </w:p>
    <w:p w14:paraId="1445E669" w14:textId="77777777" w:rsidR="00C6058D" w:rsidRPr="0084753C" w:rsidRDefault="00C6058D" w:rsidP="00C6058D">
      <w:pPr>
        <w:spacing w:before="120"/>
        <w:ind w:left="1276" w:right="-142" w:hanging="142"/>
        <w:jc w:val="both"/>
        <w:rPr>
          <w:rFonts w:cs="Times New Roman"/>
          <w:szCs w:val="24"/>
        </w:rPr>
      </w:pPr>
      <w:r w:rsidRPr="0084753C">
        <w:rPr>
          <w:rFonts w:cs="Times New Roman"/>
          <w:szCs w:val="24"/>
        </w:rPr>
        <w:t>d) określenie POB i zasad jego zmiany – dotyczy URD</w:t>
      </w:r>
      <w:r w:rsidRPr="0084753C">
        <w:rPr>
          <w:rFonts w:cs="Times New Roman"/>
          <w:szCs w:val="24"/>
          <w:vertAlign w:val="subscript"/>
        </w:rPr>
        <w:t>W</w:t>
      </w:r>
      <w:r w:rsidRPr="0084753C">
        <w:rPr>
          <w:rFonts w:cs="Times New Roman"/>
          <w:szCs w:val="24"/>
        </w:rPr>
        <w:t xml:space="preserve"> oraz URD</w:t>
      </w:r>
      <w:r w:rsidRPr="0084753C">
        <w:rPr>
          <w:rFonts w:cs="Times New Roman"/>
          <w:szCs w:val="24"/>
          <w:vertAlign w:val="subscript"/>
        </w:rPr>
        <w:t>ME</w:t>
      </w:r>
      <w:r w:rsidRPr="0084753C">
        <w:rPr>
          <w:rFonts w:cs="Times New Roman"/>
          <w:szCs w:val="24"/>
        </w:rPr>
        <w:t>,</w:t>
      </w:r>
    </w:p>
    <w:p w14:paraId="58A51299" w14:textId="77777777" w:rsidR="00C6058D" w:rsidRPr="0084753C" w:rsidRDefault="00C6058D" w:rsidP="00C6058D">
      <w:pPr>
        <w:spacing w:before="120"/>
        <w:ind w:left="1276" w:right="-142" w:hanging="142"/>
        <w:jc w:val="both"/>
        <w:rPr>
          <w:rFonts w:cs="Times New Roman"/>
          <w:szCs w:val="24"/>
          <w:vertAlign w:val="subscript"/>
        </w:rPr>
      </w:pPr>
      <w:r w:rsidRPr="0084753C">
        <w:rPr>
          <w:rFonts w:cs="Times New Roman"/>
          <w:szCs w:val="24"/>
        </w:rPr>
        <w:t xml:space="preserve">e) sposób i zasady rozliczeń z tytułu niezbilansowania dostaw energii elektrycznej, </w:t>
      </w:r>
      <w:r w:rsidRPr="0084753C">
        <w:rPr>
          <w:rFonts w:cs="Times New Roman"/>
          <w:szCs w:val="24"/>
        </w:rPr>
        <w:br/>
        <w:t>w przypadku utraty POB – dotyczy URD</w:t>
      </w:r>
      <w:r w:rsidRPr="0084753C">
        <w:rPr>
          <w:rFonts w:cs="Times New Roman"/>
          <w:szCs w:val="24"/>
          <w:vertAlign w:val="subscript"/>
        </w:rPr>
        <w:t>W</w:t>
      </w:r>
      <w:r w:rsidRPr="0084753C">
        <w:rPr>
          <w:rFonts w:cs="Times New Roman"/>
          <w:szCs w:val="24"/>
        </w:rPr>
        <w:t xml:space="preserve"> oraz URD</w:t>
      </w:r>
      <w:r w:rsidRPr="0084753C">
        <w:rPr>
          <w:rFonts w:cs="Times New Roman"/>
          <w:szCs w:val="24"/>
          <w:vertAlign w:val="subscript"/>
        </w:rPr>
        <w:t>ME.</w:t>
      </w:r>
    </w:p>
    <w:p w14:paraId="4FC76A39" w14:textId="11C685E6" w:rsidR="00C6058D" w:rsidRPr="0084753C" w:rsidRDefault="00C6058D" w:rsidP="00FF5428">
      <w:pPr>
        <w:spacing w:before="120"/>
        <w:ind w:left="1134" w:right="-80"/>
        <w:jc w:val="both"/>
        <w:rPr>
          <w:rFonts w:cs="Times New Roman"/>
          <w:szCs w:val="24"/>
        </w:rPr>
      </w:pPr>
      <w:r w:rsidRPr="0084753C">
        <w:rPr>
          <w:rFonts w:cs="Times New Roman"/>
          <w:szCs w:val="24"/>
        </w:rPr>
        <w:t xml:space="preserve">Oznaczenie sprzedawcy i sprzedawcy rezerwowego, o których mowa w lit. a) i b), może być realizowane poprzez określenie tych sprzedawców w powiadomieniu OSDn o zawartej umowie sprzedaży, które zostało przyjęte do realizacji zgodnie </w:t>
      </w:r>
      <w:r w:rsidR="00FF5428">
        <w:rPr>
          <w:rFonts w:cs="Times New Roman"/>
          <w:szCs w:val="24"/>
        </w:rPr>
        <w:br/>
      </w:r>
      <w:r w:rsidRPr="0084753C">
        <w:rPr>
          <w:rFonts w:cs="Times New Roman"/>
          <w:szCs w:val="24"/>
        </w:rPr>
        <w:t>z IRiESD-Bilansowanie.</w:t>
      </w:r>
    </w:p>
    <w:p w14:paraId="020C128A" w14:textId="3042E31A" w:rsidR="00572BA3" w:rsidRDefault="00572BA3" w:rsidP="00C6058D">
      <w:pPr>
        <w:tabs>
          <w:tab w:val="left" w:pos="1120"/>
        </w:tabs>
        <w:spacing w:line="235" w:lineRule="auto"/>
        <w:ind w:left="1140" w:hanging="1079"/>
        <w:jc w:val="both"/>
        <w:rPr>
          <w:rFonts w:eastAsia="Times New Roman"/>
        </w:rPr>
      </w:pPr>
    </w:p>
    <w:p w14:paraId="242FF50D" w14:textId="77777777" w:rsidR="00572BA3" w:rsidRPr="00726D45" w:rsidRDefault="00572BA3" w:rsidP="008401E5">
      <w:pPr>
        <w:tabs>
          <w:tab w:val="left" w:pos="1120"/>
        </w:tabs>
        <w:spacing w:line="236" w:lineRule="auto"/>
        <w:ind w:left="1140" w:hanging="1079"/>
        <w:jc w:val="both"/>
        <w:rPr>
          <w:rFonts w:eastAsia="Times New Roman"/>
        </w:rPr>
      </w:pPr>
      <w:r>
        <w:rPr>
          <w:rFonts w:eastAsia="Times New Roman"/>
        </w:rPr>
        <w:t>A.4.3.4.</w:t>
      </w:r>
      <w:r>
        <w:rPr>
          <w:rFonts w:eastAsia="Times New Roman"/>
        </w:rPr>
        <w:tab/>
        <w:t xml:space="preserve">Umowa kompleksowa zawarta przez URD w zakresie zapisów dotyczących świadczenia usług dystrybucji, powinna </w:t>
      </w:r>
      <w:r w:rsidRPr="00726D45">
        <w:rPr>
          <w:rFonts w:eastAsia="Times New Roman"/>
        </w:rPr>
        <w:t>spełniać wymagania określone w ustawie Prawo energetyczne oraz w umowie, o której mowa w pkt. A.4.3.7.</w:t>
      </w:r>
    </w:p>
    <w:p w14:paraId="5ED8C10D" w14:textId="6F60A6C3" w:rsidR="00572BA3" w:rsidRDefault="00572BA3" w:rsidP="008401E5">
      <w:pPr>
        <w:tabs>
          <w:tab w:val="left" w:pos="1120"/>
        </w:tabs>
        <w:spacing w:line="238" w:lineRule="auto"/>
        <w:ind w:left="1140" w:hanging="1079"/>
        <w:jc w:val="both"/>
        <w:rPr>
          <w:rFonts w:eastAsia="Times New Roman"/>
        </w:rPr>
      </w:pPr>
      <w:r w:rsidRPr="00726D45">
        <w:rPr>
          <w:rFonts w:eastAsia="Times New Roman"/>
        </w:rPr>
        <w:t>A.4.3.5.</w:t>
      </w:r>
      <w:r w:rsidRPr="00726D45">
        <w:rPr>
          <w:rFonts w:eastAsia="Times New Roman"/>
        </w:rPr>
        <w:tab/>
        <w:t xml:space="preserve">Podmiot posiadający: zawartą umowę przesyłową z OSP, przydzielone </w:t>
      </w:r>
      <w:r w:rsidR="00A617FA" w:rsidRPr="00726D45">
        <w:rPr>
          <w:rFonts w:eastAsia="Times New Roman"/>
        </w:rPr>
        <w:br/>
      </w:r>
      <w:r w:rsidRPr="00726D45">
        <w:rPr>
          <w:rFonts w:eastAsia="Times New Roman"/>
        </w:rPr>
        <w:t>i uaktywnione przez OSP MB na obszarze działania</w:t>
      </w:r>
      <w:r w:rsidR="00A617FA" w:rsidRPr="00726D45">
        <w:rPr>
          <w:rFonts w:eastAsia="Times New Roman"/>
        </w:rPr>
        <w:t xml:space="preserve"> OSDn</w:t>
      </w:r>
      <w:r w:rsidRPr="00726D45">
        <w:rPr>
          <w:rFonts w:eastAsia="Times New Roman"/>
        </w:rPr>
        <w:t>, zawartą</w:t>
      </w:r>
      <w:r>
        <w:rPr>
          <w:rFonts w:eastAsia="Times New Roman"/>
        </w:rPr>
        <w:t xml:space="preserve"> umowę </w:t>
      </w:r>
      <w:r w:rsidR="00A617FA">
        <w:rPr>
          <w:rFonts w:eastAsia="Times New Roman"/>
        </w:rPr>
        <w:br/>
      </w:r>
      <w:r>
        <w:rPr>
          <w:rFonts w:eastAsia="Times New Roman"/>
        </w:rPr>
        <w:t xml:space="preserve">o świadczenie usług dystrybucji z </w:t>
      </w:r>
      <w:r w:rsidR="00A617FA">
        <w:rPr>
          <w:rFonts w:eastAsia="Times New Roman"/>
        </w:rPr>
        <w:t>OSDn</w:t>
      </w:r>
      <w:r>
        <w:rPr>
          <w:rFonts w:eastAsia="Times New Roman"/>
        </w:rPr>
        <w:t xml:space="preserve"> oraz spełniający procedury i warunki zawarte w IRiESD, może pełnić funkcję POB. Umowa </w:t>
      </w:r>
      <w:r w:rsidR="003372BE">
        <w:rPr>
          <w:rFonts w:eastAsia="Times New Roman"/>
        </w:rPr>
        <w:t xml:space="preserve">o świadczenie usług </w:t>
      </w:r>
      <w:r>
        <w:rPr>
          <w:rFonts w:eastAsia="Times New Roman"/>
        </w:rPr>
        <w:t xml:space="preserve">dystrybucji zawierana przez </w:t>
      </w:r>
      <w:r w:rsidR="00A617FA">
        <w:rPr>
          <w:rFonts w:eastAsia="Times New Roman"/>
        </w:rPr>
        <w:t>OSDn</w:t>
      </w:r>
      <w:r>
        <w:rPr>
          <w:rFonts w:eastAsia="Times New Roman"/>
        </w:rPr>
        <w:t xml:space="preserve"> z POB powinna spełniać wymagania określone w ustawie Prawo energetyczne oraz zawierać w szczególności następujące elementy:</w:t>
      </w:r>
    </w:p>
    <w:p w14:paraId="3C72EB96" w14:textId="77777777" w:rsidR="00572BA3" w:rsidRDefault="00572BA3">
      <w:pPr>
        <w:numPr>
          <w:ilvl w:val="0"/>
          <w:numId w:val="137"/>
        </w:numPr>
        <w:tabs>
          <w:tab w:val="clear" w:pos="1626"/>
        </w:tabs>
        <w:spacing w:line="234" w:lineRule="auto"/>
        <w:ind w:left="1418" w:hanging="284"/>
        <w:jc w:val="both"/>
        <w:rPr>
          <w:rFonts w:eastAsia="Times New Roman"/>
        </w:rPr>
      </w:pPr>
      <w:r>
        <w:rPr>
          <w:rFonts w:eastAsia="Times New Roman"/>
        </w:rPr>
        <w:t>oświadczenie POB o zawarciu umowy przesyłowej z OSP umożliwiającej prowadzenie działalności na rynku bilansującym,</w:t>
      </w:r>
    </w:p>
    <w:p w14:paraId="1FC4A77F" w14:textId="77777777" w:rsidR="00572BA3" w:rsidRDefault="00572BA3">
      <w:pPr>
        <w:numPr>
          <w:ilvl w:val="0"/>
          <w:numId w:val="137"/>
        </w:numPr>
        <w:tabs>
          <w:tab w:val="clear" w:pos="1626"/>
        </w:tabs>
        <w:spacing w:line="0" w:lineRule="atLeast"/>
        <w:ind w:left="1418" w:hanging="284"/>
        <w:jc w:val="both"/>
        <w:rPr>
          <w:rFonts w:eastAsia="Times New Roman"/>
        </w:rPr>
      </w:pPr>
      <w:r>
        <w:rPr>
          <w:rFonts w:eastAsia="Times New Roman"/>
        </w:rPr>
        <w:t>kod identyfikacyjny podmiotu na rynku bilansującym,</w:t>
      </w:r>
    </w:p>
    <w:p w14:paraId="565A69FC" w14:textId="77777777" w:rsidR="00572BA3" w:rsidRDefault="00572BA3">
      <w:pPr>
        <w:numPr>
          <w:ilvl w:val="0"/>
          <w:numId w:val="137"/>
        </w:numPr>
        <w:tabs>
          <w:tab w:val="clear" w:pos="1626"/>
        </w:tabs>
        <w:spacing w:line="234" w:lineRule="auto"/>
        <w:ind w:left="1418" w:hanging="284"/>
        <w:jc w:val="both"/>
        <w:rPr>
          <w:rFonts w:eastAsia="Times New Roman"/>
        </w:rPr>
      </w:pPr>
      <w:r>
        <w:rPr>
          <w:rFonts w:eastAsia="Times New Roman"/>
        </w:rPr>
        <w:t xml:space="preserve">dane o posiadanych przez podmiot koncesjach, związanych z działalnością </w:t>
      </w:r>
      <w:r w:rsidR="00610FDA">
        <w:rPr>
          <w:rFonts w:eastAsia="Times New Roman"/>
        </w:rPr>
        <w:br/>
      </w:r>
      <w:r>
        <w:rPr>
          <w:rFonts w:eastAsia="Times New Roman"/>
        </w:rPr>
        <w:t>w elektroenergetyce – jeżeli jest taki wymóg prawny,</w:t>
      </w:r>
    </w:p>
    <w:p w14:paraId="65A0C0E3" w14:textId="77777777" w:rsidR="00572BA3" w:rsidRDefault="00572BA3">
      <w:pPr>
        <w:numPr>
          <w:ilvl w:val="0"/>
          <w:numId w:val="137"/>
        </w:numPr>
        <w:tabs>
          <w:tab w:val="clear" w:pos="1626"/>
        </w:tabs>
        <w:spacing w:line="234" w:lineRule="auto"/>
        <w:ind w:left="1418" w:hanging="284"/>
        <w:jc w:val="both"/>
        <w:rPr>
          <w:rFonts w:eastAsia="Times New Roman"/>
        </w:rPr>
      </w:pPr>
      <w:r>
        <w:rPr>
          <w:rFonts w:eastAsia="Times New Roman"/>
        </w:rPr>
        <w:t xml:space="preserve">osoby upoważnione do kontaktu z </w:t>
      </w:r>
      <w:r w:rsidR="00610FDA">
        <w:rPr>
          <w:rFonts w:eastAsia="Times New Roman"/>
        </w:rPr>
        <w:t xml:space="preserve">OSDn </w:t>
      </w:r>
      <w:r>
        <w:rPr>
          <w:rFonts w:eastAsia="Times New Roman"/>
        </w:rPr>
        <w:t>oraz POB, a także ich dane</w:t>
      </w:r>
      <w:r w:rsidR="00610FDA">
        <w:rPr>
          <w:rFonts w:eastAsia="Times New Roman"/>
        </w:rPr>
        <w:t xml:space="preserve"> </w:t>
      </w:r>
      <w:r>
        <w:rPr>
          <w:rFonts w:eastAsia="Times New Roman"/>
        </w:rPr>
        <w:t>teleadresowe,</w:t>
      </w:r>
    </w:p>
    <w:p w14:paraId="6314A439" w14:textId="77777777" w:rsidR="00572BA3" w:rsidRDefault="00572BA3">
      <w:pPr>
        <w:numPr>
          <w:ilvl w:val="0"/>
          <w:numId w:val="137"/>
        </w:numPr>
        <w:tabs>
          <w:tab w:val="clear" w:pos="1626"/>
        </w:tabs>
        <w:spacing w:line="234" w:lineRule="auto"/>
        <w:ind w:left="1418" w:hanging="284"/>
        <w:jc w:val="both"/>
        <w:rPr>
          <w:rFonts w:eastAsia="Times New Roman"/>
        </w:rPr>
      </w:pPr>
      <w:r>
        <w:rPr>
          <w:rFonts w:eastAsia="Times New Roman"/>
        </w:rPr>
        <w:t xml:space="preserve">warunki przejmowania odpowiedzialności za bilansowanie handlowe na rynku bilansującym, podmiotów działających na obszarze </w:t>
      </w:r>
      <w:r w:rsidR="00610FDA">
        <w:rPr>
          <w:rFonts w:eastAsia="Times New Roman"/>
        </w:rPr>
        <w:t>OSDn</w:t>
      </w:r>
      <w:r>
        <w:rPr>
          <w:rFonts w:eastAsia="Times New Roman"/>
        </w:rPr>
        <w:t>,</w:t>
      </w:r>
    </w:p>
    <w:p w14:paraId="29ECFDCB" w14:textId="77777777" w:rsidR="00572BA3" w:rsidRDefault="00572BA3">
      <w:pPr>
        <w:numPr>
          <w:ilvl w:val="0"/>
          <w:numId w:val="137"/>
        </w:numPr>
        <w:tabs>
          <w:tab w:val="clear" w:pos="1626"/>
        </w:tabs>
        <w:spacing w:line="234" w:lineRule="auto"/>
        <w:ind w:left="1418" w:hanging="284"/>
        <w:jc w:val="both"/>
        <w:rPr>
          <w:rFonts w:eastAsia="Times New Roman"/>
        </w:rPr>
      </w:pPr>
      <w:r>
        <w:rPr>
          <w:rFonts w:eastAsia="Times New Roman"/>
        </w:rPr>
        <w:t>wykaz Miejsc Dostarczania Energii Rynku Bilansującego (MB), za których bilansowanie handlowe odpowiada POB,</w:t>
      </w:r>
    </w:p>
    <w:p w14:paraId="50B569F3" w14:textId="77777777" w:rsidR="00A30708" w:rsidRPr="00A30708" w:rsidRDefault="00A30708">
      <w:pPr>
        <w:pStyle w:val="Akapitzlist"/>
        <w:numPr>
          <w:ilvl w:val="0"/>
          <w:numId w:val="137"/>
        </w:numPr>
        <w:tabs>
          <w:tab w:val="left" w:pos="1843"/>
          <w:tab w:val="left" w:pos="2410"/>
        </w:tabs>
        <w:spacing w:before="120"/>
        <w:ind w:left="1418" w:right="62" w:hanging="284"/>
        <w:jc w:val="both"/>
        <w:rPr>
          <w:rFonts w:cs="Times New Roman"/>
          <w:szCs w:val="24"/>
        </w:rPr>
      </w:pPr>
      <w:r w:rsidRPr="00A30708">
        <w:rPr>
          <w:rFonts w:cs="Times New Roman"/>
          <w:szCs w:val="24"/>
        </w:rPr>
        <w:lastRenderedPageBreak/>
        <w:t>wykaz sprzedawców, URD</w:t>
      </w:r>
      <w:r w:rsidRPr="00A30708">
        <w:rPr>
          <w:rFonts w:cs="Times New Roman"/>
          <w:szCs w:val="24"/>
          <w:vertAlign w:val="subscript"/>
        </w:rPr>
        <w:t>W</w:t>
      </w:r>
      <w:r w:rsidRPr="00A30708">
        <w:rPr>
          <w:rFonts w:cs="Times New Roman"/>
          <w:szCs w:val="24"/>
        </w:rPr>
        <w:t xml:space="preserve"> i URD</w:t>
      </w:r>
      <w:r w:rsidRPr="00A30708">
        <w:rPr>
          <w:rFonts w:cs="Times New Roman"/>
          <w:szCs w:val="24"/>
          <w:vertAlign w:val="subscript"/>
        </w:rPr>
        <w:t>ME</w:t>
      </w:r>
      <w:r w:rsidRPr="00A30708">
        <w:rPr>
          <w:rFonts w:cs="Times New Roman"/>
          <w:szCs w:val="24"/>
        </w:rPr>
        <w:t>, dla których POB prowadzi bilansowanie handlowe,</w:t>
      </w:r>
    </w:p>
    <w:p w14:paraId="5AAE7268" w14:textId="0B4C0B18" w:rsidR="00A30708" w:rsidRPr="00A30708" w:rsidRDefault="00A30708">
      <w:pPr>
        <w:pStyle w:val="Akapitzlist"/>
        <w:numPr>
          <w:ilvl w:val="0"/>
          <w:numId w:val="137"/>
        </w:numPr>
        <w:tabs>
          <w:tab w:val="left" w:pos="1843"/>
        </w:tabs>
        <w:spacing w:before="120"/>
        <w:ind w:left="1418" w:right="62" w:hanging="284"/>
        <w:jc w:val="both"/>
        <w:rPr>
          <w:rFonts w:cs="Times New Roman"/>
          <w:szCs w:val="24"/>
        </w:rPr>
      </w:pPr>
      <w:r w:rsidRPr="00A30708">
        <w:rPr>
          <w:rFonts w:cs="Times New Roman"/>
          <w:szCs w:val="24"/>
        </w:rPr>
        <w:t>zobowiązanie POB do niezwłocznego informowania o zaprzestaniu bilansowania handlowego sprzedawcy lub URD</w:t>
      </w:r>
      <w:r w:rsidRPr="00A30708">
        <w:rPr>
          <w:rFonts w:cs="Times New Roman"/>
          <w:szCs w:val="24"/>
          <w:vertAlign w:val="subscript"/>
        </w:rPr>
        <w:t>W</w:t>
      </w:r>
      <w:r w:rsidRPr="00A30708">
        <w:rPr>
          <w:rFonts w:cs="Times New Roman"/>
          <w:szCs w:val="24"/>
        </w:rPr>
        <w:t xml:space="preserve"> lub URD</w:t>
      </w:r>
      <w:r w:rsidRPr="00A30708">
        <w:rPr>
          <w:rFonts w:cs="Times New Roman"/>
          <w:szCs w:val="24"/>
          <w:vertAlign w:val="subscript"/>
        </w:rPr>
        <w:t>ME</w:t>
      </w:r>
      <w:r w:rsidRPr="00A30708">
        <w:rPr>
          <w:rFonts w:cs="Times New Roman"/>
          <w:szCs w:val="24"/>
        </w:rPr>
        <w:t xml:space="preserve"> lub o zawieszeniu albo zaprzestaniu prowadzenia działalności na RB w rozumieniu WDB,</w:t>
      </w:r>
    </w:p>
    <w:p w14:paraId="1C3D6488" w14:textId="49BBD8B6" w:rsidR="00572BA3" w:rsidRDefault="00572BA3">
      <w:pPr>
        <w:numPr>
          <w:ilvl w:val="0"/>
          <w:numId w:val="137"/>
        </w:numPr>
        <w:tabs>
          <w:tab w:val="clear" w:pos="1626"/>
        </w:tabs>
        <w:spacing w:line="236" w:lineRule="auto"/>
        <w:ind w:left="1418" w:hanging="284"/>
        <w:jc w:val="both"/>
        <w:rPr>
          <w:rFonts w:eastAsia="Times New Roman"/>
        </w:rPr>
      </w:pPr>
      <w:r w:rsidRPr="00A30708">
        <w:rPr>
          <w:rFonts w:eastAsia="Times New Roman"/>
          <w:szCs w:val="24"/>
        </w:rPr>
        <w:t xml:space="preserve">zasady rozwiązania </w:t>
      </w:r>
      <w:r>
        <w:rPr>
          <w:rFonts w:eastAsia="Times New Roman"/>
        </w:rPr>
        <w:t xml:space="preserve">umowy lub wprowadzania ograniczeń w jej wykonywaniu </w:t>
      </w:r>
      <w:r w:rsidR="00A43EED">
        <w:rPr>
          <w:rFonts w:eastAsia="Times New Roman"/>
        </w:rPr>
        <w:br/>
      </w:r>
      <w:r>
        <w:rPr>
          <w:rFonts w:eastAsia="Times New Roman"/>
        </w:rPr>
        <w:t>w przypadku</w:t>
      </w:r>
      <w:r w:rsidR="00955C68">
        <w:rPr>
          <w:rFonts w:eastAsia="Times New Roman"/>
        </w:rPr>
        <w:t>,</w:t>
      </w:r>
      <w:r>
        <w:rPr>
          <w:rFonts w:eastAsia="Times New Roman"/>
        </w:rPr>
        <w:t xml:space="preserve"> gdy niezależnie od przyczyny, POB zaprzestanie lub zawiesi działalność na RB w rozumieniu </w:t>
      </w:r>
      <w:r w:rsidR="005002EF">
        <w:rPr>
          <w:rFonts w:eastAsia="Times New Roman"/>
        </w:rPr>
        <w:t>WDB</w:t>
      </w:r>
      <w:r>
        <w:rPr>
          <w:rFonts w:eastAsia="Times New Roman"/>
        </w:rPr>
        <w:t>,</w:t>
      </w:r>
    </w:p>
    <w:p w14:paraId="7A4670D2" w14:textId="77777777" w:rsidR="00572BA3" w:rsidRDefault="00572BA3">
      <w:pPr>
        <w:numPr>
          <w:ilvl w:val="0"/>
          <w:numId w:val="137"/>
        </w:numPr>
        <w:tabs>
          <w:tab w:val="clear" w:pos="1626"/>
        </w:tabs>
        <w:spacing w:line="234" w:lineRule="auto"/>
        <w:ind w:left="1418" w:hanging="284"/>
        <w:jc w:val="both"/>
        <w:rPr>
          <w:rFonts w:eastAsia="Times New Roman"/>
        </w:rPr>
      </w:pPr>
      <w:r>
        <w:rPr>
          <w:rFonts w:eastAsia="Times New Roman"/>
        </w:rPr>
        <w:t xml:space="preserve">zasady przekazywania przez </w:t>
      </w:r>
      <w:r w:rsidR="00610FDA">
        <w:rPr>
          <w:rFonts w:eastAsia="Times New Roman"/>
        </w:rPr>
        <w:t>OSDn</w:t>
      </w:r>
      <w:r>
        <w:rPr>
          <w:rFonts w:eastAsia="Times New Roman"/>
        </w:rPr>
        <w:t xml:space="preserve"> na MB przyporządkowane temu POB, zagregowanych danych pomiarowych z obszaru </w:t>
      </w:r>
      <w:r w:rsidR="00A7513E">
        <w:rPr>
          <w:rFonts w:eastAsia="Times New Roman"/>
        </w:rPr>
        <w:t>OSDn.</w:t>
      </w:r>
    </w:p>
    <w:p w14:paraId="7B632A10" w14:textId="77777777" w:rsidR="00572BA3" w:rsidRDefault="00572BA3" w:rsidP="00A7513E">
      <w:pPr>
        <w:spacing w:line="13" w:lineRule="exact"/>
        <w:ind w:left="1418" w:hanging="284"/>
        <w:jc w:val="both"/>
        <w:rPr>
          <w:rFonts w:eastAsia="Times New Roman"/>
        </w:rPr>
      </w:pPr>
    </w:p>
    <w:p w14:paraId="265198BB" w14:textId="77777777" w:rsidR="00572BA3" w:rsidRDefault="00572BA3">
      <w:pPr>
        <w:spacing w:line="200" w:lineRule="exact"/>
        <w:rPr>
          <w:rFonts w:eastAsia="Times New Roman"/>
        </w:rPr>
      </w:pPr>
    </w:p>
    <w:p w14:paraId="6CBFD727" w14:textId="77777777" w:rsidR="00353339" w:rsidRPr="00353339" w:rsidRDefault="00353339" w:rsidP="00A43EED">
      <w:pPr>
        <w:spacing w:before="120"/>
        <w:ind w:left="1134" w:right="62"/>
        <w:jc w:val="both"/>
        <w:rPr>
          <w:rFonts w:cs="Times New Roman"/>
          <w:szCs w:val="24"/>
        </w:rPr>
      </w:pPr>
      <w:r w:rsidRPr="00353339">
        <w:rPr>
          <w:rFonts w:cs="Times New Roman"/>
          <w:szCs w:val="24"/>
        </w:rPr>
        <w:t>Jednocześnie w ramach ww. umowy, POB prowadzi bilansowanie handlowe sprzedawców, URD</w:t>
      </w:r>
      <w:r w:rsidRPr="00353339">
        <w:rPr>
          <w:rFonts w:cs="Times New Roman"/>
          <w:szCs w:val="24"/>
          <w:vertAlign w:val="subscript"/>
        </w:rPr>
        <w:t>W</w:t>
      </w:r>
      <w:r w:rsidRPr="00353339">
        <w:rPr>
          <w:rFonts w:cs="Times New Roman"/>
          <w:szCs w:val="24"/>
        </w:rPr>
        <w:t xml:space="preserve"> i URD</w:t>
      </w:r>
      <w:r w:rsidRPr="00353339">
        <w:rPr>
          <w:rFonts w:cs="Times New Roman"/>
          <w:szCs w:val="24"/>
          <w:vertAlign w:val="subscript"/>
        </w:rPr>
        <w:t>ME</w:t>
      </w:r>
      <w:r w:rsidRPr="00353339">
        <w:rPr>
          <w:rFonts w:cs="Times New Roman"/>
          <w:szCs w:val="24"/>
        </w:rPr>
        <w:t xml:space="preserve"> przyłączonych do sieci OSDn, dla których POB świadczy usługi bilansowania handlowego z obszaru OSDn.</w:t>
      </w:r>
    </w:p>
    <w:p w14:paraId="43DEEA31" w14:textId="77777777" w:rsidR="00572BA3" w:rsidRDefault="00572BA3" w:rsidP="005C6B5F">
      <w:pPr>
        <w:tabs>
          <w:tab w:val="left" w:pos="1120"/>
        </w:tabs>
        <w:spacing w:line="239" w:lineRule="auto"/>
        <w:ind w:left="1140" w:hanging="1079"/>
        <w:jc w:val="both"/>
        <w:rPr>
          <w:rFonts w:eastAsia="Times New Roman"/>
        </w:rPr>
      </w:pPr>
      <w:r>
        <w:rPr>
          <w:rFonts w:eastAsia="Times New Roman"/>
        </w:rPr>
        <w:t>A.4.3.6.</w:t>
      </w:r>
      <w:r>
        <w:rPr>
          <w:rFonts w:eastAsia="Times New Roman"/>
        </w:rPr>
        <w:tab/>
        <w:t xml:space="preserve">Podmiot zamierzający sprzedawać energię elektryczną URD na obszarze działania </w:t>
      </w:r>
      <w:r w:rsidR="005C6B5F">
        <w:rPr>
          <w:rFonts w:eastAsia="Times New Roman"/>
        </w:rPr>
        <w:t>OSDn</w:t>
      </w:r>
      <w:r>
        <w:rPr>
          <w:rFonts w:eastAsia="Times New Roman"/>
        </w:rPr>
        <w:t xml:space="preserve"> zawiera z </w:t>
      </w:r>
      <w:r w:rsidR="005C6B5F">
        <w:rPr>
          <w:rFonts w:eastAsia="Times New Roman"/>
        </w:rPr>
        <w:t>OSDn</w:t>
      </w:r>
      <w:r>
        <w:rPr>
          <w:rFonts w:eastAsia="Times New Roman"/>
        </w:rPr>
        <w:t xml:space="preserve"> jedną GUD, na podstawie</w:t>
      </w:r>
      <w:r w:rsidR="008011C0">
        <w:rPr>
          <w:rFonts w:eastAsia="Times New Roman"/>
        </w:rPr>
        <w:t>,</w:t>
      </w:r>
      <w:r>
        <w:rPr>
          <w:rFonts w:eastAsia="Times New Roman"/>
        </w:rPr>
        <w:t xml:space="preserve"> której może pełnić funkcję sprzedawcy. Podmiot ten może pełnić również funkcję sprzedawcy rezerwowego po określeniu tego faktu w GUD i złożeniu przez tego sprzedawcę do </w:t>
      </w:r>
      <w:r w:rsidR="005C6B5F">
        <w:rPr>
          <w:rFonts w:eastAsia="Times New Roman"/>
        </w:rPr>
        <w:t>OSDn</w:t>
      </w:r>
      <w:r>
        <w:rPr>
          <w:rFonts w:eastAsia="Times New Roman"/>
        </w:rPr>
        <w:t xml:space="preserve"> oferty sprzedaży rezerwowej. Podmiot ten może wyrazić wol</w:t>
      </w:r>
      <w:r w:rsidR="00D669FD">
        <w:rPr>
          <w:rFonts w:eastAsia="Times New Roman"/>
        </w:rPr>
        <w:t>ę</w:t>
      </w:r>
      <w:r>
        <w:rPr>
          <w:rFonts w:eastAsia="Times New Roman"/>
        </w:rPr>
        <w:t xml:space="preserve"> pełnienia funkcji sprzedawcy rezerwowego na warunkach określonych w GUD. GUD reguluje kompleksowo stosunki pomiędzy podmiotem jako Sprzedawcą a </w:t>
      </w:r>
      <w:r w:rsidR="005C6B5F">
        <w:rPr>
          <w:rFonts w:eastAsia="Times New Roman"/>
        </w:rPr>
        <w:t>OSDn</w:t>
      </w:r>
      <w:r>
        <w:rPr>
          <w:rFonts w:eastAsia="Times New Roman"/>
        </w:rPr>
        <w:t xml:space="preserve"> oraz określa warunki realizacji umów sprzedaży energii elektrycznej dla wszystkich URD przyłączonych do sieci dystrybucyjnej </w:t>
      </w:r>
      <w:r w:rsidR="005C6B5F">
        <w:rPr>
          <w:rFonts w:eastAsia="Times New Roman"/>
        </w:rPr>
        <w:t>OSDn</w:t>
      </w:r>
      <w:r>
        <w:rPr>
          <w:rFonts w:eastAsia="Times New Roman"/>
        </w:rPr>
        <w:t>, którym ten sprzedawca będzie sprzedawać energię elektryczną na podstawie umowy sprzedaży. GUD powinna spełniać wymagania określone w ustawie Prawo energetyczne oraz zawierać co najmniej następujące elementy:</w:t>
      </w:r>
    </w:p>
    <w:p w14:paraId="59CB2434" w14:textId="77777777" w:rsidR="00572BA3" w:rsidRDefault="00572BA3">
      <w:pPr>
        <w:numPr>
          <w:ilvl w:val="0"/>
          <w:numId w:val="138"/>
        </w:numPr>
        <w:tabs>
          <w:tab w:val="left" w:pos="1480"/>
        </w:tabs>
        <w:spacing w:line="234" w:lineRule="auto"/>
        <w:ind w:left="1418" w:hanging="284"/>
        <w:jc w:val="both"/>
        <w:rPr>
          <w:rFonts w:eastAsia="Times New Roman"/>
        </w:rPr>
      </w:pPr>
      <w:r>
        <w:rPr>
          <w:rFonts w:eastAsia="Times New Roman"/>
        </w:rPr>
        <w:t xml:space="preserve">wskazanie wybranego przez sprzedawcę POB, który ma zawartą umowę dystrybucji z </w:t>
      </w:r>
      <w:r w:rsidR="005C6B5F">
        <w:rPr>
          <w:rFonts w:eastAsia="Times New Roman"/>
        </w:rPr>
        <w:t>OSDn,</w:t>
      </w:r>
    </w:p>
    <w:p w14:paraId="6138C6E4" w14:textId="77777777" w:rsidR="00572BA3" w:rsidRDefault="00572BA3">
      <w:pPr>
        <w:numPr>
          <w:ilvl w:val="0"/>
          <w:numId w:val="138"/>
        </w:numPr>
        <w:tabs>
          <w:tab w:val="left" w:pos="1480"/>
        </w:tabs>
        <w:spacing w:line="234" w:lineRule="auto"/>
        <w:ind w:left="1418" w:hanging="284"/>
        <w:jc w:val="both"/>
        <w:rPr>
          <w:rFonts w:eastAsia="Times New Roman"/>
        </w:rPr>
      </w:pPr>
      <w:r>
        <w:rPr>
          <w:rFonts w:eastAsia="Times New Roman"/>
        </w:rPr>
        <w:t xml:space="preserve">zasady zaprzestania lub ograniczenia świadczenia usług dystrybucji przez </w:t>
      </w:r>
      <w:r w:rsidR="005C6B5F">
        <w:rPr>
          <w:rFonts w:eastAsia="Times New Roman"/>
        </w:rPr>
        <w:t xml:space="preserve">OSDn </w:t>
      </w:r>
      <w:r>
        <w:rPr>
          <w:rFonts w:eastAsia="Times New Roman"/>
        </w:rPr>
        <w:t>z tym URD,</w:t>
      </w:r>
    </w:p>
    <w:p w14:paraId="5A32F729" w14:textId="77777777" w:rsidR="00572BA3" w:rsidRDefault="00572BA3">
      <w:pPr>
        <w:numPr>
          <w:ilvl w:val="0"/>
          <w:numId w:val="138"/>
        </w:numPr>
        <w:tabs>
          <w:tab w:val="left" w:pos="1480"/>
        </w:tabs>
        <w:spacing w:line="234" w:lineRule="auto"/>
        <w:ind w:left="1418" w:hanging="284"/>
        <w:jc w:val="both"/>
        <w:rPr>
          <w:rFonts w:eastAsia="Times New Roman"/>
        </w:rPr>
      </w:pPr>
      <w:r>
        <w:rPr>
          <w:rFonts w:eastAsia="Times New Roman"/>
        </w:rPr>
        <w:t xml:space="preserve">osoby upoważnione do kontaktu z </w:t>
      </w:r>
      <w:r w:rsidR="005C6B5F">
        <w:rPr>
          <w:rFonts w:eastAsia="Times New Roman"/>
        </w:rPr>
        <w:t>OSDn</w:t>
      </w:r>
      <w:r>
        <w:rPr>
          <w:rFonts w:eastAsia="Times New Roman"/>
        </w:rPr>
        <w:t xml:space="preserve"> oraz sprzedawcą, a także ich dane</w:t>
      </w:r>
      <w:r w:rsidR="005C6B5F">
        <w:rPr>
          <w:rFonts w:eastAsia="Times New Roman"/>
        </w:rPr>
        <w:t xml:space="preserve"> t</w:t>
      </w:r>
      <w:r>
        <w:rPr>
          <w:rFonts w:eastAsia="Times New Roman"/>
        </w:rPr>
        <w:t>eleadresowe,</w:t>
      </w:r>
    </w:p>
    <w:p w14:paraId="7040D408" w14:textId="77777777" w:rsidR="00572BA3" w:rsidRDefault="00572BA3">
      <w:pPr>
        <w:numPr>
          <w:ilvl w:val="0"/>
          <w:numId w:val="138"/>
        </w:numPr>
        <w:tabs>
          <w:tab w:val="left" w:pos="1480"/>
        </w:tabs>
        <w:spacing w:line="234" w:lineRule="auto"/>
        <w:ind w:left="1418" w:hanging="284"/>
        <w:jc w:val="both"/>
        <w:rPr>
          <w:rFonts w:eastAsia="Times New Roman"/>
        </w:rPr>
      </w:pPr>
      <w:r>
        <w:rPr>
          <w:rFonts w:eastAsia="Times New Roman"/>
        </w:rPr>
        <w:t xml:space="preserve">ogólne zasady wymiany danych i informacji pomiędzy </w:t>
      </w:r>
      <w:r w:rsidR="005C6B5F">
        <w:rPr>
          <w:rFonts w:eastAsia="Times New Roman"/>
        </w:rPr>
        <w:t>OSDn</w:t>
      </w:r>
      <w:r>
        <w:rPr>
          <w:rFonts w:eastAsia="Times New Roman"/>
        </w:rPr>
        <w:t xml:space="preserve"> a sprzedawcą,</w:t>
      </w:r>
    </w:p>
    <w:p w14:paraId="02132594" w14:textId="77777777" w:rsidR="00572BA3" w:rsidRDefault="00572BA3">
      <w:pPr>
        <w:numPr>
          <w:ilvl w:val="0"/>
          <w:numId w:val="138"/>
        </w:numPr>
        <w:tabs>
          <w:tab w:val="left" w:pos="1480"/>
        </w:tabs>
        <w:spacing w:line="236" w:lineRule="auto"/>
        <w:ind w:left="1418" w:hanging="284"/>
        <w:jc w:val="both"/>
        <w:rPr>
          <w:rFonts w:eastAsia="Times New Roman"/>
        </w:rPr>
      </w:pPr>
      <w:r>
        <w:rPr>
          <w:rFonts w:eastAsia="Times New Roman"/>
        </w:rPr>
        <w:t xml:space="preserve">zobowiązanie sprzedawcy do niezwłocznego informowania </w:t>
      </w:r>
      <w:r w:rsidR="005C6B5F">
        <w:rPr>
          <w:rFonts w:eastAsia="Times New Roman"/>
        </w:rPr>
        <w:t>OSDn</w:t>
      </w:r>
      <w:r>
        <w:rPr>
          <w:rFonts w:eastAsia="Times New Roman"/>
        </w:rPr>
        <w:t xml:space="preserve"> o utracie wskazanego POB w tym w wyniku zaprzestania lub zawieszenia jego działalności na RB, w rozumieniu </w:t>
      </w:r>
      <w:r w:rsidR="00607CAF">
        <w:rPr>
          <w:rFonts w:eastAsia="Times New Roman"/>
        </w:rPr>
        <w:t>WDB</w:t>
      </w:r>
      <w:r>
        <w:rPr>
          <w:rFonts w:eastAsia="Times New Roman"/>
        </w:rPr>
        <w:t>,</w:t>
      </w:r>
    </w:p>
    <w:p w14:paraId="33955D2F" w14:textId="77777777" w:rsidR="00572BA3" w:rsidRDefault="00572BA3">
      <w:pPr>
        <w:numPr>
          <w:ilvl w:val="0"/>
          <w:numId w:val="138"/>
        </w:numPr>
        <w:tabs>
          <w:tab w:val="left" w:pos="1480"/>
        </w:tabs>
        <w:spacing w:line="234" w:lineRule="auto"/>
        <w:ind w:left="1418" w:hanging="284"/>
        <w:jc w:val="both"/>
        <w:rPr>
          <w:rFonts w:eastAsia="Times New Roman"/>
        </w:rPr>
      </w:pPr>
      <w:r>
        <w:rPr>
          <w:rFonts w:eastAsia="Times New Roman"/>
        </w:rPr>
        <w:t>zasady rozwiązania i ograniczania realizacji umowy, w tym, w przypadku zaprzestania działalności przez POB tego sprzedawcy.</w:t>
      </w:r>
    </w:p>
    <w:p w14:paraId="04249352" w14:textId="0739F3EB" w:rsidR="009C0F7C" w:rsidRPr="00D80DE5" w:rsidRDefault="00572BA3" w:rsidP="00853430">
      <w:pPr>
        <w:pStyle w:val="Default"/>
        <w:ind w:left="1134" w:right="62" w:hanging="1134"/>
        <w:jc w:val="both"/>
      </w:pPr>
      <w:r>
        <w:rPr>
          <w:rFonts w:eastAsia="Times New Roman"/>
        </w:rPr>
        <w:t>A.4.3.7.</w:t>
      </w:r>
      <w:r>
        <w:rPr>
          <w:rFonts w:eastAsia="Times New Roman"/>
        </w:rPr>
        <w:tab/>
      </w:r>
      <w:r w:rsidR="005D3613">
        <w:t xml:space="preserve">Podmiot zamierzający sprzedawać energię elektryczną URD będących odbiorcami końcowymi, w tym </w:t>
      </w:r>
      <w:r w:rsidR="00164EEB">
        <w:t>P</w:t>
      </w:r>
      <w:r w:rsidR="005D3613">
        <w:t xml:space="preserve">rosumentami lub </w:t>
      </w:r>
      <w:r w:rsidR="00164EEB">
        <w:t>P</w:t>
      </w:r>
      <w:r w:rsidR="005D3613">
        <w:t>rosumentami zbiorowymi</w:t>
      </w:r>
      <w:r w:rsidR="00164EEB">
        <w:t xml:space="preserve"> lub członkami spółdzielni energetycznej, </w:t>
      </w:r>
      <w:r w:rsidR="005D3613">
        <w:t>na podstawie umów kompleksowych, zawiera z OSDn, jedną GUD-K na podstawie, której może pełnić funkcję sprzedawcy usługi kompleksowej</w:t>
      </w:r>
      <w:r w:rsidR="009C0F7C" w:rsidRPr="00D80DE5">
        <w:t xml:space="preserve">. GUD-K określa warunki realizacji umów kompleksowych dla w/w URD, którym ten sprzedawca będzie świadczyć usługę kompleksową. GUD-K powinna spełniać wymagania określone w ustawie Prawo energetyczne oraz zawierać co najmniej następujące elementy: </w:t>
      </w:r>
    </w:p>
    <w:p w14:paraId="0A346099" w14:textId="77777777" w:rsidR="009C0F7C" w:rsidRPr="00D80DE5" w:rsidRDefault="009C0F7C" w:rsidP="00853430">
      <w:pPr>
        <w:autoSpaceDE w:val="0"/>
        <w:autoSpaceDN w:val="0"/>
        <w:adjustRightInd w:val="0"/>
        <w:ind w:left="1418" w:right="62" w:hanging="284"/>
        <w:jc w:val="both"/>
        <w:rPr>
          <w:rFonts w:cs="Times New Roman"/>
          <w:color w:val="000000"/>
          <w:szCs w:val="24"/>
        </w:rPr>
      </w:pPr>
      <w:r w:rsidRPr="00D80DE5">
        <w:rPr>
          <w:rFonts w:cs="Times New Roman"/>
          <w:color w:val="000000"/>
          <w:szCs w:val="24"/>
        </w:rPr>
        <w:t xml:space="preserve">a) wskazanie wybranego przez sprzedawcę POB, który ma zawartą umowę dystrybucji z OSDn, </w:t>
      </w:r>
    </w:p>
    <w:p w14:paraId="166A7CB7" w14:textId="77777777" w:rsidR="009C0F7C" w:rsidRPr="00D80DE5" w:rsidRDefault="009C0F7C" w:rsidP="00853430">
      <w:pPr>
        <w:autoSpaceDE w:val="0"/>
        <w:autoSpaceDN w:val="0"/>
        <w:adjustRightInd w:val="0"/>
        <w:ind w:left="1418" w:right="62" w:hanging="284"/>
        <w:jc w:val="both"/>
        <w:rPr>
          <w:rFonts w:cs="Times New Roman"/>
          <w:color w:val="000000"/>
          <w:szCs w:val="24"/>
        </w:rPr>
      </w:pPr>
      <w:r w:rsidRPr="00D80DE5">
        <w:rPr>
          <w:rFonts w:cs="Times New Roman"/>
          <w:color w:val="000000"/>
          <w:szCs w:val="24"/>
        </w:rPr>
        <w:t xml:space="preserve">b) zasady zaprzestania lub ograniczania świadczenia usług dystrybucji przez OSDn, </w:t>
      </w:r>
    </w:p>
    <w:p w14:paraId="0E3F35A0" w14:textId="77777777" w:rsidR="009C0F7C" w:rsidRPr="00D80DE5" w:rsidRDefault="009C0F7C" w:rsidP="00853430">
      <w:pPr>
        <w:autoSpaceDE w:val="0"/>
        <w:autoSpaceDN w:val="0"/>
        <w:adjustRightInd w:val="0"/>
        <w:ind w:left="1418" w:right="62" w:hanging="284"/>
        <w:jc w:val="both"/>
        <w:rPr>
          <w:rFonts w:cs="Times New Roman"/>
          <w:color w:val="000000"/>
          <w:szCs w:val="24"/>
        </w:rPr>
      </w:pPr>
      <w:r w:rsidRPr="00D80DE5">
        <w:rPr>
          <w:rFonts w:cs="Times New Roman"/>
          <w:color w:val="000000"/>
          <w:szCs w:val="24"/>
        </w:rPr>
        <w:lastRenderedPageBreak/>
        <w:t xml:space="preserve">c) warunki świadczenia przez OSDn usług dystrybucji URD posiadającym zawarte umowy kompleksowe ze sprzedawcą, </w:t>
      </w:r>
    </w:p>
    <w:p w14:paraId="29F8F6FF" w14:textId="77777777" w:rsidR="009C0F7C" w:rsidRPr="00D80DE5" w:rsidRDefault="009C0F7C" w:rsidP="00853430">
      <w:pPr>
        <w:autoSpaceDE w:val="0"/>
        <w:autoSpaceDN w:val="0"/>
        <w:adjustRightInd w:val="0"/>
        <w:ind w:left="1418" w:right="62" w:hanging="284"/>
        <w:jc w:val="both"/>
        <w:rPr>
          <w:rFonts w:cs="Times New Roman"/>
          <w:color w:val="000000"/>
          <w:szCs w:val="24"/>
        </w:rPr>
      </w:pPr>
      <w:r w:rsidRPr="00D80DE5">
        <w:rPr>
          <w:rFonts w:cs="Times New Roman"/>
          <w:color w:val="000000"/>
          <w:szCs w:val="24"/>
        </w:rPr>
        <w:t xml:space="preserve">d) warunki i zasady prowadzenia rozliczeń pomiędzy OSDn a sprzedawcą, </w:t>
      </w:r>
    </w:p>
    <w:p w14:paraId="4F284D22" w14:textId="77777777" w:rsidR="009C0F7C" w:rsidRPr="00D80DE5" w:rsidRDefault="009C0F7C" w:rsidP="00853430">
      <w:pPr>
        <w:autoSpaceDE w:val="0"/>
        <w:autoSpaceDN w:val="0"/>
        <w:adjustRightInd w:val="0"/>
        <w:ind w:left="1418" w:right="62" w:hanging="284"/>
        <w:jc w:val="both"/>
        <w:rPr>
          <w:rFonts w:cs="Times New Roman"/>
          <w:color w:val="000000"/>
          <w:szCs w:val="24"/>
        </w:rPr>
      </w:pPr>
      <w:r w:rsidRPr="00D80DE5">
        <w:rPr>
          <w:rFonts w:cs="Times New Roman"/>
          <w:color w:val="000000"/>
          <w:szCs w:val="24"/>
        </w:rPr>
        <w:t xml:space="preserve">e) zasady zabezpieczeń należytego wykonania GUD-K, </w:t>
      </w:r>
    </w:p>
    <w:p w14:paraId="5823E98A" w14:textId="77777777" w:rsidR="009C0F7C" w:rsidRPr="00D80DE5" w:rsidRDefault="009C0F7C" w:rsidP="00853430">
      <w:pPr>
        <w:autoSpaceDE w:val="0"/>
        <w:autoSpaceDN w:val="0"/>
        <w:adjustRightInd w:val="0"/>
        <w:ind w:left="1418" w:right="62" w:hanging="284"/>
        <w:jc w:val="both"/>
        <w:rPr>
          <w:rFonts w:cs="Times New Roman"/>
          <w:color w:val="000000"/>
          <w:szCs w:val="24"/>
        </w:rPr>
      </w:pPr>
      <w:r w:rsidRPr="00D80DE5">
        <w:rPr>
          <w:rFonts w:cs="Times New Roman"/>
          <w:color w:val="000000"/>
          <w:szCs w:val="24"/>
        </w:rPr>
        <w:t xml:space="preserve">f) ogólne zasady wymiany danych i informacji pomiędzy OSDn a sprzedawcą, </w:t>
      </w:r>
    </w:p>
    <w:p w14:paraId="74C34B51" w14:textId="77777777" w:rsidR="009C0F7C" w:rsidRPr="00D80DE5" w:rsidRDefault="009C0F7C" w:rsidP="00853430">
      <w:pPr>
        <w:autoSpaceDE w:val="0"/>
        <w:autoSpaceDN w:val="0"/>
        <w:adjustRightInd w:val="0"/>
        <w:ind w:left="1418" w:right="62" w:hanging="284"/>
        <w:jc w:val="both"/>
        <w:rPr>
          <w:rFonts w:cs="Times New Roman"/>
          <w:color w:val="000000"/>
          <w:szCs w:val="24"/>
        </w:rPr>
      </w:pPr>
      <w:r w:rsidRPr="00D80DE5">
        <w:rPr>
          <w:rFonts w:cs="Times New Roman"/>
          <w:color w:val="000000"/>
          <w:szCs w:val="24"/>
        </w:rPr>
        <w:t xml:space="preserve">g) osoby upoważnione do kontaktu z OSDn oraz sprzedawcą, a także ich dane teleadresowe, </w:t>
      </w:r>
    </w:p>
    <w:p w14:paraId="032D49C2" w14:textId="77777777" w:rsidR="009C0F7C" w:rsidRPr="00D80DE5" w:rsidRDefault="009C0F7C" w:rsidP="00853430">
      <w:pPr>
        <w:autoSpaceDE w:val="0"/>
        <w:autoSpaceDN w:val="0"/>
        <w:adjustRightInd w:val="0"/>
        <w:ind w:left="1418" w:right="62" w:hanging="284"/>
        <w:jc w:val="both"/>
        <w:rPr>
          <w:rFonts w:cs="Times New Roman"/>
          <w:color w:val="000000"/>
          <w:szCs w:val="24"/>
        </w:rPr>
      </w:pPr>
      <w:r w:rsidRPr="00D80DE5">
        <w:rPr>
          <w:rFonts w:cs="Times New Roman"/>
          <w:color w:val="000000"/>
          <w:szCs w:val="24"/>
        </w:rPr>
        <w:t xml:space="preserve">h) zobowiązanie sprzedawcy do niezwłocznego informowania OSDn o utracie wskazanego POB, w tym w wyniku zaprzestania lub zawieszenia jego działalności na RB, w rozumieniu WDB, </w:t>
      </w:r>
    </w:p>
    <w:p w14:paraId="7B73372B" w14:textId="77777777" w:rsidR="009C0F7C" w:rsidRPr="00D80DE5" w:rsidRDefault="009C0F7C" w:rsidP="00853430">
      <w:pPr>
        <w:autoSpaceDE w:val="0"/>
        <w:autoSpaceDN w:val="0"/>
        <w:adjustRightInd w:val="0"/>
        <w:ind w:left="1418" w:right="62" w:hanging="284"/>
        <w:jc w:val="both"/>
        <w:rPr>
          <w:rFonts w:cs="Times New Roman"/>
          <w:color w:val="000000"/>
          <w:szCs w:val="24"/>
        </w:rPr>
      </w:pPr>
      <w:r w:rsidRPr="00D80DE5">
        <w:rPr>
          <w:rFonts w:cs="Times New Roman"/>
          <w:color w:val="000000"/>
          <w:szCs w:val="24"/>
        </w:rPr>
        <w:t xml:space="preserve">i) zasady rozwiązania i ograniczania realizacji umowy, w tym, w przypadku zaprzestania działalności przez POB sprzedawcy, </w:t>
      </w:r>
    </w:p>
    <w:p w14:paraId="0E186676" w14:textId="77777777" w:rsidR="009C0F7C" w:rsidRPr="00D80DE5" w:rsidRDefault="009C0F7C" w:rsidP="00853430">
      <w:pPr>
        <w:autoSpaceDE w:val="0"/>
        <w:autoSpaceDN w:val="0"/>
        <w:adjustRightInd w:val="0"/>
        <w:ind w:left="1418" w:right="62" w:hanging="284"/>
        <w:jc w:val="both"/>
        <w:rPr>
          <w:rFonts w:cs="Times New Roman"/>
          <w:color w:val="000000"/>
          <w:szCs w:val="24"/>
        </w:rPr>
      </w:pPr>
      <w:r w:rsidRPr="00D80DE5">
        <w:rPr>
          <w:rFonts w:cs="Times New Roman"/>
          <w:color w:val="000000"/>
          <w:szCs w:val="24"/>
        </w:rPr>
        <w:t xml:space="preserve">j) zasady i warunki sprzedaży rezerwowej. </w:t>
      </w:r>
    </w:p>
    <w:p w14:paraId="591F6E65" w14:textId="77777777" w:rsidR="00572BA3" w:rsidRDefault="00572BA3" w:rsidP="00D9073D">
      <w:pPr>
        <w:tabs>
          <w:tab w:val="left" w:pos="1120"/>
        </w:tabs>
        <w:spacing w:line="237" w:lineRule="auto"/>
        <w:ind w:left="1140" w:hanging="1079"/>
        <w:jc w:val="both"/>
        <w:rPr>
          <w:rFonts w:eastAsia="Times New Roman"/>
        </w:rPr>
      </w:pPr>
      <w:r>
        <w:rPr>
          <w:rFonts w:eastAsia="Times New Roman"/>
        </w:rPr>
        <w:t>A.4.3.8.</w:t>
      </w:r>
      <w:r>
        <w:rPr>
          <w:rFonts w:eastAsia="Times New Roman"/>
        </w:rPr>
        <w:tab/>
        <w:t xml:space="preserve">W celu realizacji obowiązków w zakresie współpracy z OSP, o których mowa </w:t>
      </w:r>
      <w:r w:rsidR="00D9073D">
        <w:rPr>
          <w:rFonts w:eastAsia="Times New Roman"/>
        </w:rPr>
        <w:br/>
      </w:r>
      <w:r>
        <w:rPr>
          <w:rFonts w:eastAsia="Times New Roman"/>
        </w:rPr>
        <w:t xml:space="preserve">w pkt. A.1.4., OSDn dla obszaru swojej sieci dystrybucyjnej zawiera z </w:t>
      </w:r>
      <w:r w:rsidR="00D9073D">
        <w:rPr>
          <w:rFonts w:eastAsia="Times New Roman"/>
        </w:rPr>
        <w:t>OSDp</w:t>
      </w:r>
      <w:r>
        <w:rPr>
          <w:rFonts w:eastAsia="Times New Roman"/>
        </w:rPr>
        <w:t xml:space="preserve"> umowę. Umowa ta powinna zawierać co najmniej następujące elementy:</w:t>
      </w:r>
    </w:p>
    <w:p w14:paraId="25DAF501" w14:textId="77777777" w:rsidR="00572BA3" w:rsidRDefault="00572BA3">
      <w:pPr>
        <w:numPr>
          <w:ilvl w:val="0"/>
          <w:numId w:val="139"/>
        </w:numPr>
        <w:tabs>
          <w:tab w:val="clear" w:pos="1626"/>
        </w:tabs>
        <w:spacing w:line="0" w:lineRule="atLeast"/>
        <w:ind w:left="1418" w:hanging="284"/>
        <w:jc w:val="both"/>
        <w:rPr>
          <w:rFonts w:eastAsia="Times New Roman"/>
        </w:rPr>
      </w:pPr>
      <w:r>
        <w:rPr>
          <w:rFonts w:eastAsia="Times New Roman"/>
        </w:rPr>
        <w:t xml:space="preserve">zakres obowiązków realizowanych przez OSDn oraz </w:t>
      </w:r>
      <w:r w:rsidR="00D9073D">
        <w:rPr>
          <w:rFonts w:eastAsia="Times New Roman"/>
        </w:rPr>
        <w:t>OSDp</w:t>
      </w:r>
      <w:r>
        <w:rPr>
          <w:rFonts w:eastAsia="Times New Roman"/>
        </w:rPr>
        <w:t>,</w:t>
      </w:r>
    </w:p>
    <w:p w14:paraId="5BF5F8CF" w14:textId="77777777" w:rsidR="00572BA3" w:rsidRPr="00F11E71" w:rsidRDefault="00572BA3">
      <w:pPr>
        <w:numPr>
          <w:ilvl w:val="0"/>
          <w:numId w:val="139"/>
        </w:numPr>
        <w:tabs>
          <w:tab w:val="clear" w:pos="1626"/>
        </w:tabs>
        <w:spacing w:line="0" w:lineRule="atLeast"/>
        <w:ind w:left="1560" w:hanging="426"/>
        <w:jc w:val="both"/>
        <w:rPr>
          <w:rFonts w:eastAsia="Times New Roman"/>
        </w:rPr>
      </w:pPr>
      <w:r w:rsidRPr="00F11E71">
        <w:rPr>
          <w:rFonts w:eastAsia="Times New Roman"/>
          <w:sz w:val="23"/>
        </w:rPr>
        <w:t>zgodę OSDn na realizację jego obowiązków w zakresie współpracy z OSP przez</w:t>
      </w:r>
      <w:r w:rsidR="007547B8">
        <w:rPr>
          <w:rFonts w:eastAsia="Times New Roman"/>
          <w:sz w:val="23"/>
        </w:rPr>
        <w:t>`</w:t>
      </w:r>
      <w:r w:rsidR="00D9073D" w:rsidRPr="00F11E71">
        <w:rPr>
          <w:rFonts w:eastAsia="Times New Roman"/>
        </w:rPr>
        <w:t xml:space="preserve">     OSDp</w:t>
      </w:r>
      <w:r w:rsidRPr="00F11E71">
        <w:rPr>
          <w:rFonts w:eastAsia="Times New Roman"/>
        </w:rPr>
        <w:t>,</w:t>
      </w:r>
    </w:p>
    <w:p w14:paraId="0657080D" w14:textId="77777777" w:rsidR="00572BA3" w:rsidRPr="00F22D01" w:rsidRDefault="00572BA3">
      <w:pPr>
        <w:numPr>
          <w:ilvl w:val="0"/>
          <w:numId w:val="139"/>
        </w:numPr>
        <w:tabs>
          <w:tab w:val="clear" w:pos="1626"/>
        </w:tabs>
        <w:spacing w:line="236" w:lineRule="auto"/>
        <w:ind w:left="1418" w:hanging="284"/>
        <w:jc w:val="both"/>
        <w:rPr>
          <w:rFonts w:eastAsia="Times New Roman"/>
          <w:szCs w:val="24"/>
        </w:rPr>
      </w:pPr>
      <w:r w:rsidRPr="00F22D01">
        <w:rPr>
          <w:rFonts w:eastAsia="Times New Roman"/>
          <w:szCs w:val="24"/>
        </w:rPr>
        <w:t xml:space="preserve">zobowiązanie OSDn do zawierania ze sprzedawcami umów dystrybucji </w:t>
      </w:r>
      <w:r w:rsidR="00F22D01" w:rsidRPr="00F22D01">
        <w:rPr>
          <w:rFonts w:eastAsia="Times New Roman"/>
          <w:szCs w:val="24"/>
        </w:rPr>
        <w:t>G</w:t>
      </w:r>
      <w:r w:rsidRPr="00F22D01">
        <w:rPr>
          <w:rFonts w:eastAsia="Times New Roman"/>
          <w:szCs w:val="24"/>
        </w:rPr>
        <w:t xml:space="preserve">UD </w:t>
      </w:r>
      <w:r w:rsidR="00F22D01" w:rsidRPr="00F22D01">
        <w:rPr>
          <w:rFonts w:eastAsia="Times New Roman"/>
          <w:szCs w:val="24"/>
        </w:rPr>
        <w:br/>
      </w:r>
      <w:r w:rsidRPr="00F22D01">
        <w:rPr>
          <w:rFonts w:eastAsia="Times New Roman"/>
          <w:szCs w:val="24"/>
        </w:rPr>
        <w:t>w których będzie wskazany POB, posiadający umowę</w:t>
      </w:r>
      <w:r w:rsidR="001961D7">
        <w:rPr>
          <w:rFonts w:eastAsia="Times New Roman"/>
          <w:szCs w:val="24"/>
        </w:rPr>
        <w:t>,</w:t>
      </w:r>
      <w:r w:rsidRPr="00F22D01">
        <w:rPr>
          <w:rFonts w:eastAsia="Times New Roman"/>
          <w:szCs w:val="24"/>
        </w:rPr>
        <w:t xml:space="preserve"> o której mowa </w:t>
      </w:r>
      <w:r w:rsidR="00F22D01" w:rsidRPr="00F22D01">
        <w:rPr>
          <w:rFonts w:eastAsia="Times New Roman"/>
          <w:szCs w:val="24"/>
        </w:rPr>
        <w:br/>
      </w:r>
      <w:r w:rsidRPr="00F22D01">
        <w:rPr>
          <w:rFonts w:eastAsia="Times New Roman"/>
          <w:szCs w:val="24"/>
        </w:rPr>
        <w:t>w pkt A.4.3.5. zawartą z</w:t>
      </w:r>
      <w:r w:rsidR="00F22D01" w:rsidRPr="00F22D01">
        <w:rPr>
          <w:rFonts w:eastAsia="Times New Roman"/>
          <w:szCs w:val="24"/>
        </w:rPr>
        <w:t xml:space="preserve"> OSDn</w:t>
      </w:r>
      <w:r w:rsidRPr="00F22D01">
        <w:rPr>
          <w:rFonts w:eastAsia="Times New Roman"/>
          <w:szCs w:val="24"/>
        </w:rPr>
        <w:t>,</w:t>
      </w:r>
    </w:p>
    <w:p w14:paraId="53DC8EF2" w14:textId="77777777" w:rsidR="00572BA3" w:rsidRPr="00F22D01" w:rsidRDefault="00572BA3">
      <w:pPr>
        <w:numPr>
          <w:ilvl w:val="0"/>
          <w:numId w:val="139"/>
        </w:numPr>
        <w:tabs>
          <w:tab w:val="clear" w:pos="1626"/>
        </w:tabs>
        <w:spacing w:line="247" w:lineRule="auto"/>
        <w:ind w:left="1418" w:hanging="284"/>
        <w:jc w:val="both"/>
        <w:rPr>
          <w:rFonts w:eastAsia="Times New Roman"/>
          <w:szCs w:val="24"/>
        </w:rPr>
      </w:pPr>
      <w:r w:rsidRPr="00F22D01">
        <w:rPr>
          <w:rFonts w:eastAsia="Times New Roman"/>
          <w:szCs w:val="24"/>
        </w:rPr>
        <w:t>dane o posiadanych przez OSDn koncesjach i decyzjach dotyczących sprzedaży energii elektrycznej albo świadczenia usług dystrybucji energii elektrycznej,</w:t>
      </w:r>
    </w:p>
    <w:p w14:paraId="4F64CAE8" w14:textId="77777777" w:rsidR="00572BA3" w:rsidRDefault="00572BA3">
      <w:pPr>
        <w:numPr>
          <w:ilvl w:val="0"/>
          <w:numId w:val="139"/>
        </w:numPr>
        <w:tabs>
          <w:tab w:val="clear" w:pos="1626"/>
        </w:tabs>
        <w:ind w:left="1418" w:hanging="284"/>
        <w:jc w:val="both"/>
        <w:rPr>
          <w:rFonts w:eastAsia="Times New Roman"/>
        </w:rPr>
      </w:pPr>
      <w:r w:rsidRPr="00F22D01">
        <w:rPr>
          <w:rFonts w:eastAsia="Times New Roman"/>
          <w:szCs w:val="24"/>
        </w:rPr>
        <w:t>osoby upoważnione</w:t>
      </w:r>
      <w:r>
        <w:rPr>
          <w:rFonts w:eastAsia="Times New Roman"/>
        </w:rPr>
        <w:t xml:space="preserve"> do kontaktu z </w:t>
      </w:r>
      <w:r w:rsidR="003E625B">
        <w:rPr>
          <w:rFonts w:eastAsia="Times New Roman"/>
        </w:rPr>
        <w:t>OSDp</w:t>
      </w:r>
      <w:r>
        <w:rPr>
          <w:rFonts w:eastAsia="Times New Roman"/>
        </w:rPr>
        <w:t xml:space="preserve"> oraz OSDn, a także ich dane</w:t>
      </w:r>
      <w:r w:rsidR="003E625B">
        <w:rPr>
          <w:rFonts w:eastAsia="Times New Roman"/>
        </w:rPr>
        <w:t xml:space="preserve"> </w:t>
      </w:r>
      <w:r>
        <w:rPr>
          <w:rFonts w:eastAsia="Times New Roman"/>
        </w:rPr>
        <w:t>teleadresowe,</w:t>
      </w:r>
    </w:p>
    <w:p w14:paraId="68C8FCD2" w14:textId="77777777" w:rsidR="00572BA3" w:rsidRDefault="00572BA3">
      <w:pPr>
        <w:numPr>
          <w:ilvl w:val="0"/>
          <w:numId w:val="139"/>
        </w:numPr>
        <w:tabs>
          <w:tab w:val="clear" w:pos="1626"/>
        </w:tabs>
        <w:ind w:left="1418" w:hanging="284"/>
        <w:jc w:val="both"/>
        <w:rPr>
          <w:rFonts w:eastAsia="Times New Roman"/>
        </w:rPr>
      </w:pPr>
      <w:r>
        <w:rPr>
          <w:rFonts w:eastAsia="Times New Roman"/>
        </w:rPr>
        <w:t>zobowiązania stron do stosowania postanowień niniejszej IRiESD,</w:t>
      </w:r>
    </w:p>
    <w:p w14:paraId="0197FCA1" w14:textId="77777777" w:rsidR="00572BA3" w:rsidRDefault="00572BA3">
      <w:pPr>
        <w:numPr>
          <w:ilvl w:val="0"/>
          <w:numId w:val="139"/>
        </w:numPr>
        <w:tabs>
          <w:tab w:val="clear" w:pos="1626"/>
        </w:tabs>
        <w:ind w:left="1418" w:hanging="284"/>
        <w:jc w:val="both"/>
        <w:rPr>
          <w:rFonts w:eastAsia="Times New Roman"/>
        </w:rPr>
      </w:pPr>
      <w:r>
        <w:rPr>
          <w:rFonts w:eastAsia="Times New Roman"/>
        </w:rPr>
        <w:t>zasady rozwiązywania umowy lub wprowadzania ograniczeń w jej wykonaniu,</w:t>
      </w:r>
    </w:p>
    <w:p w14:paraId="3EC35506" w14:textId="77777777" w:rsidR="00572BA3" w:rsidRDefault="00572BA3">
      <w:pPr>
        <w:numPr>
          <w:ilvl w:val="0"/>
          <w:numId w:val="139"/>
        </w:numPr>
        <w:tabs>
          <w:tab w:val="clear" w:pos="1626"/>
        </w:tabs>
        <w:ind w:left="1418" w:hanging="284"/>
        <w:jc w:val="both"/>
        <w:rPr>
          <w:rFonts w:eastAsia="Times New Roman"/>
        </w:rPr>
      </w:pPr>
      <w:r>
        <w:rPr>
          <w:rFonts w:eastAsia="Times New Roman"/>
        </w:rPr>
        <w:t>zasady obejmowania umową kolejnych URD z obszaru OSDn,</w:t>
      </w:r>
    </w:p>
    <w:p w14:paraId="66A1AB48" w14:textId="77777777" w:rsidR="00572BA3" w:rsidRDefault="00572BA3">
      <w:pPr>
        <w:numPr>
          <w:ilvl w:val="0"/>
          <w:numId w:val="140"/>
        </w:numPr>
        <w:tabs>
          <w:tab w:val="clear" w:pos="1626"/>
        </w:tabs>
        <w:ind w:left="1418" w:hanging="284"/>
        <w:jc w:val="both"/>
        <w:rPr>
          <w:rFonts w:eastAsia="Times New Roman"/>
        </w:rPr>
      </w:pPr>
      <w:r>
        <w:rPr>
          <w:rFonts w:eastAsia="Times New Roman"/>
        </w:rPr>
        <w:t>zasady wyznaczania i przekazywania danych pomiarowych,</w:t>
      </w:r>
    </w:p>
    <w:p w14:paraId="6334E83C" w14:textId="1D2BFE42" w:rsidR="00572BA3" w:rsidRDefault="00572BA3">
      <w:pPr>
        <w:numPr>
          <w:ilvl w:val="0"/>
          <w:numId w:val="140"/>
        </w:numPr>
        <w:tabs>
          <w:tab w:val="clear" w:pos="1626"/>
        </w:tabs>
        <w:ind w:left="1418" w:hanging="284"/>
        <w:jc w:val="both"/>
        <w:rPr>
          <w:rFonts w:eastAsia="Times New Roman"/>
        </w:rPr>
      </w:pPr>
      <w:r>
        <w:rPr>
          <w:rFonts w:eastAsia="Times New Roman"/>
        </w:rPr>
        <w:t>zasady przekazywania danych pomiarowych dla potrzeb realizacji regulacyjnych usług systemowych w zakresie rezerwy interwencyjnej</w:t>
      </w:r>
      <w:r w:rsidR="00395365">
        <w:rPr>
          <w:rFonts w:eastAsia="Times New Roman"/>
        </w:rPr>
        <w:t>,</w:t>
      </w:r>
    </w:p>
    <w:p w14:paraId="3BC5EB51" w14:textId="0E0A5D94" w:rsidR="00395365" w:rsidRDefault="00395365">
      <w:pPr>
        <w:numPr>
          <w:ilvl w:val="0"/>
          <w:numId w:val="140"/>
        </w:numPr>
        <w:tabs>
          <w:tab w:val="clear" w:pos="1626"/>
        </w:tabs>
        <w:ind w:left="1418" w:hanging="284"/>
        <w:jc w:val="both"/>
        <w:rPr>
          <w:rFonts w:eastAsia="Times New Roman"/>
        </w:rPr>
      </w:pPr>
      <w:r>
        <w:rPr>
          <w:rFonts w:eastAsia="Times New Roman"/>
        </w:rPr>
        <w:t>zasady współpracy w zakresie przekazywania informacji, a w szczególności przekazywania danych pomiarowych na potrzeby rynku mocy.</w:t>
      </w:r>
    </w:p>
    <w:p w14:paraId="3EB4BB66" w14:textId="64EC8FCA" w:rsidR="005610F4" w:rsidRDefault="005610F4" w:rsidP="009D66F0">
      <w:pPr>
        <w:ind w:left="1134"/>
        <w:jc w:val="both"/>
        <w:rPr>
          <w:rFonts w:eastAsia="Times New Roman"/>
        </w:rPr>
      </w:pPr>
      <w:r>
        <w:rPr>
          <w:rFonts w:eastAsia="Times New Roman"/>
        </w:rPr>
        <w:t>Zasady, o których mowa w lit. j) lub k) mogą zostać uregulowane w odrębnych umowach zawartych pomiędzy OSDp a OSDn.</w:t>
      </w:r>
    </w:p>
    <w:p w14:paraId="7FBE2208" w14:textId="29894BC2" w:rsidR="00572BA3" w:rsidRDefault="00ED37B0" w:rsidP="009D66F0">
      <w:pPr>
        <w:ind w:left="851" w:hanging="851"/>
        <w:jc w:val="both"/>
        <w:rPr>
          <w:color w:val="000000"/>
        </w:rPr>
      </w:pPr>
      <w:r>
        <w:rPr>
          <w:color w:val="000000"/>
        </w:rPr>
        <w:t xml:space="preserve">A.4.3.9. Istotne postanowienia GUD i GUD-K zawarte są w Załączniku nr </w:t>
      </w:r>
      <w:r w:rsidR="0023786E">
        <w:rPr>
          <w:color w:val="000000"/>
        </w:rPr>
        <w:t>4</w:t>
      </w:r>
      <w:r>
        <w:rPr>
          <w:color w:val="000000"/>
        </w:rPr>
        <w:t xml:space="preserve"> do IRiESD. Postanowienia te są wiążące dla OSDn i sprzedawców przy zawieraniu tych umów.</w:t>
      </w:r>
    </w:p>
    <w:p w14:paraId="5ED36483" w14:textId="4A26A97A" w:rsidR="00427308" w:rsidRDefault="00427308" w:rsidP="009D66F0">
      <w:pPr>
        <w:pStyle w:val="Tekstpodstawowy"/>
        <w:tabs>
          <w:tab w:val="clear" w:pos="4536"/>
        </w:tabs>
        <w:spacing w:before="91" w:line="240" w:lineRule="auto"/>
        <w:ind w:left="993" w:right="62" w:hanging="993"/>
        <w:rPr>
          <w:color w:val="000000" w:themeColor="text1"/>
          <w:w w:val="105"/>
          <w:szCs w:val="24"/>
        </w:rPr>
      </w:pPr>
      <w:r>
        <w:rPr>
          <w:color w:val="000000" w:themeColor="text1"/>
          <w:w w:val="105"/>
          <w:szCs w:val="24"/>
          <w:lang w:val="pl-PL"/>
        </w:rPr>
        <w:t xml:space="preserve">A.4.3.10. </w:t>
      </w:r>
      <w:r w:rsidRPr="00427308">
        <w:rPr>
          <w:color w:val="000000" w:themeColor="text1"/>
          <w:w w:val="105"/>
          <w:szCs w:val="24"/>
        </w:rPr>
        <w:t xml:space="preserve">Nie później niż do dnia poprzedzającego uruchomienie produkcyjne CSIRE, </w:t>
      </w:r>
      <w:r>
        <w:rPr>
          <w:color w:val="000000" w:themeColor="text1"/>
          <w:w w:val="105"/>
          <w:szCs w:val="24"/>
          <w:lang w:val="pl-PL"/>
        </w:rPr>
        <w:t>OSDn</w:t>
      </w:r>
      <w:r w:rsidRPr="00427308">
        <w:rPr>
          <w:color w:val="000000" w:themeColor="text1"/>
          <w:w w:val="105"/>
          <w:szCs w:val="24"/>
        </w:rPr>
        <w:t xml:space="preserve"> i sprzedawcy zawrą nową GUD albo dokonają aktualizacji obowiązującej</w:t>
      </w:r>
      <w:r w:rsidRPr="00427308">
        <w:rPr>
          <w:color w:val="000000" w:themeColor="text1"/>
          <w:spacing w:val="-17"/>
          <w:w w:val="105"/>
          <w:szCs w:val="24"/>
        </w:rPr>
        <w:t xml:space="preserve"> </w:t>
      </w:r>
      <w:r w:rsidRPr="00427308">
        <w:rPr>
          <w:color w:val="000000" w:themeColor="text1"/>
          <w:spacing w:val="2"/>
          <w:w w:val="105"/>
          <w:szCs w:val="24"/>
        </w:rPr>
        <w:t>GUD,</w:t>
      </w:r>
      <w:r w:rsidRPr="00427308">
        <w:rPr>
          <w:color w:val="000000" w:themeColor="text1"/>
          <w:spacing w:val="-33"/>
          <w:w w:val="105"/>
          <w:szCs w:val="24"/>
        </w:rPr>
        <w:t xml:space="preserve"> </w:t>
      </w:r>
      <w:r w:rsidRPr="00427308">
        <w:rPr>
          <w:color w:val="000000" w:themeColor="text1"/>
          <w:w w:val="105"/>
          <w:szCs w:val="24"/>
        </w:rPr>
        <w:t>zgodnie</w:t>
      </w:r>
      <w:r w:rsidRPr="00427308">
        <w:rPr>
          <w:color w:val="000000" w:themeColor="text1"/>
          <w:spacing w:val="-17"/>
          <w:w w:val="105"/>
          <w:szCs w:val="24"/>
        </w:rPr>
        <w:t xml:space="preserve"> </w:t>
      </w:r>
      <w:r w:rsidRPr="00427308">
        <w:rPr>
          <w:color w:val="000000" w:themeColor="text1"/>
          <w:w w:val="105"/>
          <w:szCs w:val="24"/>
        </w:rPr>
        <w:t>z</w:t>
      </w:r>
      <w:r w:rsidRPr="00427308">
        <w:rPr>
          <w:color w:val="000000" w:themeColor="text1"/>
          <w:spacing w:val="-31"/>
          <w:w w:val="105"/>
          <w:szCs w:val="24"/>
        </w:rPr>
        <w:t xml:space="preserve"> </w:t>
      </w:r>
      <w:r w:rsidRPr="00427308">
        <w:rPr>
          <w:color w:val="000000" w:themeColor="text1"/>
          <w:w w:val="105"/>
          <w:szCs w:val="24"/>
        </w:rPr>
        <w:t>obowiązującym</w:t>
      </w:r>
      <w:r w:rsidRPr="00427308">
        <w:rPr>
          <w:color w:val="000000" w:themeColor="text1"/>
          <w:spacing w:val="-2"/>
          <w:w w:val="105"/>
          <w:szCs w:val="24"/>
        </w:rPr>
        <w:t xml:space="preserve"> </w:t>
      </w:r>
      <w:r w:rsidRPr="00427308">
        <w:rPr>
          <w:color w:val="000000" w:themeColor="text1"/>
          <w:w w:val="105"/>
          <w:szCs w:val="24"/>
        </w:rPr>
        <w:t>w</w:t>
      </w:r>
      <w:r w:rsidRPr="00427308">
        <w:rPr>
          <w:color w:val="000000" w:themeColor="text1"/>
          <w:spacing w:val="-24"/>
          <w:w w:val="105"/>
          <w:szCs w:val="24"/>
        </w:rPr>
        <w:t xml:space="preserve"> </w:t>
      </w:r>
      <w:r w:rsidR="00832459">
        <w:rPr>
          <w:color w:val="000000" w:themeColor="text1"/>
          <w:spacing w:val="-24"/>
          <w:w w:val="105"/>
          <w:szCs w:val="24"/>
          <w:lang w:val="pl-PL"/>
        </w:rPr>
        <w:t>OSDn</w:t>
      </w:r>
      <w:r w:rsidRPr="00427308">
        <w:rPr>
          <w:color w:val="000000" w:themeColor="text1"/>
          <w:spacing w:val="-11"/>
          <w:w w:val="105"/>
          <w:szCs w:val="24"/>
        </w:rPr>
        <w:t xml:space="preserve"> </w:t>
      </w:r>
      <w:r w:rsidRPr="00427308">
        <w:rPr>
          <w:color w:val="000000" w:themeColor="text1"/>
          <w:w w:val="105"/>
          <w:szCs w:val="24"/>
        </w:rPr>
        <w:t>wzorcem GUD dostosowanym do funkcjonowania detalicznego rynku energii elektrycznej po uruchomieniu produkcyjnym</w:t>
      </w:r>
      <w:r w:rsidRPr="00427308">
        <w:rPr>
          <w:color w:val="000000" w:themeColor="text1"/>
          <w:spacing w:val="12"/>
          <w:w w:val="105"/>
          <w:szCs w:val="24"/>
        </w:rPr>
        <w:t xml:space="preserve"> </w:t>
      </w:r>
      <w:r w:rsidRPr="00427308">
        <w:rPr>
          <w:color w:val="000000" w:themeColor="text1"/>
          <w:w w:val="105"/>
          <w:szCs w:val="24"/>
        </w:rPr>
        <w:t>CSIRE.</w:t>
      </w:r>
    </w:p>
    <w:p w14:paraId="6B130872" w14:textId="2478C39E" w:rsidR="00427308" w:rsidRPr="00427308" w:rsidRDefault="00427308" w:rsidP="009D66F0">
      <w:pPr>
        <w:pStyle w:val="Tekstpodstawowy"/>
        <w:tabs>
          <w:tab w:val="clear" w:pos="4536"/>
        </w:tabs>
        <w:spacing w:line="240" w:lineRule="auto"/>
        <w:ind w:left="993" w:right="62" w:hanging="993"/>
        <w:rPr>
          <w:color w:val="000000" w:themeColor="text1"/>
          <w:szCs w:val="24"/>
        </w:rPr>
      </w:pPr>
      <w:r w:rsidRPr="00427308">
        <w:rPr>
          <w:color w:val="000000" w:themeColor="text1"/>
          <w:w w:val="105"/>
          <w:szCs w:val="24"/>
        </w:rPr>
        <w:t xml:space="preserve">A.4.3.11. Nie później niż do dnia poprzedzającego uruchomienie produkcyjne CSIRE, </w:t>
      </w:r>
      <w:r w:rsidR="009D66F0">
        <w:rPr>
          <w:color w:val="000000" w:themeColor="text1"/>
          <w:w w:val="105"/>
          <w:szCs w:val="24"/>
          <w:lang w:val="pl-PL"/>
        </w:rPr>
        <w:t>OSDn</w:t>
      </w:r>
      <w:r w:rsidRPr="00427308">
        <w:rPr>
          <w:color w:val="000000" w:themeColor="text1"/>
          <w:w w:val="105"/>
          <w:szCs w:val="24"/>
        </w:rPr>
        <w:t xml:space="preserve"> i sprzedawcy zawrą nową GUD-K albo dokonają aktualizacji obowiązującej GUD-K, zgodnie z obowiązującym w </w:t>
      </w:r>
      <w:r w:rsidR="009D66F0">
        <w:rPr>
          <w:color w:val="000000" w:themeColor="text1"/>
          <w:w w:val="105"/>
          <w:szCs w:val="24"/>
          <w:lang w:val="pl-PL"/>
        </w:rPr>
        <w:t>OSDn</w:t>
      </w:r>
      <w:r w:rsidRPr="00427308">
        <w:rPr>
          <w:color w:val="000000" w:themeColor="text1"/>
          <w:w w:val="105"/>
          <w:szCs w:val="24"/>
        </w:rPr>
        <w:t xml:space="preserve"> wzorcem GUD-K dostosowanym do funkcjonowania detalicznego rynku energii elektrycznej po uruchomieniu produkcyjnym CSIRE.</w:t>
      </w:r>
    </w:p>
    <w:p w14:paraId="3C2C7DC0" w14:textId="77777777" w:rsidR="00283172" w:rsidRDefault="00283172">
      <w:pPr>
        <w:spacing w:line="200" w:lineRule="exact"/>
        <w:rPr>
          <w:rFonts w:eastAsia="Times New Roman"/>
        </w:rPr>
      </w:pPr>
    </w:p>
    <w:p w14:paraId="11E0F782" w14:textId="77777777" w:rsidR="00572BA3" w:rsidRDefault="00572BA3" w:rsidP="005716E5">
      <w:pPr>
        <w:pStyle w:val="Nagwek2"/>
        <w:ind w:left="567" w:hanging="567"/>
        <w:jc w:val="both"/>
      </w:pPr>
      <w:bookmarkStart w:id="75" w:name="_Toc141963912"/>
      <w:r>
        <w:lastRenderedPageBreak/>
        <w:t>A.5.</w:t>
      </w:r>
      <w:r>
        <w:tab/>
        <w:t>ZASADY KONFIGURACJI PODMIOTOWEJ I OBIEKTOWEJ RYNKU DETALICZNEGO ORAZ NADAWANIA KODÓW IDENTYFIKACYJNYCH</w:t>
      </w:r>
      <w:bookmarkEnd w:id="75"/>
    </w:p>
    <w:p w14:paraId="7E83F803" w14:textId="77777777" w:rsidR="00572BA3" w:rsidRDefault="00572BA3">
      <w:pPr>
        <w:spacing w:line="200" w:lineRule="exact"/>
        <w:rPr>
          <w:rFonts w:eastAsia="Times New Roman"/>
        </w:rPr>
      </w:pPr>
    </w:p>
    <w:tbl>
      <w:tblPr>
        <w:tblW w:w="0" w:type="auto"/>
        <w:tblLayout w:type="fixed"/>
        <w:tblCellMar>
          <w:left w:w="70" w:type="dxa"/>
          <w:right w:w="70" w:type="dxa"/>
        </w:tblCellMar>
        <w:tblLook w:val="0000" w:firstRow="0" w:lastRow="0" w:firstColumn="0" w:lastColumn="0" w:noHBand="0" w:noVBand="0"/>
      </w:tblPr>
      <w:tblGrid>
        <w:gridCol w:w="1063"/>
        <w:gridCol w:w="8079"/>
      </w:tblGrid>
      <w:tr w:rsidR="00977658" w:rsidRPr="00DA4631" w14:paraId="416C9FD7" w14:textId="77777777" w:rsidTr="0032276D">
        <w:tc>
          <w:tcPr>
            <w:tcW w:w="1063" w:type="dxa"/>
            <w:shd w:val="clear" w:color="auto" w:fill="auto"/>
          </w:tcPr>
          <w:p w14:paraId="27CE775D" w14:textId="77777777" w:rsidR="00977658" w:rsidRPr="00683B0C" w:rsidRDefault="00977658" w:rsidP="00F23674">
            <w:pPr>
              <w:pStyle w:val="styl0"/>
            </w:pPr>
            <w:r w:rsidRPr="00683B0C">
              <w:t>A.</w:t>
            </w:r>
            <w:r>
              <w:t>5</w:t>
            </w:r>
            <w:r w:rsidRPr="00683B0C">
              <w:t>.1.</w:t>
            </w:r>
          </w:p>
        </w:tc>
        <w:tc>
          <w:tcPr>
            <w:tcW w:w="8079" w:type="dxa"/>
            <w:shd w:val="clear" w:color="auto" w:fill="auto"/>
          </w:tcPr>
          <w:p w14:paraId="36C5F065" w14:textId="77777777" w:rsidR="00977658" w:rsidRPr="003E5518" w:rsidRDefault="00977658" w:rsidP="00F23674">
            <w:pPr>
              <w:ind w:firstLine="17"/>
              <w:jc w:val="both"/>
            </w:pPr>
            <w:r w:rsidRPr="003E5518">
              <w:t>W ramach obowiązków związanych z administrowaniem rynkiem detalicznym OSDn realizuje następujące zadania:</w:t>
            </w:r>
          </w:p>
          <w:p w14:paraId="62A422B7" w14:textId="18C97E7B" w:rsidR="00977658" w:rsidRPr="003E5518" w:rsidRDefault="00977658">
            <w:pPr>
              <w:widowControl w:val="0"/>
              <w:numPr>
                <w:ilvl w:val="0"/>
                <w:numId w:val="142"/>
              </w:numPr>
              <w:adjustRightInd w:val="0"/>
              <w:jc w:val="both"/>
              <w:textAlignment w:val="baseline"/>
            </w:pPr>
            <w:r w:rsidRPr="003E5518">
              <w:t>przyporządkowuje sprzedawców</w:t>
            </w:r>
            <w:r w:rsidR="00047E51">
              <w:t xml:space="preserve">, </w:t>
            </w:r>
            <w:r w:rsidRPr="003E5518">
              <w:t>URD</w:t>
            </w:r>
            <w:r w:rsidR="00047E51">
              <w:t>w oraz URD</w:t>
            </w:r>
            <w:r w:rsidR="00047E51" w:rsidRPr="00047E51">
              <w:rPr>
                <w:vertAlign w:val="subscript"/>
              </w:rPr>
              <w:t>ME</w:t>
            </w:r>
            <w:r w:rsidRPr="003E5518">
              <w:t xml:space="preserve"> do poszczególnych MB przydzielonych POB, jako podmiotowi prowadzącemu bilansowanie handlowe </w:t>
            </w:r>
            <w:r w:rsidR="00047E51">
              <w:t>na RB,</w:t>
            </w:r>
            <w:r w:rsidRPr="003E5518">
              <w:t xml:space="preserve"> na podstawie GUD</w:t>
            </w:r>
            <w:r w:rsidR="00047E51">
              <w:t>, GUD-K</w:t>
            </w:r>
            <w:r w:rsidR="00F22B7C" w:rsidRPr="003E5518">
              <w:t xml:space="preserve"> </w:t>
            </w:r>
            <w:r w:rsidRPr="003E5518">
              <w:t>oraz umów o świadczenie usług dystrybucji,</w:t>
            </w:r>
          </w:p>
          <w:p w14:paraId="4DD4A005" w14:textId="77777777" w:rsidR="00977658" w:rsidRPr="003E5518" w:rsidRDefault="00977658">
            <w:pPr>
              <w:widowControl w:val="0"/>
              <w:numPr>
                <w:ilvl w:val="0"/>
                <w:numId w:val="142"/>
              </w:numPr>
              <w:adjustRightInd w:val="0"/>
              <w:jc w:val="both"/>
              <w:textAlignment w:val="baseline"/>
            </w:pPr>
            <w:r w:rsidRPr="003E5518">
              <w:t>przyporządkowuje URD do poszczególnych MDD przydzielonych sprzedawcom realizującym umowy sprzedaży, w tym umowy sprzedaży rezerwowej, na podstawie GUD,</w:t>
            </w:r>
          </w:p>
          <w:p w14:paraId="710BBBFA" w14:textId="77777777" w:rsidR="00977658" w:rsidRPr="003E5518" w:rsidRDefault="00977658">
            <w:pPr>
              <w:widowControl w:val="0"/>
              <w:numPr>
                <w:ilvl w:val="0"/>
                <w:numId w:val="142"/>
              </w:numPr>
              <w:adjustRightInd w:val="0"/>
              <w:jc w:val="both"/>
              <w:textAlignment w:val="baseline"/>
            </w:pPr>
            <w:r w:rsidRPr="003E5518">
              <w:t xml:space="preserve">powiadamia OSDp o planowanej zmianie POB przez sprzedawcę lub URD typu wytwórca, </w:t>
            </w:r>
          </w:p>
          <w:p w14:paraId="6A374FB1" w14:textId="77777777" w:rsidR="00977658" w:rsidRPr="003E5518" w:rsidRDefault="00977658">
            <w:pPr>
              <w:widowControl w:val="0"/>
              <w:numPr>
                <w:ilvl w:val="0"/>
                <w:numId w:val="142"/>
              </w:numPr>
              <w:adjustRightInd w:val="0"/>
              <w:jc w:val="both"/>
              <w:textAlignment w:val="baseline"/>
            </w:pPr>
            <w:r w:rsidRPr="003E5518">
              <w:t xml:space="preserve">rozpatruje reklamacje URB dotyczące przyporządkowanych im ilości dostaw energii w poszczególnych MB i wprowadza niezbędne korekty </w:t>
            </w:r>
            <w:r w:rsidRPr="003E5518">
              <w:br/>
              <w:t>w wymagających tego przypadkach,</w:t>
            </w:r>
          </w:p>
          <w:p w14:paraId="66F92C77" w14:textId="77777777" w:rsidR="00977658" w:rsidRPr="003E5518" w:rsidRDefault="00977658">
            <w:pPr>
              <w:widowControl w:val="0"/>
              <w:numPr>
                <w:ilvl w:val="0"/>
                <w:numId w:val="142"/>
              </w:numPr>
              <w:adjustRightInd w:val="0"/>
              <w:jc w:val="both"/>
              <w:textAlignment w:val="baseline"/>
            </w:pPr>
            <w:r w:rsidRPr="003E5518">
              <w:t xml:space="preserve">wyznacza oraz przyporządkowuje ilości dostaw energii dotyczących URD do odpowiednich MB poszczególnych POB, pełniących dla tych URD funkcje podmiotów odpowiedzialnych za bilansowanie handlowe, </w:t>
            </w:r>
          </w:p>
          <w:p w14:paraId="002BB20B" w14:textId="77777777" w:rsidR="00977658" w:rsidRPr="003E5518" w:rsidRDefault="00977658">
            <w:pPr>
              <w:widowControl w:val="0"/>
              <w:numPr>
                <w:ilvl w:val="0"/>
                <w:numId w:val="142"/>
              </w:numPr>
              <w:adjustRightInd w:val="0"/>
              <w:jc w:val="both"/>
              <w:textAlignment w:val="baseline"/>
            </w:pPr>
            <w:r w:rsidRPr="003E5518">
              <w:t>przekazuje do OSDp ilości dostaw energii dla poszczególnych MB,</w:t>
            </w:r>
          </w:p>
          <w:p w14:paraId="2759F72F" w14:textId="77777777" w:rsidR="00977658" w:rsidRPr="003E5518" w:rsidRDefault="00977658">
            <w:pPr>
              <w:widowControl w:val="0"/>
              <w:numPr>
                <w:ilvl w:val="0"/>
                <w:numId w:val="142"/>
              </w:numPr>
              <w:adjustRightInd w:val="0"/>
              <w:jc w:val="both"/>
              <w:textAlignment w:val="baseline"/>
            </w:pPr>
            <w:r w:rsidRPr="003E5518">
              <w:t xml:space="preserve">współpracuje z OSDp w zakresie świadczenia usługi redukcji obciążenia odbiorców przyłączonych do sieci OSDn, w tym usługi redukcji zapotrzebowania na polecenie OSP i przekazuje do OSDp dane pomiarowe dotyczące ilości dostaw energii w poszczególnych PPE z obszaru sieci OSDn dopuszczonych do świadczenia usługi, zgodnie z umową, o której mowa </w:t>
            </w:r>
            <w:r w:rsidRPr="003E5518">
              <w:br/>
              <w:t>w pkt. A.4.1. oraz pkt. A.8. i IRiESD OSDp.</w:t>
            </w:r>
          </w:p>
        </w:tc>
      </w:tr>
      <w:tr w:rsidR="00977658" w:rsidRPr="00683B0C" w14:paraId="1335524D" w14:textId="77777777" w:rsidTr="0032276D">
        <w:tc>
          <w:tcPr>
            <w:tcW w:w="1063" w:type="dxa"/>
            <w:shd w:val="clear" w:color="auto" w:fill="auto"/>
          </w:tcPr>
          <w:p w14:paraId="7F3CD431" w14:textId="77777777" w:rsidR="00977658" w:rsidRPr="00CB3547" w:rsidRDefault="00977658" w:rsidP="00173C8A">
            <w:pPr>
              <w:pStyle w:val="styl0"/>
            </w:pPr>
            <w:r w:rsidRPr="00CB3547">
              <w:t>A.</w:t>
            </w:r>
            <w:r w:rsidR="00D8142F">
              <w:t>5</w:t>
            </w:r>
            <w:r w:rsidRPr="00CB3547">
              <w:t>.2.</w:t>
            </w:r>
          </w:p>
        </w:tc>
        <w:tc>
          <w:tcPr>
            <w:tcW w:w="8079" w:type="dxa"/>
            <w:shd w:val="clear" w:color="auto" w:fill="auto"/>
          </w:tcPr>
          <w:p w14:paraId="5BA55AE1" w14:textId="77777777" w:rsidR="00977658" w:rsidRPr="003E5518" w:rsidRDefault="00977658" w:rsidP="00173C8A">
            <w:pPr>
              <w:pStyle w:val="Tekstpodstawowy"/>
              <w:tabs>
                <w:tab w:val="clear" w:pos="4536"/>
                <w:tab w:val="clear" w:pos="9072"/>
              </w:tabs>
              <w:spacing w:before="0" w:line="240" w:lineRule="auto"/>
              <w:rPr>
                <w:color w:val="auto"/>
                <w:szCs w:val="24"/>
                <w:lang w:val="pl-PL" w:eastAsia="pl-PL"/>
              </w:rPr>
            </w:pPr>
            <w:r w:rsidRPr="003E5518">
              <w:rPr>
                <w:color w:val="auto"/>
                <w:szCs w:val="24"/>
                <w:lang w:val="pl-PL" w:eastAsia="pl-PL"/>
              </w:rPr>
              <w:t>OSDn zgodnie z pkt. A.</w:t>
            </w:r>
            <w:r w:rsidR="00D8142F" w:rsidRPr="003E5518">
              <w:rPr>
                <w:color w:val="auto"/>
                <w:szCs w:val="24"/>
                <w:lang w:val="pl-PL" w:eastAsia="pl-PL"/>
              </w:rPr>
              <w:t>5</w:t>
            </w:r>
            <w:r w:rsidRPr="003E5518">
              <w:rPr>
                <w:color w:val="auto"/>
                <w:szCs w:val="24"/>
                <w:lang w:val="pl-PL" w:eastAsia="pl-PL"/>
              </w:rPr>
              <w:t>.4. może nadawać kody identyfikacyjne podmiotom, których urządzenia są przyłączone do jego sieci dystrybucyjnej i nie są objęte obszarem rynku bilansującego.</w:t>
            </w:r>
            <w:r w:rsidRPr="003E5518">
              <w:rPr>
                <w:i/>
                <w:color w:val="auto"/>
                <w:szCs w:val="24"/>
                <w:lang w:val="pl-PL" w:eastAsia="pl-PL"/>
              </w:rPr>
              <w:t xml:space="preserve"> </w:t>
            </w:r>
          </w:p>
          <w:p w14:paraId="719C45F9" w14:textId="77777777" w:rsidR="00977658" w:rsidRPr="003E5518" w:rsidRDefault="00977658" w:rsidP="00173C8A">
            <w:pPr>
              <w:pStyle w:val="Default"/>
              <w:jc w:val="both"/>
              <w:rPr>
                <w:color w:val="auto"/>
              </w:rPr>
            </w:pPr>
            <w:r w:rsidRPr="003E5518">
              <w:rPr>
                <w:color w:val="auto"/>
              </w:rPr>
              <w:t>Dla podmiotu, którego urządzenia są przyłączone do sieci dystrybucyjnej objętej obszarem rynku bilansującego stosowany jest kod identyfikacyjny nadany przez OSP, bądź OSDp.</w:t>
            </w:r>
          </w:p>
        </w:tc>
      </w:tr>
      <w:tr w:rsidR="00977658" w:rsidRPr="00F8228A" w14:paraId="62A5F22C" w14:textId="77777777" w:rsidTr="0032276D">
        <w:tc>
          <w:tcPr>
            <w:tcW w:w="1063" w:type="dxa"/>
            <w:shd w:val="clear" w:color="auto" w:fill="auto"/>
          </w:tcPr>
          <w:p w14:paraId="7FA31CB9" w14:textId="77777777" w:rsidR="00977658" w:rsidRPr="0081461F" w:rsidRDefault="00977658" w:rsidP="00173C8A">
            <w:pPr>
              <w:pStyle w:val="styl0"/>
            </w:pPr>
            <w:r w:rsidRPr="0081461F">
              <w:t>A.</w:t>
            </w:r>
            <w:r w:rsidR="00D8142F">
              <w:t>5</w:t>
            </w:r>
            <w:r w:rsidRPr="0081461F">
              <w:t>.3.</w:t>
            </w:r>
          </w:p>
        </w:tc>
        <w:tc>
          <w:tcPr>
            <w:tcW w:w="8079" w:type="dxa"/>
            <w:shd w:val="clear" w:color="auto" w:fill="auto"/>
          </w:tcPr>
          <w:p w14:paraId="2F91F3B9" w14:textId="77777777" w:rsidR="00977658" w:rsidRPr="003E5518" w:rsidRDefault="00977658" w:rsidP="00173C8A">
            <w:pPr>
              <w:pStyle w:val="Default"/>
              <w:spacing w:after="120"/>
              <w:jc w:val="both"/>
              <w:rPr>
                <w:color w:val="auto"/>
              </w:rPr>
            </w:pPr>
            <w:r w:rsidRPr="003B2016">
              <w:rPr>
                <w:color w:val="auto"/>
              </w:rPr>
              <w:t xml:space="preserve">OSDp nadaje zgodnie z </w:t>
            </w:r>
            <w:r w:rsidRPr="003E5518">
              <w:rPr>
                <w:color w:val="auto"/>
              </w:rPr>
              <w:t xml:space="preserve">IRiESD OSDp kody identyfikacyjne Sprzedawcom realizującym umowy sprzedaży energii lub umowy kompleksowe w sieci OSDn na zasadach określonych w umowie, o której mowa w pkt. A.4.1. </w:t>
            </w:r>
          </w:p>
          <w:p w14:paraId="0D3FC645" w14:textId="77777777" w:rsidR="00977658" w:rsidRPr="00F8228A" w:rsidRDefault="00977658" w:rsidP="00173C8A">
            <w:pPr>
              <w:pStyle w:val="Default"/>
              <w:jc w:val="both"/>
            </w:pPr>
            <w:r w:rsidRPr="003E5518">
              <w:t>Kody identyfikacyjne nadawane Sprzedawcom są tożsame</w:t>
            </w:r>
            <w:r w:rsidRPr="00F8228A">
              <w:t xml:space="preserve"> z kodami identyfikacyjnymi nadanymi przez OSP i zawarte są w GUD.</w:t>
            </w:r>
          </w:p>
        </w:tc>
      </w:tr>
      <w:tr w:rsidR="00977658" w:rsidRPr="003F06DF" w14:paraId="458C0B58" w14:textId="77777777" w:rsidTr="0032276D">
        <w:tc>
          <w:tcPr>
            <w:tcW w:w="1063" w:type="dxa"/>
            <w:shd w:val="clear" w:color="auto" w:fill="auto"/>
          </w:tcPr>
          <w:p w14:paraId="1348692A" w14:textId="77777777" w:rsidR="00977658" w:rsidRPr="00CB3547" w:rsidRDefault="00977658" w:rsidP="00173C8A">
            <w:pPr>
              <w:pStyle w:val="styl0"/>
            </w:pPr>
            <w:r w:rsidRPr="00CB3547">
              <w:t>A.</w:t>
            </w:r>
            <w:r w:rsidR="00D8142F">
              <w:t>5</w:t>
            </w:r>
            <w:r w:rsidRPr="00CB3547">
              <w:t>.4.</w:t>
            </w:r>
          </w:p>
        </w:tc>
        <w:tc>
          <w:tcPr>
            <w:tcW w:w="8079" w:type="dxa"/>
            <w:shd w:val="clear" w:color="auto" w:fill="auto"/>
          </w:tcPr>
          <w:p w14:paraId="5BF7284E" w14:textId="77777777" w:rsidR="00977658" w:rsidRPr="0081461F" w:rsidRDefault="00977658" w:rsidP="00173C8A">
            <w:pPr>
              <w:pStyle w:val="Tekstpodstawowy"/>
              <w:tabs>
                <w:tab w:val="clear" w:pos="4536"/>
                <w:tab w:val="clear" w:pos="9072"/>
              </w:tabs>
              <w:spacing w:before="0" w:line="240" w:lineRule="auto"/>
              <w:rPr>
                <w:color w:val="auto"/>
                <w:lang w:val="pl-PL" w:eastAsia="pl-PL"/>
              </w:rPr>
            </w:pPr>
            <w:r w:rsidRPr="0081461F">
              <w:rPr>
                <w:color w:val="auto"/>
                <w:lang w:val="pl-PL" w:eastAsia="pl-PL"/>
              </w:rPr>
              <w:t>Kody, o których mowa w pkt</w:t>
            </w:r>
            <w:r>
              <w:rPr>
                <w:color w:val="auto"/>
                <w:lang w:val="pl-PL" w:eastAsia="pl-PL"/>
              </w:rPr>
              <w:t>.</w:t>
            </w:r>
            <w:r w:rsidRPr="0081461F">
              <w:rPr>
                <w:color w:val="auto"/>
                <w:lang w:val="pl-PL" w:eastAsia="pl-PL"/>
              </w:rPr>
              <w:t xml:space="preserve"> A.</w:t>
            </w:r>
            <w:r w:rsidR="00D8142F">
              <w:rPr>
                <w:color w:val="auto"/>
                <w:lang w:val="pl-PL" w:eastAsia="pl-PL"/>
              </w:rPr>
              <w:t>5</w:t>
            </w:r>
            <w:r w:rsidRPr="0081461F">
              <w:rPr>
                <w:color w:val="auto"/>
                <w:lang w:val="pl-PL" w:eastAsia="pl-PL"/>
              </w:rPr>
              <w:t>.2. zawierają czteroliterowe oznaczenie podmiotu, oznaczenie Operatora Systemu Dystrybucyjnego, literę charakteryzującą podmiot oraz numer podmiotu i mają następującą postać:</w:t>
            </w:r>
          </w:p>
          <w:p w14:paraId="33D20D15" w14:textId="77777777" w:rsidR="00977658" w:rsidRPr="0081461F" w:rsidRDefault="00977658">
            <w:pPr>
              <w:pStyle w:val="Stylwyliczanie"/>
              <w:keepNext w:val="0"/>
              <w:widowControl/>
              <w:numPr>
                <w:ilvl w:val="0"/>
                <w:numId w:val="141"/>
              </w:numPr>
              <w:tabs>
                <w:tab w:val="clear" w:pos="1276"/>
                <w:tab w:val="clear" w:pos="2552"/>
                <w:tab w:val="clear" w:pos="3261"/>
                <w:tab w:val="left" w:pos="360"/>
              </w:tabs>
              <w:spacing w:before="0"/>
              <w:rPr>
                <w:color w:val="auto"/>
              </w:rPr>
            </w:pPr>
            <w:r w:rsidRPr="0081461F">
              <w:rPr>
                <w:color w:val="auto"/>
              </w:rPr>
              <w:t xml:space="preserve">URD typu wytwórca - AAAA_KodOSD_W_XXXX, gdzie: </w:t>
            </w:r>
          </w:p>
          <w:p w14:paraId="1C4CA2D1" w14:textId="77777777" w:rsidR="00977658" w:rsidRPr="005D3DE1" w:rsidRDefault="00977658" w:rsidP="00173C8A">
            <w:pPr>
              <w:pStyle w:val="Stylwyliczanie"/>
              <w:spacing w:before="0"/>
              <w:ind w:firstLine="0"/>
              <w:rPr>
                <w:color w:val="auto"/>
              </w:rPr>
            </w:pPr>
            <w:r w:rsidRPr="003B2016">
              <w:rPr>
                <w:color w:val="auto"/>
              </w:rPr>
              <w:t>...(</w:t>
            </w:r>
            <w:r w:rsidRPr="003B2016">
              <w:rPr>
                <w:i/>
                <w:color w:val="auto"/>
              </w:rPr>
              <w:t>oznaczenie literowe podmiotu</w:t>
            </w:r>
            <w:r w:rsidRPr="003B2016">
              <w:rPr>
                <w:color w:val="auto"/>
              </w:rPr>
              <w:t>)..._...(</w:t>
            </w:r>
            <w:r w:rsidRPr="007B2EF2">
              <w:rPr>
                <w:i/>
                <w:color w:val="auto"/>
              </w:rPr>
              <w:t>oznaczenie kodowe OSD</w:t>
            </w:r>
            <w:r w:rsidRPr="000F323C">
              <w:rPr>
                <w:color w:val="auto"/>
              </w:rPr>
              <w:t>)..._W_...(</w:t>
            </w:r>
            <w:r w:rsidRPr="006725BA">
              <w:rPr>
                <w:i/>
                <w:color w:val="auto"/>
              </w:rPr>
              <w:t>numer podmiotu</w:t>
            </w:r>
            <w:r w:rsidRPr="00DA4631">
              <w:rPr>
                <w:color w:val="auto"/>
              </w:rPr>
              <w:t>)...,</w:t>
            </w:r>
          </w:p>
          <w:p w14:paraId="430EEAA4" w14:textId="77777777" w:rsidR="00977658" w:rsidRPr="00E94E29" w:rsidRDefault="00977658">
            <w:pPr>
              <w:pStyle w:val="Stylwyliczanie"/>
              <w:keepNext w:val="0"/>
              <w:widowControl/>
              <w:numPr>
                <w:ilvl w:val="0"/>
                <w:numId w:val="141"/>
              </w:numPr>
              <w:tabs>
                <w:tab w:val="clear" w:pos="1276"/>
                <w:tab w:val="clear" w:pos="2552"/>
                <w:tab w:val="clear" w:pos="3261"/>
                <w:tab w:val="left" w:pos="360"/>
              </w:tabs>
              <w:spacing w:before="0"/>
              <w:rPr>
                <w:color w:val="auto"/>
              </w:rPr>
            </w:pPr>
            <w:r w:rsidRPr="00E94E29">
              <w:rPr>
                <w:color w:val="auto"/>
              </w:rPr>
              <w:t>Sprzedawca - AAAA_KodOSD_P_XXXX, gdzie:</w:t>
            </w:r>
          </w:p>
          <w:p w14:paraId="2E4C70B1" w14:textId="77777777" w:rsidR="00977658" w:rsidRPr="003F06DF" w:rsidRDefault="00977658" w:rsidP="00173C8A">
            <w:pPr>
              <w:pStyle w:val="Stylwyliczanie"/>
              <w:spacing w:before="0"/>
              <w:ind w:firstLine="0"/>
              <w:rPr>
                <w:b/>
                <w:color w:val="auto"/>
              </w:rPr>
            </w:pPr>
            <w:r w:rsidRPr="00E80BA8">
              <w:rPr>
                <w:color w:val="auto"/>
              </w:rPr>
              <w:t>...(</w:t>
            </w:r>
            <w:r w:rsidRPr="004D0F8F">
              <w:rPr>
                <w:i/>
                <w:color w:val="auto"/>
              </w:rPr>
              <w:t>oznaczenie literowe podmiotu</w:t>
            </w:r>
            <w:r w:rsidRPr="004D0F8F">
              <w:rPr>
                <w:color w:val="auto"/>
              </w:rPr>
              <w:t>)..._...(</w:t>
            </w:r>
            <w:r w:rsidRPr="004D0F8F">
              <w:rPr>
                <w:i/>
                <w:color w:val="auto"/>
              </w:rPr>
              <w:t>oznaczenie kodowe OSD</w:t>
            </w:r>
            <w:r w:rsidRPr="004D0F8F">
              <w:rPr>
                <w:color w:val="auto"/>
              </w:rPr>
              <w:t>)..._P_...(</w:t>
            </w:r>
            <w:r w:rsidRPr="004D0F8F">
              <w:rPr>
                <w:i/>
                <w:color w:val="auto"/>
              </w:rPr>
              <w:t>numer podmiotu</w:t>
            </w:r>
            <w:r w:rsidRPr="004D0F8F">
              <w:rPr>
                <w:color w:val="auto"/>
              </w:rPr>
              <w:t>)...</w:t>
            </w:r>
          </w:p>
        </w:tc>
      </w:tr>
      <w:tr w:rsidR="00977658" w:rsidRPr="00A40EE7" w14:paraId="491D9F53" w14:textId="77777777" w:rsidTr="0032276D">
        <w:tc>
          <w:tcPr>
            <w:tcW w:w="1063" w:type="dxa"/>
            <w:shd w:val="clear" w:color="auto" w:fill="auto"/>
          </w:tcPr>
          <w:p w14:paraId="289C0F07" w14:textId="77777777" w:rsidR="00977658" w:rsidRPr="00A40EE7" w:rsidRDefault="00977658" w:rsidP="00173C8A">
            <w:pPr>
              <w:pStyle w:val="styl0"/>
            </w:pPr>
            <w:r w:rsidRPr="00A40EE7">
              <w:lastRenderedPageBreak/>
              <w:t>A.</w:t>
            </w:r>
            <w:r w:rsidR="00D8142F">
              <w:t>5</w:t>
            </w:r>
            <w:r w:rsidRPr="00A40EE7">
              <w:t>.5.</w:t>
            </w:r>
          </w:p>
        </w:tc>
        <w:tc>
          <w:tcPr>
            <w:tcW w:w="8079" w:type="dxa"/>
            <w:shd w:val="clear" w:color="auto" w:fill="auto"/>
          </w:tcPr>
          <w:p w14:paraId="05F95424" w14:textId="6BD74028" w:rsidR="00977658" w:rsidRPr="00A40EE7" w:rsidRDefault="00866CB2" w:rsidP="00173C8A">
            <w:pPr>
              <w:pStyle w:val="Tekstpodstawowy"/>
              <w:tabs>
                <w:tab w:val="clear" w:pos="4536"/>
                <w:tab w:val="clear" w:pos="9072"/>
              </w:tabs>
              <w:spacing w:before="0" w:line="240" w:lineRule="auto"/>
              <w:rPr>
                <w:color w:val="auto"/>
                <w:lang w:val="pl-PL" w:eastAsia="pl-PL"/>
              </w:rPr>
            </w:pPr>
            <w:r>
              <w:rPr>
                <w:szCs w:val="24"/>
              </w:rPr>
              <w:t>Nadanie kodów identyfikacyjnych oraz potwierdzenie faktu rejestracji odbywa się poprzez zawarcie umowy o świadczenie usług dystrybucji, GUD lub GUD-K pomiędzy podmiotem i OSDn.</w:t>
            </w:r>
          </w:p>
        </w:tc>
      </w:tr>
      <w:tr w:rsidR="00977658" w:rsidRPr="006725BA" w14:paraId="1121D1E1" w14:textId="77777777" w:rsidTr="0032276D">
        <w:tc>
          <w:tcPr>
            <w:tcW w:w="1063" w:type="dxa"/>
            <w:shd w:val="clear" w:color="auto" w:fill="auto"/>
          </w:tcPr>
          <w:p w14:paraId="1076207A" w14:textId="77777777" w:rsidR="00977658" w:rsidRPr="0081461F" w:rsidRDefault="00977658" w:rsidP="00173C8A">
            <w:pPr>
              <w:pStyle w:val="styl0"/>
            </w:pPr>
            <w:r w:rsidRPr="0081461F">
              <w:t>A.</w:t>
            </w:r>
            <w:r w:rsidR="00D8142F">
              <w:t>5</w:t>
            </w:r>
            <w:r w:rsidRPr="0081461F">
              <w:t>.6.</w:t>
            </w:r>
          </w:p>
        </w:tc>
        <w:tc>
          <w:tcPr>
            <w:tcW w:w="8079" w:type="dxa"/>
            <w:shd w:val="clear" w:color="auto" w:fill="auto"/>
          </w:tcPr>
          <w:p w14:paraId="1EC89C53" w14:textId="77777777" w:rsidR="00977658" w:rsidRPr="006725BA" w:rsidRDefault="00977658" w:rsidP="00173C8A">
            <w:pPr>
              <w:jc w:val="both"/>
            </w:pPr>
            <w:r w:rsidRPr="003B2016">
              <w:t>OSDn może nadawać kody identyfikacyjne dla poszczególnych Punków Poboru Energii (PPE) dla rynku detalicznego w celu ich wykorzystywania w procesie wyznaczania danych pomiarowo-rozliczeniowych na potrzeby OSDn oraz Sprzedawców realizujących umowy sprzedaży energii lub umowy kompleksowe</w:t>
            </w:r>
            <w:r w:rsidRPr="007B2EF2">
              <w:rPr>
                <w:shd w:val="clear" w:color="auto" w:fill="D6E3BC"/>
              </w:rPr>
              <w:t xml:space="preserve"> </w:t>
            </w:r>
            <w:r w:rsidRPr="000F323C">
              <w:br/>
              <w:t>w siec</w:t>
            </w:r>
            <w:r w:rsidRPr="006725BA">
              <w:t>i OSDn.</w:t>
            </w:r>
          </w:p>
        </w:tc>
      </w:tr>
      <w:tr w:rsidR="00977658" w:rsidRPr="00261F69" w14:paraId="5AF1D535" w14:textId="77777777" w:rsidTr="0032276D">
        <w:tc>
          <w:tcPr>
            <w:tcW w:w="1063" w:type="dxa"/>
            <w:shd w:val="clear" w:color="auto" w:fill="auto"/>
          </w:tcPr>
          <w:p w14:paraId="597D6147" w14:textId="77777777" w:rsidR="00977658" w:rsidRPr="0081461F" w:rsidRDefault="00977658" w:rsidP="00173C8A">
            <w:pPr>
              <w:pStyle w:val="styl0"/>
            </w:pPr>
            <w:r w:rsidRPr="0081461F">
              <w:t>A.</w:t>
            </w:r>
            <w:r w:rsidR="00D8142F">
              <w:t>5</w:t>
            </w:r>
            <w:r w:rsidRPr="0081461F">
              <w:t>.7.</w:t>
            </w:r>
          </w:p>
        </w:tc>
        <w:tc>
          <w:tcPr>
            <w:tcW w:w="8079" w:type="dxa"/>
            <w:shd w:val="clear" w:color="auto" w:fill="auto"/>
          </w:tcPr>
          <w:p w14:paraId="3A09D801" w14:textId="77777777" w:rsidR="00977658" w:rsidRPr="0081461F" w:rsidRDefault="00977658" w:rsidP="00173C8A">
            <w:pPr>
              <w:pStyle w:val="Stylwyliczanie"/>
              <w:tabs>
                <w:tab w:val="clear" w:pos="360"/>
                <w:tab w:val="left" w:pos="213"/>
              </w:tabs>
              <w:spacing w:before="0"/>
              <w:ind w:left="0" w:firstLine="0"/>
              <w:rPr>
                <w:color w:val="auto"/>
              </w:rPr>
            </w:pPr>
            <w:r w:rsidRPr="0081461F">
              <w:rPr>
                <w:color w:val="auto"/>
              </w:rPr>
              <w:t xml:space="preserve">OSDn </w:t>
            </w:r>
            <w:r w:rsidRPr="00261F69">
              <w:rPr>
                <w:color w:val="auto"/>
              </w:rPr>
              <w:t>może</w:t>
            </w:r>
            <w:r w:rsidRPr="0081461F">
              <w:rPr>
                <w:color w:val="auto"/>
              </w:rPr>
              <w:t xml:space="preserve"> nadawać kody identyfikacyjne obiektom rynku detalicznego stosując własne oznaczenia lub może stosować oznaczenia kodowe PPE zgodnie z IRiESD OSDp.</w:t>
            </w:r>
          </w:p>
          <w:p w14:paraId="26B077D4" w14:textId="77777777" w:rsidR="00977658" w:rsidRPr="00261F69" w:rsidRDefault="00977658" w:rsidP="00173C8A">
            <w:pPr>
              <w:pStyle w:val="Stylwyliczanie"/>
              <w:tabs>
                <w:tab w:val="clear" w:pos="360"/>
                <w:tab w:val="left" w:pos="213"/>
              </w:tabs>
              <w:spacing w:before="0" w:after="240"/>
              <w:ind w:left="0" w:firstLine="0"/>
              <w:rPr>
                <w:i/>
                <w:color w:val="auto"/>
              </w:rPr>
            </w:pPr>
            <w:r w:rsidRPr="00261F69">
              <w:rPr>
                <w:color w:val="auto"/>
              </w:rPr>
              <w:t xml:space="preserve">W przypadku braku nadania przez OSDn kodu PPE podstawowym identyfikatorem Punktu Poboru Energii, dla Sprzedawców </w:t>
            </w:r>
            <w:r w:rsidRPr="00261F69">
              <w:rPr>
                <w:color w:val="auto"/>
                <w:szCs w:val="24"/>
              </w:rPr>
              <w:t>realizujących umowy sprzedaży energii lub umowy kompleksowe w sieci OSDn, jest numer układu pomiarowo-rozliczeniowego.</w:t>
            </w:r>
          </w:p>
        </w:tc>
      </w:tr>
      <w:tr w:rsidR="00977658" w:rsidRPr="00DA4631" w14:paraId="161F284F" w14:textId="77777777" w:rsidTr="0032276D">
        <w:trPr>
          <w:trHeight w:val="970"/>
        </w:trPr>
        <w:tc>
          <w:tcPr>
            <w:tcW w:w="1063" w:type="dxa"/>
            <w:shd w:val="clear" w:color="auto" w:fill="auto"/>
          </w:tcPr>
          <w:p w14:paraId="0A8D4041" w14:textId="77777777" w:rsidR="00977658" w:rsidRPr="003B2016" w:rsidRDefault="00977658" w:rsidP="00173C8A">
            <w:pPr>
              <w:pStyle w:val="styl0"/>
            </w:pPr>
            <w:r w:rsidRPr="003B2016">
              <w:t>A.</w:t>
            </w:r>
            <w:r w:rsidR="00D8142F">
              <w:t>5</w:t>
            </w:r>
            <w:r w:rsidRPr="003B2016">
              <w:t>.8.</w:t>
            </w:r>
          </w:p>
        </w:tc>
        <w:tc>
          <w:tcPr>
            <w:tcW w:w="8079" w:type="dxa"/>
            <w:shd w:val="clear" w:color="auto" w:fill="auto"/>
          </w:tcPr>
          <w:p w14:paraId="67E6A39A" w14:textId="77777777" w:rsidR="00977658" w:rsidRPr="00DA4631" w:rsidRDefault="00977658" w:rsidP="00173C8A">
            <w:pPr>
              <w:pStyle w:val="NormalnyWeb"/>
              <w:spacing w:before="0" w:beforeAutospacing="0" w:after="0" w:afterAutospacing="0"/>
              <w:jc w:val="both"/>
            </w:pPr>
            <w:r>
              <w:t>Punkt Poboru Energii (PPE) jest najmniejszą jednostką, dla której odbywa się zbilansowanie dostaw energii elektrycznej oraz dla której może nastąpić zmiana sprzedawcy. Kod PPE jest niezmiennym oznaczeniem jednoznacznie identyfikującym PPE i ma następującą postać zgodna z systemem kodowania oznaczony w pkt. A.</w:t>
            </w:r>
            <w:r w:rsidR="00D8142F">
              <w:t>5</w:t>
            </w:r>
            <w:r>
              <w:t xml:space="preserve">.7. Powyższy format kodu PPE będzie obowiązywał do momentu wprowadzenia przez OSDn nowego formatu kodu PPE, w celu ujednolicenia formatów w skali całego kraju. Nowy format kodu PPE określony </w:t>
            </w:r>
            <w:r>
              <w:br/>
              <w:t>w pkt. A.</w:t>
            </w:r>
            <w:r w:rsidR="00D8142F">
              <w:t>5</w:t>
            </w:r>
            <w:r>
              <w:t>.9. oraz zasady jego nadawania i renumeracji istniejących kodów PPE określone w pkt. od A.</w:t>
            </w:r>
            <w:r w:rsidR="00D8142F">
              <w:t>5</w:t>
            </w:r>
            <w:r>
              <w:t>.10. do A</w:t>
            </w:r>
            <w:r w:rsidR="00D8142F">
              <w:t>.5</w:t>
            </w:r>
            <w:r>
              <w:t>.16., będą obowiązywać od daty, o której mowa w pkt. A.</w:t>
            </w:r>
            <w:r w:rsidR="00D8142F">
              <w:t>5</w:t>
            </w:r>
            <w:r>
              <w:t>.12.</w:t>
            </w:r>
          </w:p>
        </w:tc>
      </w:tr>
      <w:tr w:rsidR="00977658" w14:paraId="7233B50E" w14:textId="77777777" w:rsidTr="0032276D">
        <w:trPr>
          <w:trHeight w:val="970"/>
        </w:trPr>
        <w:tc>
          <w:tcPr>
            <w:tcW w:w="1063" w:type="dxa"/>
            <w:shd w:val="clear" w:color="auto" w:fill="auto"/>
          </w:tcPr>
          <w:p w14:paraId="445A1E9D" w14:textId="77777777" w:rsidR="00977658" w:rsidRPr="003B2016" w:rsidRDefault="00977658" w:rsidP="00173C8A">
            <w:pPr>
              <w:pStyle w:val="styl0"/>
            </w:pPr>
            <w:r>
              <w:t>A.</w:t>
            </w:r>
            <w:r w:rsidR="00D8142F">
              <w:t>5</w:t>
            </w:r>
            <w:r>
              <w:t>.9.</w:t>
            </w:r>
          </w:p>
        </w:tc>
        <w:tc>
          <w:tcPr>
            <w:tcW w:w="8079" w:type="dxa"/>
            <w:shd w:val="clear" w:color="auto" w:fill="auto"/>
          </w:tcPr>
          <w:p w14:paraId="5055448D" w14:textId="77777777" w:rsidR="00977658" w:rsidRDefault="00977658" w:rsidP="00173C8A">
            <w:pPr>
              <w:pStyle w:val="NormalnyWeb"/>
              <w:spacing w:before="0" w:beforeAutospacing="0" w:after="0" w:afterAutospacing="0"/>
            </w:pPr>
            <w:r>
              <w:t>Kod PPE jest oznaczeniem w formacie zgodnym z międzynarodowym standardem GS1/GSRN, o następującej postaci:</w:t>
            </w:r>
            <w:r>
              <w:br/>
              <w:t>(590)(J1J2J3J4)(S1S2S3S4S5S6S7S8S9S10)(K)</w:t>
            </w:r>
            <w:r>
              <w:br/>
              <w:t>gdzie:</w:t>
            </w:r>
            <w:r>
              <w:br/>
              <w:t>590 – prefiks dla polskiej organizacji GS1,</w:t>
            </w:r>
            <w:r>
              <w:br/>
              <w:t>J1J2J3J4 – numer OSDn nadawany przez polską organizację GS1,</w:t>
            </w:r>
            <w:r>
              <w:br/>
              <w:t>S1S2S3S4S5S6S7S8S9S10 – unikalna liczba nadana przez OSDn dla danego PPE,</w:t>
            </w:r>
            <w:r>
              <w:br/>
              <w:t>K – cyfra kontrolna wyznaczona zgodnie z algorytmem publikowanym przez organizację GS1.</w:t>
            </w:r>
            <w:r>
              <w:br/>
              <w:t>W przypadku drukowania kodu PPE w postaci kodu kreskowego będzie on poprzedzony prefiksem (8018), oznaczającym, że kod ten dotyczy PPE.</w:t>
            </w:r>
          </w:p>
        </w:tc>
      </w:tr>
      <w:tr w:rsidR="00977658" w:rsidRPr="00CB3547" w14:paraId="0402F6E1" w14:textId="77777777" w:rsidTr="0032276D">
        <w:trPr>
          <w:trHeight w:val="284"/>
        </w:trPr>
        <w:tc>
          <w:tcPr>
            <w:tcW w:w="1063" w:type="dxa"/>
            <w:shd w:val="clear" w:color="auto" w:fill="auto"/>
          </w:tcPr>
          <w:p w14:paraId="44B5C023" w14:textId="77777777" w:rsidR="00977658" w:rsidRPr="00CB3547" w:rsidRDefault="00977658" w:rsidP="003F3492">
            <w:pPr>
              <w:pStyle w:val="styl0"/>
            </w:pPr>
            <w:r w:rsidRPr="00CB3547">
              <w:t>A.</w:t>
            </w:r>
            <w:r w:rsidR="00D8142F">
              <w:t>5</w:t>
            </w:r>
            <w:r w:rsidRPr="00CB3547">
              <w:t>.</w:t>
            </w:r>
            <w:r>
              <w:t>10</w:t>
            </w:r>
            <w:r w:rsidRPr="00CB3547">
              <w:t>.</w:t>
            </w:r>
          </w:p>
        </w:tc>
        <w:tc>
          <w:tcPr>
            <w:tcW w:w="8079" w:type="dxa"/>
            <w:shd w:val="clear" w:color="auto" w:fill="auto"/>
          </w:tcPr>
          <w:p w14:paraId="0B98E7D8" w14:textId="77777777" w:rsidR="00977658" w:rsidRPr="00CB3547" w:rsidRDefault="00977658" w:rsidP="00173C8A">
            <w:pPr>
              <w:pStyle w:val="Default"/>
              <w:jc w:val="both"/>
              <w:rPr>
                <w:color w:val="auto"/>
              </w:rPr>
            </w:pPr>
            <w:r w:rsidRPr="00CB3547">
              <w:rPr>
                <w:color w:val="auto"/>
              </w:rPr>
              <w:t>Punkt Poboru Energii (PPE) jest oznaczany przez kod PPE, przy czym dany kod identyfikuje tylko jeden PPE.</w:t>
            </w:r>
          </w:p>
        </w:tc>
      </w:tr>
      <w:tr w:rsidR="00977658" w:rsidRPr="0081461F" w14:paraId="0829DBE8" w14:textId="77777777" w:rsidTr="0032276D">
        <w:trPr>
          <w:trHeight w:val="284"/>
        </w:trPr>
        <w:tc>
          <w:tcPr>
            <w:tcW w:w="1063" w:type="dxa"/>
            <w:shd w:val="clear" w:color="auto" w:fill="auto"/>
          </w:tcPr>
          <w:p w14:paraId="00C5CC11" w14:textId="77777777" w:rsidR="00977658" w:rsidRPr="00CB3547" w:rsidRDefault="00977658" w:rsidP="003F3492">
            <w:pPr>
              <w:pStyle w:val="styl0"/>
            </w:pPr>
            <w:r w:rsidRPr="00CB3547">
              <w:t>A.</w:t>
            </w:r>
            <w:r w:rsidR="00D8142F">
              <w:t>5</w:t>
            </w:r>
            <w:r w:rsidRPr="00CB3547">
              <w:t>.1</w:t>
            </w:r>
            <w:r>
              <w:t>1</w:t>
            </w:r>
            <w:r w:rsidRPr="00CB3547">
              <w:t>.</w:t>
            </w:r>
          </w:p>
        </w:tc>
        <w:tc>
          <w:tcPr>
            <w:tcW w:w="8079" w:type="dxa"/>
            <w:shd w:val="clear" w:color="auto" w:fill="auto"/>
          </w:tcPr>
          <w:p w14:paraId="3F324FBD" w14:textId="77777777" w:rsidR="00977658" w:rsidRPr="0081461F" w:rsidRDefault="00977658" w:rsidP="00173C8A">
            <w:pPr>
              <w:pStyle w:val="Default"/>
              <w:jc w:val="both"/>
              <w:rPr>
                <w:color w:val="auto"/>
              </w:rPr>
            </w:pPr>
            <w:r w:rsidRPr="004D0F8F">
              <w:rPr>
                <w:color w:val="auto"/>
              </w:rPr>
              <w:t>Kod PPE jest nadawany</w:t>
            </w:r>
            <w:r>
              <w:rPr>
                <w:color w:val="auto"/>
              </w:rPr>
              <w:t xml:space="preserve"> </w:t>
            </w:r>
            <w:r w:rsidRPr="0081461F">
              <w:rPr>
                <w:color w:val="auto"/>
              </w:rPr>
              <w:t>po zgłoszeniu gotowości przyłącza/instalacji do przyłączenia do sieci OSDn, a przed zawarciem przez URD umowy</w:t>
            </w:r>
            <w:r>
              <w:rPr>
                <w:color w:val="auto"/>
              </w:rPr>
              <w:t>,</w:t>
            </w:r>
            <w:r w:rsidRPr="0081461F">
              <w:rPr>
                <w:color w:val="auto"/>
              </w:rPr>
              <w:t xml:space="preserve"> na postawie której ma być dostarczana energia elektryczna do PPE. </w:t>
            </w:r>
          </w:p>
        </w:tc>
      </w:tr>
      <w:tr w:rsidR="00977658" w:rsidRPr="005A04C2" w14:paraId="35E0D8A4" w14:textId="77777777" w:rsidTr="0032276D">
        <w:trPr>
          <w:trHeight w:val="284"/>
        </w:trPr>
        <w:tc>
          <w:tcPr>
            <w:tcW w:w="1063" w:type="dxa"/>
            <w:shd w:val="clear" w:color="auto" w:fill="auto"/>
          </w:tcPr>
          <w:p w14:paraId="48E614D8" w14:textId="77777777" w:rsidR="00977658" w:rsidRPr="00CB3547" w:rsidRDefault="00977658" w:rsidP="003F3492">
            <w:pPr>
              <w:pStyle w:val="styl0"/>
            </w:pPr>
            <w:r w:rsidRPr="005A04C2">
              <w:t>A.</w:t>
            </w:r>
            <w:r w:rsidR="00D8142F">
              <w:t>5</w:t>
            </w:r>
            <w:r w:rsidRPr="005A04C2">
              <w:t>.12.</w:t>
            </w:r>
          </w:p>
        </w:tc>
        <w:tc>
          <w:tcPr>
            <w:tcW w:w="8079" w:type="dxa"/>
            <w:shd w:val="clear" w:color="auto" w:fill="auto"/>
          </w:tcPr>
          <w:p w14:paraId="3DBA79D6" w14:textId="77777777" w:rsidR="00977658" w:rsidRPr="005A04C2" w:rsidRDefault="00977658" w:rsidP="00173C8A">
            <w:pPr>
              <w:pStyle w:val="Default"/>
              <w:jc w:val="both"/>
              <w:rPr>
                <w:color w:val="auto"/>
              </w:rPr>
            </w:pPr>
            <w:r w:rsidRPr="005A04C2">
              <w:t xml:space="preserve">O planowanej dacie wejścia w życie nowego formatu kodów PPE OSDn poinformuje Sprzedawców co najmniej z 180 dniowym wyprzedzeniem. Po tym terminie w komunikacji z OSDn będą stosowane wyłącznie nowe kody PPE, </w:t>
            </w:r>
            <w:r>
              <w:br/>
            </w:r>
            <w:r w:rsidRPr="005A04C2">
              <w:t>w formacie określonym w pkt. A.</w:t>
            </w:r>
            <w:r w:rsidR="00D8142F">
              <w:t>5</w:t>
            </w:r>
            <w:r w:rsidRPr="005A04C2">
              <w:t>.9, w tym również w zakresie spraw rozpoczętych, a niezakończonych przed terminem, o którym mowa w zdaniu pierwszym.</w:t>
            </w:r>
            <w:r w:rsidRPr="005A04C2">
              <w:br/>
              <w:t xml:space="preserve">Wraz z ww. informacją OSDn udostępni Sprzedawcom tabele przenumerowania </w:t>
            </w:r>
            <w:r w:rsidRPr="005A04C2">
              <w:lastRenderedPageBreak/>
              <w:t>kodów PPE w formie elektronicznej umożliwiającej kopiowanie danych. Tabela przenumerowania będzie zawierała informację o starym i nowym kodzie PPE.</w:t>
            </w:r>
          </w:p>
        </w:tc>
      </w:tr>
      <w:tr w:rsidR="00977658" w:rsidRPr="00311A04" w14:paraId="4C3BD104" w14:textId="77777777" w:rsidTr="0032276D">
        <w:trPr>
          <w:trHeight w:val="284"/>
        </w:trPr>
        <w:tc>
          <w:tcPr>
            <w:tcW w:w="1063" w:type="dxa"/>
            <w:shd w:val="clear" w:color="auto" w:fill="auto"/>
          </w:tcPr>
          <w:p w14:paraId="0DE3D383" w14:textId="77777777" w:rsidR="00977658" w:rsidRPr="00F5042B" w:rsidRDefault="00977658" w:rsidP="003F3492">
            <w:pPr>
              <w:pStyle w:val="styl0"/>
            </w:pPr>
            <w:r w:rsidRPr="00F5042B">
              <w:lastRenderedPageBreak/>
              <w:t>A.</w:t>
            </w:r>
            <w:r w:rsidR="00D8142F">
              <w:t>5</w:t>
            </w:r>
            <w:r w:rsidRPr="00F5042B">
              <w:t>.1</w:t>
            </w:r>
            <w:r>
              <w:t>3</w:t>
            </w:r>
            <w:r w:rsidRPr="00F5042B">
              <w:t>.</w:t>
            </w:r>
          </w:p>
        </w:tc>
        <w:tc>
          <w:tcPr>
            <w:tcW w:w="8079" w:type="dxa"/>
            <w:shd w:val="clear" w:color="auto" w:fill="auto"/>
          </w:tcPr>
          <w:p w14:paraId="78360A73" w14:textId="77777777" w:rsidR="00977658" w:rsidRPr="00311A04" w:rsidRDefault="00977658" w:rsidP="00173C8A">
            <w:pPr>
              <w:pStyle w:val="Default"/>
              <w:jc w:val="both"/>
              <w:rPr>
                <w:color w:val="auto"/>
              </w:rPr>
            </w:pPr>
            <w:r w:rsidRPr="00311A04">
              <w:t>Zmiana kodów PPE nadanych przez OSDn nie wymaga zmiany umów, na podstawie których dostarczana jest energia elektryczna do PPE.</w:t>
            </w:r>
          </w:p>
        </w:tc>
      </w:tr>
      <w:tr w:rsidR="00977658" w:rsidRPr="00594345" w14:paraId="74A04A34" w14:textId="77777777" w:rsidTr="0032276D">
        <w:trPr>
          <w:trHeight w:val="284"/>
        </w:trPr>
        <w:tc>
          <w:tcPr>
            <w:tcW w:w="1063" w:type="dxa"/>
            <w:shd w:val="clear" w:color="auto" w:fill="auto"/>
          </w:tcPr>
          <w:p w14:paraId="2DCE6E61" w14:textId="77777777" w:rsidR="00977658" w:rsidRPr="00F5042B" w:rsidRDefault="00977658" w:rsidP="003F3492">
            <w:pPr>
              <w:pStyle w:val="styl0"/>
            </w:pPr>
            <w:r>
              <w:t>A.</w:t>
            </w:r>
            <w:r w:rsidR="00D8142F">
              <w:t>5</w:t>
            </w:r>
            <w:r>
              <w:t>.14.</w:t>
            </w:r>
          </w:p>
        </w:tc>
        <w:tc>
          <w:tcPr>
            <w:tcW w:w="8079" w:type="dxa"/>
            <w:shd w:val="clear" w:color="auto" w:fill="auto"/>
          </w:tcPr>
          <w:p w14:paraId="636D569A" w14:textId="77777777" w:rsidR="00977658" w:rsidRPr="00594345" w:rsidRDefault="00977658" w:rsidP="00173C8A">
            <w:pPr>
              <w:pStyle w:val="Default"/>
              <w:jc w:val="both"/>
            </w:pPr>
            <w:r w:rsidRPr="00594345">
              <w:t xml:space="preserve">Poinformowanie URD o zmianie kodu PPE nastąpi </w:t>
            </w:r>
            <w:r>
              <w:t>pisemnie lub pocztą elektroniczną na wskazane w umowie adresy e-mail.</w:t>
            </w:r>
          </w:p>
        </w:tc>
      </w:tr>
      <w:tr w:rsidR="00977658" w:rsidRPr="003B2016" w14:paraId="4EE14E0C" w14:textId="77777777" w:rsidTr="0032276D">
        <w:trPr>
          <w:trHeight w:val="284"/>
        </w:trPr>
        <w:tc>
          <w:tcPr>
            <w:tcW w:w="1063" w:type="dxa"/>
            <w:shd w:val="clear" w:color="auto" w:fill="auto"/>
          </w:tcPr>
          <w:p w14:paraId="444B9B2F" w14:textId="77777777" w:rsidR="00977658" w:rsidRPr="0081461F" w:rsidRDefault="00977658" w:rsidP="003F3492">
            <w:pPr>
              <w:pStyle w:val="styl0"/>
            </w:pPr>
            <w:r w:rsidRPr="0081461F">
              <w:t>A.</w:t>
            </w:r>
            <w:r w:rsidR="00D8142F">
              <w:t>5</w:t>
            </w:r>
            <w:r w:rsidRPr="0081461F">
              <w:t>.</w:t>
            </w:r>
            <w:r>
              <w:t>15</w:t>
            </w:r>
            <w:r w:rsidRPr="0081461F">
              <w:t>.</w:t>
            </w:r>
          </w:p>
        </w:tc>
        <w:tc>
          <w:tcPr>
            <w:tcW w:w="8079" w:type="dxa"/>
            <w:shd w:val="clear" w:color="auto" w:fill="auto"/>
          </w:tcPr>
          <w:p w14:paraId="238D424D" w14:textId="77777777" w:rsidR="00977658" w:rsidRPr="003B2016" w:rsidRDefault="00977658" w:rsidP="003F3492">
            <w:pPr>
              <w:ind w:left="-70"/>
              <w:jc w:val="both"/>
            </w:pPr>
            <w:r w:rsidRPr="003B2016">
              <w:t>Zasady nadawania kodów PPE:</w:t>
            </w:r>
          </w:p>
          <w:p w14:paraId="7D3550D8" w14:textId="77777777" w:rsidR="00977658" w:rsidRDefault="00977658" w:rsidP="003F3492">
            <w:pPr>
              <w:tabs>
                <w:tab w:val="center" w:pos="213"/>
                <w:tab w:val="right" w:pos="9072"/>
              </w:tabs>
              <w:ind w:left="213"/>
              <w:jc w:val="both"/>
            </w:pPr>
            <w:r>
              <w:t>a) wszystkie PPE otrzymują kod PPE,</w:t>
            </w:r>
          </w:p>
          <w:p w14:paraId="016B7C9D" w14:textId="77777777" w:rsidR="00977658" w:rsidRDefault="00977658" w:rsidP="003F3492">
            <w:pPr>
              <w:tabs>
                <w:tab w:val="right" w:pos="9072"/>
              </w:tabs>
              <w:ind w:left="498" w:hanging="285"/>
              <w:jc w:val="both"/>
            </w:pPr>
            <w:r>
              <w:t>b) kod PPE jest nadawany w momencie, o którym mowa w pkt. A.</w:t>
            </w:r>
            <w:r w:rsidR="00D8142F">
              <w:t>5</w:t>
            </w:r>
            <w:r>
              <w:t xml:space="preserve">.11., </w:t>
            </w:r>
            <w:r>
              <w:br/>
              <w:t>z zastrzeżeniem pkt. A.</w:t>
            </w:r>
            <w:r w:rsidR="00D8142F">
              <w:t>5</w:t>
            </w:r>
            <w:r>
              <w:t xml:space="preserve">.12, </w:t>
            </w:r>
          </w:p>
          <w:p w14:paraId="1398362E" w14:textId="77777777" w:rsidR="00977658" w:rsidRDefault="00977658" w:rsidP="003F3492">
            <w:pPr>
              <w:tabs>
                <w:tab w:val="right" w:pos="9072"/>
              </w:tabs>
              <w:ind w:left="498" w:hanging="285"/>
              <w:jc w:val="both"/>
            </w:pPr>
            <w:r>
              <w:t xml:space="preserve">c) kod PPE nadany zostaje dla każdego punktu na obszarze działania OSDn, </w:t>
            </w:r>
            <w:r>
              <w:br/>
              <w:t>w którym następuje:</w:t>
            </w:r>
          </w:p>
          <w:p w14:paraId="51633D75" w14:textId="20BB1CB2" w:rsidR="00977658" w:rsidRDefault="00977658" w:rsidP="003F3492">
            <w:pPr>
              <w:tabs>
                <w:tab w:val="right" w:pos="9072"/>
              </w:tabs>
              <w:ind w:left="923" w:hanging="425"/>
              <w:jc w:val="both"/>
            </w:pPr>
            <w:r>
              <w:t>(1) „pob</w:t>
            </w:r>
            <w:r w:rsidR="00D604FB">
              <w:t>ieranie</w:t>
            </w:r>
            <w:r>
              <w:t>”, „wprowadzenie” lub „pob</w:t>
            </w:r>
            <w:r w:rsidR="00D604FB">
              <w:t>ieranie</w:t>
            </w:r>
            <w:r>
              <w:t xml:space="preserve"> i wprowadzanie” produktu energetycznego (energii, usług dystrybucyjnych, mocy, itp.) do lub </w:t>
            </w:r>
            <w:r>
              <w:br/>
              <w:t>z sieci OSDn przez URD</w:t>
            </w:r>
            <w:r w:rsidR="00D604FB">
              <w:t>o URD</w:t>
            </w:r>
            <w:r w:rsidR="00D604FB" w:rsidRPr="00D604FB">
              <w:rPr>
                <w:vertAlign w:val="subscript"/>
              </w:rPr>
              <w:t>W</w:t>
            </w:r>
            <w:r w:rsidR="00D604FB">
              <w:t xml:space="preserve"> lub URD</w:t>
            </w:r>
            <w:r w:rsidR="00D604FB" w:rsidRPr="00D604FB">
              <w:rPr>
                <w:vertAlign w:val="subscript"/>
              </w:rPr>
              <w:t>ME</w:t>
            </w:r>
            <w:r>
              <w:t>, oraz</w:t>
            </w:r>
          </w:p>
          <w:p w14:paraId="67398010" w14:textId="77777777" w:rsidR="00977658" w:rsidRDefault="00977658" w:rsidP="003F3492">
            <w:pPr>
              <w:tabs>
                <w:tab w:val="right" w:pos="9072"/>
              </w:tabs>
              <w:ind w:left="923" w:hanging="425"/>
              <w:jc w:val="both"/>
            </w:pPr>
            <w:r>
              <w:t xml:space="preserve">(2) pomiar tej wielkości przez układ pomiarowo-rozliczeniowy lub jej wyznaczanie na potrzeby rozliczeń. </w:t>
            </w:r>
          </w:p>
          <w:p w14:paraId="23F2E425" w14:textId="77777777" w:rsidR="00977658" w:rsidRDefault="00977658" w:rsidP="003F3492">
            <w:pPr>
              <w:tabs>
                <w:tab w:val="right" w:pos="9072"/>
              </w:tabs>
              <w:ind w:left="498" w:hanging="284"/>
              <w:jc w:val="both"/>
            </w:pPr>
            <w:r>
              <w:t>d) dla punktów w sieci lub instalacji wewnętrznej URD OSDn nie nadaje odrębnego kodu PPE, dla tych punktów mogą być nadane kody FPP, które są podrzędne do kodów PPE,</w:t>
            </w:r>
          </w:p>
          <w:p w14:paraId="38271C5C" w14:textId="77777777" w:rsidR="00977658" w:rsidRDefault="00977658" w:rsidP="003F3492">
            <w:pPr>
              <w:tabs>
                <w:tab w:val="right" w:pos="9072"/>
              </w:tabs>
              <w:ind w:left="498" w:hanging="284"/>
              <w:jc w:val="both"/>
            </w:pPr>
            <w:r>
              <w:t>e) likwidacja kodu PPE następuje tylko w przypadku fizycznej likwidacji przyłącza lub przyłączonego obiektu; likwidacja kodu PPE oznacza zmianę fizycznego statusu PPE na „odłączony”, a tym samym nie ma powtórnego nadawania tych samych kodów PPE,</w:t>
            </w:r>
          </w:p>
          <w:p w14:paraId="4F77C2BF" w14:textId="77777777" w:rsidR="00977658" w:rsidRDefault="00977658" w:rsidP="003F3492">
            <w:pPr>
              <w:tabs>
                <w:tab w:val="right" w:pos="9072"/>
              </w:tabs>
              <w:ind w:left="498" w:hanging="284"/>
              <w:jc w:val="both"/>
            </w:pPr>
            <w:r>
              <w:t>f) zmiany własnościowe obiektu, zmiana adresu (np. nazwy ulicy), nadanie adresu dla punktu identyfikowanego np. nr działki, zmiana parametrów technicznych PPE (np. zmiana mocy przyłączeniowej), itp. nie powodują zmiany kodu PPE,</w:t>
            </w:r>
          </w:p>
          <w:p w14:paraId="4077049C" w14:textId="77777777" w:rsidR="00977658" w:rsidRDefault="00977658" w:rsidP="003F3492">
            <w:pPr>
              <w:tabs>
                <w:tab w:val="right" w:pos="9072"/>
              </w:tabs>
              <w:ind w:left="498" w:hanging="284"/>
              <w:jc w:val="both"/>
            </w:pPr>
            <w:r>
              <w:t>g) zmiana typu umowy sieciowej (umowa kompleksowa, umowa dystrybucyjna) lub jej przeniesienie do innego systemu informatycznego nie powodują zmiany kodu PPE,</w:t>
            </w:r>
          </w:p>
          <w:p w14:paraId="30F8ABBD" w14:textId="4A74A6D5" w:rsidR="00977658" w:rsidRPr="003B2016" w:rsidRDefault="00977658" w:rsidP="003F3492">
            <w:pPr>
              <w:tabs>
                <w:tab w:val="right" w:pos="9072"/>
              </w:tabs>
              <w:ind w:left="498" w:hanging="284"/>
              <w:jc w:val="both"/>
            </w:pPr>
            <w:r>
              <w:t>h) dla punktu w sieci, w którym występuje pob</w:t>
            </w:r>
            <w:r w:rsidR="00A02A45">
              <w:t>ieranie</w:t>
            </w:r>
            <w:r>
              <w:t xml:space="preserve"> i wprowadzenie, nadaje się jeden kod PPE.</w:t>
            </w:r>
          </w:p>
        </w:tc>
      </w:tr>
      <w:tr w:rsidR="00977658" w:rsidRPr="004D0F8F" w14:paraId="1D45C534" w14:textId="77777777" w:rsidTr="003F3492">
        <w:trPr>
          <w:trHeight w:val="379"/>
        </w:trPr>
        <w:tc>
          <w:tcPr>
            <w:tcW w:w="1063" w:type="dxa"/>
            <w:shd w:val="clear" w:color="auto" w:fill="auto"/>
          </w:tcPr>
          <w:p w14:paraId="347BFAC7" w14:textId="77777777" w:rsidR="00977658" w:rsidRPr="003B2016" w:rsidRDefault="00977658" w:rsidP="003F3492">
            <w:pPr>
              <w:pStyle w:val="styl0"/>
            </w:pPr>
            <w:r w:rsidRPr="003B2016">
              <w:t>A.</w:t>
            </w:r>
            <w:r w:rsidR="00D8142F">
              <w:t>5</w:t>
            </w:r>
            <w:r w:rsidRPr="003B2016">
              <w:t>.1</w:t>
            </w:r>
            <w:r>
              <w:t>6.</w:t>
            </w:r>
          </w:p>
        </w:tc>
        <w:tc>
          <w:tcPr>
            <w:tcW w:w="8079" w:type="dxa"/>
            <w:shd w:val="clear" w:color="auto" w:fill="auto"/>
          </w:tcPr>
          <w:p w14:paraId="135064A9" w14:textId="77777777" w:rsidR="00977658" w:rsidRPr="007B2EF2" w:rsidRDefault="00977658" w:rsidP="003F3492">
            <w:pPr>
              <w:ind w:left="-70"/>
              <w:jc w:val="both"/>
            </w:pPr>
            <w:r w:rsidRPr="007B2EF2">
              <w:t>Przypadki szczególne dotyczące nadawania kodów PPE:</w:t>
            </w:r>
          </w:p>
          <w:p w14:paraId="0E325BFF" w14:textId="77777777" w:rsidR="00977658" w:rsidRPr="006725BA" w:rsidRDefault="00977658">
            <w:pPr>
              <w:numPr>
                <w:ilvl w:val="0"/>
                <w:numId w:val="143"/>
              </w:numPr>
              <w:tabs>
                <w:tab w:val="center" w:pos="213"/>
                <w:tab w:val="right" w:pos="9072"/>
              </w:tabs>
              <w:ind w:left="213" w:hanging="283"/>
              <w:jc w:val="both"/>
            </w:pPr>
            <w:r w:rsidRPr="000F323C">
              <w:t xml:space="preserve">jeżeli w układzie </w:t>
            </w:r>
            <w:r w:rsidRPr="006725BA">
              <w:t>pomiarowym występują oprócz podstawowego układu pomiarowo-rozliczeniowego inne układy (rezerwowy, kontrolny) to wszystkie mają jeden, ten sam kod PPE,</w:t>
            </w:r>
          </w:p>
          <w:p w14:paraId="3D000CBF" w14:textId="77777777" w:rsidR="00977658" w:rsidRPr="007C55E0" w:rsidRDefault="00977658">
            <w:pPr>
              <w:numPr>
                <w:ilvl w:val="0"/>
                <w:numId w:val="143"/>
              </w:numPr>
              <w:tabs>
                <w:tab w:val="center" w:pos="213"/>
                <w:tab w:val="right" w:pos="9072"/>
              </w:tabs>
              <w:ind w:left="213" w:hanging="283"/>
              <w:jc w:val="both"/>
            </w:pPr>
            <w:r w:rsidRPr="00DA4631">
              <w:t>jeśli w skład układu pomiarowego wchodzą liczniki energii czynnej, biernej indukcyjnej, biernej pojemnośc</w:t>
            </w:r>
            <w:r w:rsidRPr="007C55E0">
              <w:t>iowej, itp. to wszystkie mają jeden, ten sam kod PPE,</w:t>
            </w:r>
          </w:p>
          <w:p w14:paraId="45F5BD53" w14:textId="77777777" w:rsidR="00977658" w:rsidRPr="005D3DE1" w:rsidRDefault="00977658">
            <w:pPr>
              <w:numPr>
                <w:ilvl w:val="0"/>
                <w:numId w:val="143"/>
              </w:numPr>
              <w:tabs>
                <w:tab w:val="center" w:pos="213"/>
                <w:tab w:val="right" w:pos="9072"/>
              </w:tabs>
              <w:ind w:left="213" w:hanging="283"/>
              <w:jc w:val="both"/>
            </w:pPr>
            <w:r w:rsidRPr="005D3DE1">
              <w:t xml:space="preserve">w budynkach wielolokalowych każdy </w:t>
            </w:r>
            <w:r>
              <w:t xml:space="preserve">PPE </w:t>
            </w:r>
            <w:r w:rsidRPr="005D3DE1">
              <w:t>posiada odrębny kod PPE,</w:t>
            </w:r>
          </w:p>
          <w:p w14:paraId="7F6CECFE" w14:textId="77777777" w:rsidR="00977658" w:rsidRPr="00E80BA8" w:rsidRDefault="00977658">
            <w:pPr>
              <w:numPr>
                <w:ilvl w:val="0"/>
                <w:numId w:val="143"/>
              </w:numPr>
              <w:tabs>
                <w:tab w:val="center" w:pos="213"/>
                <w:tab w:val="right" w:pos="9072"/>
              </w:tabs>
              <w:ind w:left="213" w:hanging="283"/>
              <w:jc w:val="both"/>
            </w:pPr>
            <w:r w:rsidRPr="00E94E29">
              <w:t xml:space="preserve">w przypadku, gdy pod jednym adresem pocztowym istnieje kilka </w:t>
            </w:r>
            <w:r>
              <w:t>PPE</w:t>
            </w:r>
            <w:r w:rsidRPr="00E94E29">
              <w:t>, to każdy z nich posiada odrębny kod P</w:t>
            </w:r>
            <w:r w:rsidRPr="00E80BA8">
              <w:t>PE,</w:t>
            </w:r>
          </w:p>
          <w:p w14:paraId="10CCD64B" w14:textId="77777777" w:rsidR="00977658" w:rsidRPr="004D0F8F" w:rsidRDefault="00977658">
            <w:pPr>
              <w:numPr>
                <w:ilvl w:val="0"/>
                <w:numId w:val="143"/>
              </w:numPr>
              <w:tabs>
                <w:tab w:val="center" w:pos="213"/>
                <w:tab w:val="right" w:pos="9072"/>
              </w:tabs>
              <w:ind w:left="213" w:hanging="283"/>
              <w:jc w:val="both"/>
            </w:pPr>
            <w:r w:rsidRPr="004D0F8F">
              <w:t>kod PPE nie ulega zmianie w przypadku przyłączenia do sieci mikroinstalacji.</w:t>
            </w:r>
          </w:p>
        </w:tc>
      </w:tr>
    </w:tbl>
    <w:p w14:paraId="18AB1A15" w14:textId="77777777" w:rsidR="00572BA3" w:rsidRDefault="00572BA3">
      <w:pPr>
        <w:spacing w:line="139" w:lineRule="exact"/>
        <w:rPr>
          <w:rFonts w:eastAsia="Times New Roman"/>
        </w:rPr>
      </w:pPr>
    </w:p>
    <w:p w14:paraId="77146853" w14:textId="27B5BC2A" w:rsidR="00572BA3" w:rsidRDefault="00572BA3" w:rsidP="005716E5">
      <w:pPr>
        <w:pStyle w:val="Nagwek2"/>
        <w:ind w:left="567" w:hanging="567"/>
        <w:jc w:val="both"/>
      </w:pPr>
      <w:bookmarkStart w:id="76" w:name="_Toc141963913"/>
      <w:r>
        <w:t>A.6.</w:t>
      </w:r>
      <w:r>
        <w:tab/>
        <w:t xml:space="preserve">ZASADY WSPÓŁPRACY OSDn Z </w:t>
      </w:r>
      <w:r w:rsidR="008905F3">
        <w:t xml:space="preserve">OSDp </w:t>
      </w:r>
      <w:r>
        <w:t>W ZAKRESIE PRZEKAZYWANIA DANYCH POMIAROWYCH</w:t>
      </w:r>
      <w:bookmarkEnd w:id="76"/>
      <w:r>
        <w:t xml:space="preserve"> </w:t>
      </w:r>
    </w:p>
    <w:tbl>
      <w:tblPr>
        <w:tblW w:w="9214" w:type="dxa"/>
        <w:tblLayout w:type="fixed"/>
        <w:tblCellMar>
          <w:left w:w="70" w:type="dxa"/>
          <w:right w:w="70" w:type="dxa"/>
        </w:tblCellMar>
        <w:tblLook w:val="0000" w:firstRow="0" w:lastRow="0" w:firstColumn="0" w:lastColumn="0" w:noHBand="0" w:noVBand="0"/>
      </w:tblPr>
      <w:tblGrid>
        <w:gridCol w:w="1063"/>
        <w:gridCol w:w="8151"/>
      </w:tblGrid>
      <w:tr w:rsidR="008F676A" w:rsidRPr="00F8228A" w14:paraId="13C1448E" w14:textId="77777777" w:rsidTr="001043A5">
        <w:tc>
          <w:tcPr>
            <w:tcW w:w="1063" w:type="dxa"/>
            <w:shd w:val="clear" w:color="auto" w:fill="auto"/>
          </w:tcPr>
          <w:p w14:paraId="685ACD30" w14:textId="4AD21927" w:rsidR="008F676A" w:rsidRPr="00A9485E" w:rsidRDefault="0058148E" w:rsidP="0058148E">
            <w:r w:rsidRPr="00956BD9">
              <w:rPr>
                <w:rFonts w:eastAsia="Times New Roman" w:cs="Times New Roman"/>
                <w:szCs w:val="24"/>
              </w:rPr>
              <w:t>A.</w:t>
            </w:r>
            <w:r>
              <w:rPr>
                <w:rFonts w:eastAsia="Times New Roman" w:cs="Times New Roman"/>
                <w:szCs w:val="24"/>
              </w:rPr>
              <w:t>6.1.</w:t>
            </w:r>
          </w:p>
        </w:tc>
        <w:tc>
          <w:tcPr>
            <w:tcW w:w="8151" w:type="dxa"/>
            <w:shd w:val="clear" w:color="auto" w:fill="auto"/>
          </w:tcPr>
          <w:p w14:paraId="7119C5D4" w14:textId="77777777" w:rsidR="0058148E" w:rsidRPr="00D325BF" w:rsidRDefault="0058148E" w:rsidP="009C42E8">
            <w:pPr>
              <w:spacing w:before="120"/>
              <w:ind w:firstLine="4"/>
              <w:jc w:val="both"/>
              <w:rPr>
                <w:rFonts w:eastAsia="Times New Roman" w:cs="Times New Roman"/>
                <w:szCs w:val="24"/>
                <w:lang w:bidi="pl-PL"/>
              </w:rPr>
            </w:pPr>
            <w:r w:rsidRPr="00D325BF">
              <w:rPr>
                <w:rFonts w:eastAsia="Times New Roman" w:cs="Times New Roman"/>
                <w:szCs w:val="24"/>
                <w:lang w:bidi="pl-PL"/>
              </w:rPr>
              <w:t xml:space="preserve">W celu realizacji obowiązków w zakresie współpracy z OSP w zakresie przekazywania danych pomiarowych dla potrzeb: </w:t>
            </w:r>
          </w:p>
          <w:p w14:paraId="04C750AD" w14:textId="77777777" w:rsidR="0058148E" w:rsidRPr="00D325BF" w:rsidRDefault="0058148E" w:rsidP="0058148E">
            <w:pPr>
              <w:spacing w:before="120"/>
              <w:ind w:left="2977" w:right="-142" w:hanging="2831"/>
              <w:rPr>
                <w:rFonts w:eastAsia="Times New Roman" w:cs="Times New Roman"/>
                <w:szCs w:val="24"/>
                <w:lang w:bidi="pl-PL"/>
              </w:rPr>
            </w:pPr>
            <w:r w:rsidRPr="00D325BF">
              <w:rPr>
                <w:rFonts w:eastAsia="Times New Roman" w:cs="Times New Roman"/>
                <w:szCs w:val="24"/>
                <w:lang w:bidi="pl-PL"/>
              </w:rPr>
              <w:lastRenderedPageBreak/>
              <w:t xml:space="preserve">a) rozliczeń na RB, </w:t>
            </w:r>
          </w:p>
          <w:p w14:paraId="6D6EBDA8" w14:textId="77777777" w:rsidR="0058148E" w:rsidRPr="00D325BF" w:rsidRDefault="0058148E" w:rsidP="0058148E">
            <w:pPr>
              <w:spacing w:before="120"/>
              <w:ind w:left="2977" w:right="-142" w:hanging="2831"/>
              <w:rPr>
                <w:rFonts w:eastAsia="Times New Roman" w:cs="Times New Roman"/>
                <w:szCs w:val="24"/>
                <w:lang w:bidi="pl-PL"/>
              </w:rPr>
            </w:pPr>
            <w:r w:rsidRPr="00D325BF">
              <w:rPr>
                <w:rFonts w:eastAsia="Times New Roman" w:cs="Times New Roman"/>
                <w:szCs w:val="24"/>
                <w:lang w:bidi="pl-PL"/>
              </w:rPr>
              <w:t xml:space="preserve">b) regulacyjnych usług systemowych w zakresie rezerwy interwencyjnej, </w:t>
            </w:r>
          </w:p>
          <w:p w14:paraId="4C6EDACE" w14:textId="77777777" w:rsidR="0058148E" w:rsidRPr="00D325BF" w:rsidRDefault="0058148E" w:rsidP="0058148E">
            <w:pPr>
              <w:spacing w:before="120"/>
              <w:ind w:left="2977" w:right="-142" w:hanging="2831"/>
              <w:rPr>
                <w:rFonts w:eastAsia="Times New Roman" w:cs="Times New Roman"/>
                <w:szCs w:val="24"/>
                <w:lang w:bidi="pl-PL"/>
              </w:rPr>
            </w:pPr>
            <w:r w:rsidRPr="00D325BF">
              <w:rPr>
                <w:rFonts w:eastAsia="Times New Roman" w:cs="Times New Roman"/>
                <w:szCs w:val="24"/>
                <w:lang w:bidi="pl-PL"/>
              </w:rPr>
              <w:t xml:space="preserve">c) rynku mocy, </w:t>
            </w:r>
          </w:p>
          <w:p w14:paraId="53CCE594" w14:textId="1CF469AA" w:rsidR="0058148E" w:rsidRPr="00D325BF" w:rsidRDefault="0058148E" w:rsidP="009C42E8">
            <w:pPr>
              <w:spacing w:before="120"/>
              <w:ind w:left="4" w:right="68"/>
              <w:jc w:val="both"/>
              <w:rPr>
                <w:rFonts w:eastAsia="Times New Roman" w:cs="Times New Roman"/>
                <w:szCs w:val="24"/>
                <w:lang w:bidi="pl-PL"/>
              </w:rPr>
            </w:pPr>
            <w:r w:rsidRPr="00D325BF">
              <w:rPr>
                <w:rFonts w:eastAsia="Times New Roman" w:cs="Times New Roman"/>
                <w:szCs w:val="24"/>
                <w:lang w:bidi="pl-PL"/>
              </w:rPr>
              <w:t xml:space="preserve">OSDn dla obszaru swojej sieci dystrybucyjnej zawiera z OSDp umowę zgodnie </w:t>
            </w:r>
            <w:r w:rsidR="00C840BC">
              <w:rPr>
                <w:rFonts w:eastAsia="Times New Roman" w:cs="Times New Roman"/>
                <w:szCs w:val="24"/>
                <w:lang w:bidi="pl-PL"/>
              </w:rPr>
              <w:br/>
            </w:r>
            <w:r w:rsidRPr="00D325BF">
              <w:rPr>
                <w:rFonts w:eastAsia="Times New Roman" w:cs="Times New Roman"/>
                <w:szCs w:val="24"/>
                <w:lang w:bidi="pl-PL"/>
              </w:rPr>
              <w:t>z zapisami IRiESD OSDp.</w:t>
            </w:r>
          </w:p>
          <w:p w14:paraId="7E4E0FCE" w14:textId="25EB1C2D" w:rsidR="004F3809" w:rsidRPr="00D325BF" w:rsidRDefault="0058148E" w:rsidP="00E85391">
            <w:pPr>
              <w:spacing w:before="120"/>
              <w:ind w:left="4" w:right="-142" w:hanging="4"/>
              <w:rPr>
                <w:szCs w:val="24"/>
              </w:rPr>
            </w:pPr>
            <w:r w:rsidRPr="00D325BF">
              <w:rPr>
                <w:rFonts w:eastAsia="Times New Roman" w:cs="Times New Roman"/>
                <w:szCs w:val="24"/>
                <w:lang w:bidi="pl-PL"/>
              </w:rPr>
              <w:t>Umowa ta powinna zawierać co najmniej następujące elementy:</w:t>
            </w:r>
          </w:p>
        </w:tc>
      </w:tr>
      <w:tr w:rsidR="008F676A" w:rsidRPr="00E32790" w14:paraId="73E7AB56" w14:textId="77777777" w:rsidTr="009C42E8">
        <w:tc>
          <w:tcPr>
            <w:tcW w:w="1063" w:type="dxa"/>
            <w:shd w:val="clear" w:color="auto" w:fill="auto"/>
          </w:tcPr>
          <w:p w14:paraId="786FB2A8" w14:textId="25548E62" w:rsidR="008F676A" w:rsidRPr="00A9485E" w:rsidRDefault="008F676A" w:rsidP="008F676A"/>
        </w:tc>
        <w:tc>
          <w:tcPr>
            <w:tcW w:w="8151" w:type="dxa"/>
            <w:shd w:val="clear" w:color="auto" w:fill="auto"/>
          </w:tcPr>
          <w:p w14:paraId="33F8C5ED" w14:textId="0FEDFEC7" w:rsidR="00D325BF" w:rsidRPr="00D56125" w:rsidRDefault="00D325BF">
            <w:pPr>
              <w:pStyle w:val="Akapitzlist"/>
              <w:numPr>
                <w:ilvl w:val="1"/>
                <w:numId w:val="274"/>
              </w:numPr>
              <w:spacing w:before="120"/>
              <w:ind w:left="430" w:right="-142" w:hanging="284"/>
              <w:jc w:val="both"/>
              <w:rPr>
                <w:rFonts w:eastAsia="Times New Roman" w:cs="Times New Roman"/>
                <w:szCs w:val="24"/>
                <w:lang w:bidi="pl-PL"/>
              </w:rPr>
            </w:pPr>
            <w:r w:rsidRPr="00D56125">
              <w:rPr>
                <w:rFonts w:eastAsia="Times New Roman" w:cs="Times New Roman"/>
                <w:szCs w:val="24"/>
                <w:lang w:bidi="pl-PL"/>
              </w:rPr>
              <w:t xml:space="preserve">zakres obowiązków realizowanych przez OSDn oraz OSDp, </w:t>
            </w:r>
          </w:p>
          <w:p w14:paraId="69CDD5E9" w14:textId="5E031165" w:rsidR="00D325BF" w:rsidRPr="00D56125" w:rsidRDefault="00D325BF">
            <w:pPr>
              <w:pStyle w:val="Akapitzlist"/>
              <w:numPr>
                <w:ilvl w:val="0"/>
                <w:numId w:val="274"/>
              </w:numPr>
              <w:spacing w:before="120"/>
              <w:ind w:left="430" w:right="68" w:hanging="284"/>
              <w:jc w:val="both"/>
              <w:rPr>
                <w:rFonts w:eastAsia="Times New Roman" w:cs="Times New Roman"/>
                <w:szCs w:val="24"/>
                <w:lang w:bidi="pl-PL"/>
              </w:rPr>
            </w:pPr>
            <w:r w:rsidRPr="00D56125">
              <w:rPr>
                <w:rFonts w:eastAsia="Times New Roman" w:cs="Times New Roman"/>
                <w:szCs w:val="24"/>
                <w:lang w:bidi="pl-PL"/>
              </w:rPr>
              <w:t xml:space="preserve">zgodę OSDn na realizację jego obowiązków w zakresie współpracy z OSP przez OSDp, </w:t>
            </w:r>
          </w:p>
          <w:p w14:paraId="18942A0F" w14:textId="57EB9650" w:rsidR="00D325BF" w:rsidRPr="00FC69B1" w:rsidRDefault="00D325BF">
            <w:pPr>
              <w:pStyle w:val="Akapitzlist"/>
              <w:numPr>
                <w:ilvl w:val="0"/>
                <w:numId w:val="274"/>
              </w:numPr>
              <w:spacing w:before="120"/>
              <w:ind w:left="430" w:hanging="284"/>
              <w:jc w:val="both"/>
              <w:rPr>
                <w:rFonts w:eastAsia="Times New Roman" w:cs="Times New Roman"/>
                <w:szCs w:val="24"/>
                <w:lang w:bidi="pl-PL"/>
              </w:rPr>
            </w:pPr>
            <w:r w:rsidRPr="00FC69B1">
              <w:rPr>
                <w:rFonts w:eastAsia="Times New Roman" w:cs="Times New Roman"/>
                <w:szCs w:val="24"/>
                <w:lang w:bidi="pl-PL"/>
              </w:rPr>
              <w:t>zobowiązanie OSDn do zawierania ze sprzedawcami umów dystrybucji (GUD lub/i GUD-K), w których będzie wskazany POB, posiadający umowę, o której mowa w pkt A.2.3.3. zawartą z OSDp,</w:t>
            </w:r>
          </w:p>
          <w:p w14:paraId="071E2FD5" w14:textId="7FF9DA2F" w:rsidR="00D325BF" w:rsidRPr="00FC69B1" w:rsidRDefault="00D325BF">
            <w:pPr>
              <w:pStyle w:val="Akapitzlist"/>
              <w:numPr>
                <w:ilvl w:val="0"/>
                <w:numId w:val="274"/>
              </w:numPr>
              <w:spacing w:before="120"/>
              <w:ind w:left="430" w:hanging="284"/>
              <w:jc w:val="both"/>
              <w:rPr>
                <w:rFonts w:eastAsia="Times New Roman" w:cs="Times New Roman"/>
                <w:szCs w:val="24"/>
                <w:lang w:bidi="pl-PL"/>
              </w:rPr>
            </w:pPr>
            <w:r w:rsidRPr="00FC69B1">
              <w:rPr>
                <w:rFonts w:eastAsia="Times New Roman" w:cs="Times New Roman"/>
                <w:szCs w:val="24"/>
                <w:lang w:bidi="pl-PL"/>
              </w:rPr>
              <w:t xml:space="preserve">dane o posiadanych przez OSDn koncesjach i decyzjach dotyczących sprzedaży energii elektrycznej albo świadczenia usług dystrybucji energii elektrycznej, </w:t>
            </w:r>
          </w:p>
          <w:p w14:paraId="2C1DC291" w14:textId="020A7B65" w:rsidR="00D325BF" w:rsidRPr="00FC69B1" w:rsidRDefault="00D325BF">
            <w:pPr>
              <w:pStyle w:val="Akapitzlist"/>
              <w:numPr>
                <w:ilvl w:val="0"/>
                <w:numId w:val="274"/>
              </w:numPr>
              <w:spacing w:before="120"/>
              <w:ind w:left="430" w:hanging="284"/>
              <w:jc w:val="both"/>
              <w:rPr>
                <w:rFonts w:eastAsia="Times New Roman" w:cs="Times New Roman"/>
                <w:szCs w:val="24"/>
                <w:lang w:bidi="pl-PL"/>
              </w:rPr>
            </w:pPr>
            <w:r w:rsidRPr="00FC69B1">
              <w:rPr>
                <w:rFonts w:eastAsia="Times New Roman" w:cs="Times New Roman"/>
                <w:szCs w:val="24"/>
                <w:lang w:bidi="pl-PL"/>
              </w:rPr>
              <w:t xml:space="preserve">osoby upoważnione do kontaktu z OSDp oraz ich dane teleadresowe, </w:t>
            </w:r>
          </w:p>
          <w:p w14:paraId="0CBDF365" w14:textId="6703A993" w:rsidR="00D325BF" w:rsidRPr="00432349" w:rsidRDefault="00D325BF">
            <w:pPr>
              <w:pStyle w:val="Akapitzlist"/>
              <w:numPr>
                <w:ilvl w:val="0"/>
                <w:numId w:val="274"/>
              </w:numPr>
              <w:tabs>
                <w:tab w:val="left" w:pos="1843"/>
              </w:tabs>
              <w:spacing w:before="120"/>
              <w:ind w:left="430" w:hanging="284"/>
              <w:jc w:val="both"/>
              <w:rPr>
                <w:rFonts w:eastAsia="Times New Roman" w:cs="Times New Roman"/>
                <w:szCs w:val="24"/>
                <w:lang w:bidi="pl-PL"/>
              </w:rPr>
            </w:pPr>
            <w:r w:rsidRPr="00432349">
              <w:rPr>
                <w:rFonts w:eastAsia="Times New Roman" w:cs="Times New Roman"/>
                <w:szCs w:val="24"/>
                <w:lang w:bidi="pl-PL"/>
              </w:rPr>
              <w:t xml:space="preserve">zobowiązania stron do stosowania postanowień niniejszej IRiESD OSDp, </w:t>
            </w:r>
          </w:p>
          <w:p w14:paraId="6E2F1E70" w14:textId="0A46C098" w:rsidR="00D325BF" w:rsidRPr="00432349" w:rsidRDefault="00D325BF">
            <w:pPr>
              <w:pStyle w:val="Akapitzlist"/>
              <w:numPr>
                <w:ilvl w:val="0"/>
                <w:numId w:val="274"/>
              </w:numPr>
              <w:tabs>
                <w:tab w:val="left" w:pos="1843"/>
              </w:tabs>
              <w:spacing w:before="120"/>
              <w:ind w:left="430" w:hanging="284"/>
              <w:jc w:val="both"/>
              <w:rPr>
                <w:rFonts w:eastAsia="Times New Roman" w:cs="Times New Roman"/>
                <w:szCs w:val="24"/>
                <w:lang w:bidi="pl-PL"/>
              </w:rPr>
            </w:pPr>
            <w:r w:rsidRPr="00432349">
              <w:rPr>
                <w:rFonts w:eastAsia="Times New Roman" w:cs="Times New Roman"/>
                <w:szCs w:val="24"/>
                <w:lang w:bidi="pl-PL"/>
              </w:rPr>
              <w:t xml:space="preserve">zasady rozwiązywania umowy lub wprowadzania ograniczeń w jej wykonaniu, </w:t>
            </w:r>
          </w:p>
          <w:p w14:paraId="20AFAA19" w14:textId="63F6F71B" w:rsidR="00D325BF" w:rsidRPr="00432349" w:rsidRDefault="00D325BF">
            <w:pPr>
              <w:pStyle w:val="Akapitzlist"/>
              <w:numPr>
                <w:ilvl w:val="0"/>
                <w:numId w:val="274"/>
              </w:numPr>
              <w:tabs>
                <w:tab w:val="left" w:pos="1843"/>
              </w:tabs>
              <w:spacing w:before="120"/>
              <w:ind w:left="430" w:hanging="284"/>
              <w:jc w:val="both"/>
              <w:rPr>
                <w:rFonts w:eastAsia="Times New Roman" w:cs="Times New Roman"/>
                <w:szCs w:val="24"/>
                <w:lang w:bidi="pl-PL"/>
              </w:rPr>
            </w:pPr>
            <w:r w:rsidRPr="00432349">
              <w:rPr>
                <w:rFonts w:eastAsia="Times New Roman" w:cs="Times New Roman"/>
                <w:szCs w:val="24"/>
                <w:lang w:bidi="pl-PL"/>
              </w:rPr>
              <w:t xml:space="preserve">zasady obejmowania umową kolejnych URD z obszaru OSDn, </w:t>
            </w:r>
          </w:p>
          <w:p w14:paraId="0E1D3ADB" w14:textId="0A5B41FB" w:rsidR="00D325BF" w:rsidRPr="00432349" w:rsidRDefault="00D325BF">
            <w:pPr>
              <w:pStyle w:val="Akapitzlist"/>
              <w:numPr>
                <w:ilvl w:val="0"/>
                <w:numId w:val="274"/>
              </w:numPr>
              <w:tabs>
                <w:tab w:val="left" w:pos="1843"/>
              </w:tabs>
              <w:spacing w:before="120"/>
              <w:ind w:left="430" w:hanging="284"/>
              <w:jc w:val="both"/>
              <w:rPr>
                <w:rFonts w:eastAsia="Times New Roman" w:cs="Times New Roman"/>
                <w:szCs w:val="24"/>
                <w:lang w:bidi="pl-PL"/>
              </w:rPr>
            </w:pPr>
            <w:r w:rsidRPr="00432349">
              <w:rPr>
                <w:rFonts w:eastAsia="Times New Roman" w:cs="Times New Roman"/>
                <w:szCs w:val="24"/>
                <w:lang w:bidi="pl-PL"/>
              </w:rPr>
              <w:t>zasady wyznaczania i przekazywania danych pomiarowych,</w:t>
            </w:r>
          </w:p>
          <w:p w14:paraId="126798C3" w14:textId="34E618AC" w:rsidR="00D325BF" w:rsidRPr="00432349" w:rsidRDefault="00D325BF">
            <w:pPr>
              <w:pStyle w:val="Akapitzlist"/>
              <w:numPr>
                <w:ilvl w:val="0"/>
                <w:numId w:val="274"/>
              </w:numPr>
              <w:spacing w:before="120"/>
              <w:ind w:left="430" w:hanging="284"/>
              <w:jc w:val="both"/>
              <w:rPr>
                <w:rFonts w:eastAsia="Times New Roman" w:cs="Times New Roman"/>
                <w:szCs w:val="24"/>
                <w:lang w:bidi="pl-PL"/>
              </w:rPr>
            </w:pPr>
            <w:r w:rsidRPr="00432349">
              <w:rPr>
                <w:rFonts w:eastAsia="Times New Roman" w:cs="Times New Roman"/>
                <w:szCs w:val="24"/>
                <w:lang w:bidi="pl-PL"/>
              </w:rPr>
              <w:t>zasady przekazywania danych pomiarowych dla potrzeb realizacji regulacyjnych usług systemowych w zakresie rezerwy interwencyjnej,</w:t>
            </w:r>
          </w:p>
          <w:p w14:paraId="2B5C22F8" w14:textId="276924F4" w:rsidR="00D325BF" w:rsidRPr="00432349" w:rsidRDefault="00D325BF">
            <w:pPr>
              <w:pStyle w:val="Akapitzlist"/>
              <w:numPr>
                <w:ilvl w:val="0"/>
                <w:numId w:val="274"/>
              </w:numPr>
              <w:spacing w:before="120"/>
              <w:ind w:left="430" w:hanging="284"/>
              <w:jc w:val="both"/>
              <w:rPr>
                <w:rFonts w:eastAsia="Times New Roman" w:cs="Times New Roman"/>
                <w:szCs w:val="24"/>
                <w:lang w:bidi="pl-PL"/>
              </w:rPr>
            </w:pPr>
            <w:r w:rsidRPr="00432349">
              <w:rPr>
                <w:rFonts w:eastAsia="Times New Roman" w:cs="Times New Roman"/>
                <w:szCs w:val="24"/>
                <w:lang w:bidi="pl-PL"/>
              </w:rPr>
              <w:t>zasady współpracy w zakresie przekazywania informacji, a w szczególności przekazywania danych pomiarowych na potrzeby rynku mocy.</w:t>
            </w:r>
          </w:p>
          <w:p w14:paraId="7025C446" w14:textId="417E50B6" w:rsidR="004F3809" w:rsidRPr="00D325BF" w:rsidRDefault="00D325BF" w:rsidP="00E85391">
            <w:pPr>
              <w:tabs>
                <w:tab w:val="left" w:pos="1843"/>
              </w:tabs>
              <w:spacing w:before="120"/>
              <w:ind w:left="4"/>
              <w:rPr>
                <w:szCs w:val="24"/>
              </w:rPr>
            </w:pPr>
            <w:r w:rsidRPr="00D325BF">
              <w:rPr>
                <w:rFonts w:eastAsia="Times New Roman" w:cs="Times New Roman"/>
                <w:szCs w:val="24"/>
                <w:lang w:bidi="pl-PL"/>
              </w:rPr>
              <w:t>Zasady, o których mowa w lit. j) lub k) mogą zostać uregulowane w odrębnych umowach zawartych pomiędzy OSDp, a OSDn.</w:t>
            </w:r>
          </w:p>
        </w:tc>
      </w:tr>
      <w:tr w:rsidR="008F676A" w:rsidRPr="00E32790" w14:paraId="7300910D" w14:textId="77777777" w:rsidTr="009C42E8">
        <w:tc>
          <w:tcPr>
            <w:tcW w:w="1063" w:type="dxa"/>
            <w:shd w:val="clear" w:color="auto" w:fill="auto"/>
          </w:tcPr>
          <w:p w14:paraId="19A4F077" w14:textId="00D887B8" w:rsidR="008F676A" w:rsidRPr="00A9485E" w:rsidRDefault="0049190B" w:rsidP="008F676A">
            <w:r w:rsidRPr="00956BD9">
              <w:rPr>
                <w:rFonts w:eastAsia="Times New Roman" w:cs="Times New Roman"/>
                <w:szCs w:val="24"/>
              </w:rPr>
              <w:t>A.</w:t>
            </w:r>
            <w:r>
              <w:rPr>
                <w:rFonts w:eastAsia="Times New Roman" w:cs="Times New Roman"/>
                <w:szCs w:val="24"/>
              </w:rPr>
              <w:t xml:space="preserve">6.2. </w:t>
            </w:r>
          </w:p>
        </w:tc>
        <w:tc>
          <w:tcPr>
            <w:tcW w:w="8151" w:type="dxa"/>
            <w:shd w:val="clear" w:color="auto" w:fill="auto"/>
          </w:tcPr>
          <w:p w14:paraId="763F3C7D" w14:textId="6AEB8F36" w:rsidR="00E46A0E" w:rsidRPr="0049190B" w:rsidRDefault="0049190B" w:rsidP="00E46A0E">
            <w:pPr>
              <w:jc w:val="both"/>
              <w:rPr>
                <w:szCs w:val="24"/>
              </w:rPr>
            </w:pPr>
            <w:r w:rsidRPr="0049190B">
              <w:rPr>
                <w:rFonts w:eastAsia="Times New Roman" w:cs="Times New Roman"/>
                <w:szCs w:val="24"/>
                <w:lang w:bidi="pl-PL"/>
              </w:rPr>
              <w:t xml:space="preserve">W celu umożliwienia realizacji wymiany danych pomiarowych, o których mowa </w:t>
            </w:r>
            <w:r>
              <w:rPr>
                <w:rFonts w:eastAsia="Times New Roman" w:cs="Times New Roman"/>
                <w:szCs w:val="24"/>
                <w:lang w:bidi="pl-PL"/>
              </w:rPr>
              <w:br/>
            </w:r>
            <w:r w:rsidRPr="0049190B">
              <w:rPr>
                <w:rFonts w:eastAsia="Times New Roman" w:cs="Times New Roman"/>
                <w:szCs w:val="24"/>
                <w:lang w:bidi="pl-PL"/>
              </w:rPr>
              <w:t xml:space="preserve">w pkt A.6.1., OSDn </w:t>
            </w:r>
            <w:r w:rsidR="0002177D">
              <w:rPr>
                <w:rFonts w:eastAsia="Times New Roman" w:cs="Times New Roman"/>
                <w:szCs w:val="24"/>
                <w:lang w:bidi="pl-PL"/>
              </w:rPr>
              <w:t xml:space="preserve">oraz URDn </w:t>
            </w:r>
            <w:r w:rsidRPr="0049190B">
              <w:rPr>
                <w:rFonts w:eastAsia="Times New Roman" w:cs="Times New Roman"/>
                <w:szCs w:val="24"/>
                <w:lang w:bidi="pl-PL"/>
              </w:rPr>
              <w:t>mus</w:t>
            </w:r>
            <w:r w:rsidR="0002177D">
              <w:rPr>
                <w:rFonts w:eastAsia="Times New Roman" w:cs="Times New Roman"/>
                <w:szCs w:val="24"/>
                <w:lang w:bidi="pl-PL"/>
              </w:rPr>
              <w:t>zą</w:t>
            </w:r>
            <w:r w:rsidRPr="0049190B">
              <w:rPr>
                <w:rFonts w:eastAsia="Times New Roman" w:cs="Times New Roman"/>
                <w:szCs w:val="24"/>
                <w:lang w:bidi="pl-PL"/>
              </w:rPr>
              <w:t xml:space="preserve"> posiadać układy pomiarowo-rozliczeniowe  dostosowane do wymagań </w:t>
            </w:r>
            <w:r w:rsidR="0002177D">
              <w:rPr>
                <w:rFonts w:eastAsia="Times New Roman" w:cs="Times New Roman"/>
                <w:szCs w:val="24"/>
                <w:lang w:bidi="pl-PL"/>
              </w:rPr>
              <w:t>określonych odpowiednio w rozporządzeniu pomiarowym oraz w IRiESD.</w:t>
            </w:r>
          </w:p>
        </w:tc>
      </w:tr>
      <w:tr w:rsidR="00E46A0E" w:rsidRPr="00E32790" w14:paraId="0F1A7297" w14:textId="77777777" w:rsidTr="009C42E8">
        <w:tc>
          <w:tcPr>
            <w:tcW w:w="1063" w:type="dxa"/>
            <w:shd w:val="clear" w:color="auto" w:fill="auto"/>
          </w:tcPr>
          <w:p w14:paraId="04B9C154" w14:textId="4CB28F69" w:rsidR="00E46A0E" w:rsidRPr="00956BD9" w:rsidRDefault="00E46A0E" w:rsidP="008F676A">
            <w:pPr>
              <w:rPr>
                <w:rFonts w:eastAsia="Times New Roman" w:cs="Times New Roman"/>
                <w:szCs w:val="24"/>
              </w:rPr>
            </w:pPr>
            <w:r w:rsidRPr="00956BD9">
              <w:rPr>
                <w:rFonts w:eastAsia="Times New Roman" w:cs="Times New Roman"/>
                <w:szCs w:val="24"/>
              </w:rPr>
              <w:t>A.</w:t>
            </w:r>
            <w:r>
              <w:rPr>
                <w:rFonts w:eastAsia="Times New Roman" w:cs="Times New Roman"/>
                <w:szCs w:val="24"/>
              </w:rPr>
              <w:t xml:space="preserve">6.3. </w:t>
            </w:r>
          </w:p>
        </w:tc>
        <w:tc>
          <w:tcPr>
            <w:tcW w:w="8151" w:type="dxa"/>
            <w:shd w:val="clear" w:color="auto" w:fill="auto"/>
          </w:tcPr>
          <w:p w14:paraId="21469603" w14:textId="77777777" w:rsidR="00E46A0E" w:rsidRPr="00E46A0E" w:rsidRDefault="00E46A0E" w:rsidP="00E46A0E">
            <w:pPr>
              <w:spacing w:before="120"/>
              <w:ind w:left="4"/>
              <w:jc w:val="both"/>
              <w:rPr>
                <w:rFonts w:eastAsia="Times New Roman" w:cs="Times New Roman"/>
                <w:szCs w:val="24"/>
                <w:lang w:bidi="pl-PL"/>
              </w:rPr>
            </w:pPr>
            <w:r w:rsidRPr="00E46A0E">
              <w:rPr>
                <w:rFonts w:eastAsia="Times New Roman" w:cs="Times New Roman"/>
                <w:szCs w:val="24"/>
                <w:lang w:bidi="pl-PL"/>
              </w:rPr>
              <w:t>Warunkiem przekazywania przez OSDp danych pomiarowych do OSP jest jednoczesne obowiązywanie następujących umów:</w:t>
            </w:r>
          </w:p>
          <w:p w14:paraId="2BF5C550" w14:textId="77777777" w:rsidR="00E46A0E" w:rsidRPr="00E46A0E" w:rsidRDefault="00E46A0E" w:rsidP="00E46A0E">
            <w:pPr>
              <w:spacing w:before="120"/>
              <w:ind w:left="288" w:hanging="284"/>
              <w:jc w:val="both"/>
              <w:rPr>
                <w:rFonts w:eastAsia="Times New Roman" w:cs="Times New Roman"/>
                <w:szCs w:val="24"/>
                <w:lang w:bidi="pl-PL"/>
              </w:rPr>
            </w:pPr>
            <w:r w:rsidRPr="00E46A0E">
              <w:rPr>
                <w:rFonts w:eastAsia="Times New Roman" w:cs="Times New Roman"/>
                <w:szCs w:val="24"/>
                <w:lang w:bidi="pl-PL"/>
              </w:rPr>
              <w:t>a)</w:t>
            </w:r>
            <w:r w:rsidRPr="00E46A0E">
              <w:rPr>
                <w:rFonts w:eastAsia="Times New Roman" w:cs="Times New Roman"/>
                <w:szCs w:val="24"/>
                <w:lang w:bidi="pl-PL"/>
              </w:rPr>
              <w:tab/>
              <w:t>o świadczenie usług przesyłania energii elektrycznej zawartej pomiędzy OSDp, a OSP,</w:t>
            </w:r>
          </w:p>
          <w:p w14:paraId="0E9F47D6" w14:textId="39FFE2B4" w:rsidR="00E46A0E" w:rsidRPr="00E46A0E" w:rsidRDefault="00E46A0E" w:rsidP="00E46A0E">
            <w:pPr>
              <w:spacing w:before="120"/>
              <w:ind w:left="288" w:hanging="284"/>
              <w:jc w:val="both"/>
              <w:rPr>
                <w:rFonts w:eastAsia="Times New Roman" w:cs="Times New Roman"/>
                <w:szCs w:val="24"/>
                <w:lang w:bidi="pl-PL"/>
              </w:rPr>
            </w:pPr>
            <w:r w:rsidRPr="00E46A0E">
              <w:rPr>
                <w:rFonts w:eastAsia="Times New Roman" w:cs="Times New Roman"/>
                <w:szCs w:val="24"/>
                <w:lang w:bidi="pl-PL"/>
              </w:rPr>
              <w:t>b)</w:t>
            </w:r>
            <w:r w:rsidRPr="00E46A0E">
              <w:rPr>
                <w:rFonts w:eastAsia="Times New Roman" w:cs="Times New Roman"/>
                <w:szCs w:val="24"/>
                <w:lang w:bidi="pl-PL"/>
              </w:rPr>
              <w:tab/>
              <w:t>o których mowa w pkt A.</w:t>
            </w:r>
            <w:r w:rsidR="00B11DE8">
              <w:rPr>
                <w:rFonts w:eastAsia="Times New Roman" w:cs="Times New Roman"/>
                <w:szCs w:val="24"/>
                <w:lang w:bidi="pl-PL"/>
              </w:rPr>
              <w:t>6</w:t>
            </w:r>
            <w:r w:rsidRPr="00E46A0E">
              <w:rPr>
                <w:rFonts w:eastAsia="Times New Roman" w:cs="Times New Roman"/>
                <w:szCs w:val="24"/>
                <w:lang w:bidi="pl-PL"/>
              </w:rPr>
              <w:t>.1. odpowiednio do zakresu przekazywania danych pomiarowych,</w:t>
            </w:r>
          </w:p>
          <w:p w14:paraId="0F9391F2" w14:textId="77777777" w:rsidR="00E46A0E" w:rsidRPr="00E46A0E" w:rsidRDefault="00E46A0E" w:rsidP="00E46A0E">
            <w:pPr>
              <w:spacing w:before="120"/>
              <w:ind w:left="288" w:hanging="284"/>
              <w:jc w:val="both"/>
              <w:rPr>
                <w:rFonts w:eastAsia="Times New Roman" w:cs="Times New Roman"/>
                <w:szCs w:val="24"/>
                <w:lang w:bidi="pl-PL"/>
              </w:rPr>
            </w:pPr>
            <w:r w:rsidRPr="00E46A0E">
              <w:rPr>
                <w:rFonts w:eastAsia="Times New Roman" w:cs="Times New Roman"/>
                <w:szCs w:val="24"/>
                <w:lang w:bidi="pl-PL"/>
              </w:rPr>
              <w:t>c)</w:t>
            </w:r>
            <w:r w:rsidRPr="00E46A0E">
              <w:rPr>
                <w:rFonts w:eastAsia="Times New Roman" w:cs="Times New Roman"/>
                <w:szCs w:val="24"/>
                <w:lang w:bidi="pl-PL"/>
              </w:rPr>
              <w:tab/>
              <w:t>o świadczenie usług dystrybucji energii elektrycznej zawartej pomiędzy OSDp, a OSDn,</w:t>
            </w:r>
          </w:p>
          <w:p w14:paraId="653A7800" w14:textId="3ACF65B9" w:rsidR="00E46A0E" w:rsidRPr="0049190B" w:rsidRDefault="00E46A0E" w:rsidP="00E85391">
            <w:pPr>
              <w:spacing w:before="120"/>
              <w:ind w:left="288" w:hanging="284"/>
              <w:jc w:val="both"/>
              <w:rPr>
                <w:rFonts w:eastAsia="Times New Roman" w:cs="Times New Roman"/>
                <w:szCs w:val="24"/>
                <w:lang w:bidi="pl-PL"/>
              </w:rPr>
            </w:pPr>
            <w:r w:rsidRPr="00E46A0E">
              <w:rPr>
                <w:rFonts w:eastAsia="Times New Roman" w:cs="Times New Roman"/>
                <w:szCs w:val="24"/>
                <w:lang w:bidi="pl-PL"/>
              </w:rPr>
              <w:t>d)</w:t>
            </w:r>
            <w:r w:rsidRPr="00E46A0E">
              <w:rPr>
                <w:rFonts w:eastAsia="Times New Roman" w:cs="Times New Roman"/>
                <w:szCs w:val="24"/>
                <w:lang w:bidi="pl-PL"/>
              </w:rPr>
              <w:tab/>
              <w:t>o świadczenie usług dystrybucji energii elektrycznej zawartej pomiędzy OSDp, a POB, którego MB są wykorzystywane w bilansowaniu handlowym URDn przyłączonych do sieci OSDn – dotyczy tylko rozliczeń dla potrzeb RB.</w:t>
            </w:r>
          </w:p>
        </w:tc>
      </w:tr>
      <w:tr w:rsidR="00EE6E34" w:rsidRPr="00E32790" w14:paraId="45684905" w14:textId="77777777" w:rsidTr="009C42E8">
        <w:tc>
          <w:tcPr>
            <w:tcW w:w="1063" w:type="dxa"/>
            <w:shd w:val="clear" w:color="auto" w:fill="auto"/>
          </w:tcPr>
          <w:p w14:paraId="436AA098" w14:textId="0C1E2661" w:rsidR="00EE6E34" w:rsidRPr="00956BD9" w:rsidRDefault="00C47441" w:rsidP="008F676A">
            <w:pPr>
              <w:rPr>
                <w:rFonts w:eastAsia="Times New Roman" w:cs="Times New Roman"/>
                <w:szCs w:val="24"/>
              </w:rPr>
            </w:pPr>
            <w:r w:rsidRPr="00956BD9">
              <w:rPr>
                <w:rFonts w:eastAsia="Times New Roman" w:cs="Times New Roman"/>
                <w:szCs w:val="24"/>
              </w:rPr>
              <w:lastRenderedPageBreak/>
              <w:t>A.</w:t>
            </w:r>
            <w:r>
              <w:rPr>
                <w:rFonts w:eastAsia="Times New Roman" w:cs="Times New Roman"/>
                <w:szCs w:val="24"/>
              </w:rPr>
              <w:t>6.4.</w:t>
            </w:r>
          </w:p>
        </w:tc>
        <w:tc>
          <w:tcPr>
            <w:tcW w:w="8151" w:type="dxa"/>
            <w:shd w:val="clear" w:color="auto" w:fill="auto"/>
          </w:tcPr>
          <w:p w14:paraId="60589009" w14:textId="77777777" w:rsidR="00B11DE8" w:rsidRPr="00B11DE8" w:rsidRDefault="00B11DE8" w:rsidP="00B11DE8">
            <w:pPr>
              <w:tabs>
                <w:tab w:val="left" w:pos="1843"/>
              </w:tabs>
              <w:spacing w:before="120"/>
              <w:ind w:left="430" w:right="68" w:hanging="426"/>
              <w:jc w:val="both"/>
              <w:rPr>
                <w:rFonts w:eastAsia="Times New Roman" w:cs="Times New Roman"/>
                <w:szCs w:val="24"/>
                <w:lang w:bidi="pl-PL"/>
              </w:rPr>
            </w:pPr>
            <w:r w:rsidRPr="00B11DE8">
              <w:rPr>
                <w:rFonts w:eastAsia="Times New Roman" w:cs="Times New Roman"/>
                <w:szCs w:val="24"/>
                <w:lang w:bidi="pl-PL"/>
              </w:rPr>
              <w:t>W celu umożliwienia OSDp przekazywania danych pomiarowych do OSP na potrzeby rozliczeń na RB, OSDn jest zobowiązany w szczególności do:</w:t>
            </w:r>
          </w:p>
          <w:p w14:paraId="409A9877" w14:textId="77777777" w:rsidR="00B11DE8" w:rsidRPr="00B11DE8" w:rsidRDefault="00B11DE8" w:rsidP="00B11DE8">
            <w:pPr>
              <w:tabs>
                <w:tab w:val="left" w:pos="1843"/>
              </w:tabs>
              <w:spacing w:before="120"/>
              <w:ind w:left="430" w:right="68" w:hanging="426"/>
              <w:jc w:val="both"/>
              <w:rPr>
                <w:rFonts w:eastAsia="Times New Roman" w:cs="Times New Roman"/>
                <w:szCs w:val="24"/>
                <w:lang w:bidi="pl-PL"/>
              </w:rPr>
            </w:pPr>
            <w:r w:rsidRPr="00B11DE8">
              <w:rPr>
                <w:rFonts w:eastAsia="Times New Roman" w:cs="Times New Roman"/>
                <w:szCs w:val="24"/>
                <w:lang w:bidi="pl-PL"/>
              </w:rPr>
              <w:t>a)</w:t>
            </w:r>
            <w:r w:rsidRPr="00B11DE8">
              <w:rPr>
                <w:rFonts w:eastAsia="Times New Roman" w:cs="Times New Roman"/>
                <w:szCs w:val="24"/>
                <w:lang w:bidi="pl-PL"/>
              </w:rPr>
              <w:tab/>
              <w:t>pozyskiwania danych pomiarowych z układów pomiarowo-rozliczeniowych URDn, zgodnie z niniejszą IRiESD i IRiESD OSDp,</w:t>
            </w:r>
          </w:p>
          <w:p w14:paraId="05D7D5FD" w14:textId="77777777" w:rsidR="00B11DE8" w:rsidRPr="00B11DE8" w:rsidRDefault="00B11DE8" w:rsidP="00B11DE8">
            <w:pPr>
              <w:tabs>
                <w:tab w:val="left" w:pos="1843"/>
              </w:tabs>
              <w:spacing w:before="120"/>
              <w:ind w:left="430" w:right="68" w:hanging="426"/>
              <w:jc w:val="both"/>
              <w:rPr>
                <w:rFonts w:eastAsia="Times New Roman" w:cs="Times New Roman"/>
                <w:szCs w:val="24"/>
                <w:lang w:bidi="pl-PL"/>
              </w:rPr>
            </w:pPr>
            <w:r w:rsidRPr="00B11DE8">
              <w:rPr>
                <w:rFonts w:eastAsia="Times New Roman" w:cs="Times New Roman"/>
                <w:szCs w:val="24"/>
                <w:lang w:bidi="pl-PL"/>
              </w:rPr>
              <w:t>b)</w:t>
            </w:r>
            <w:r w:rsidRPr="00B11DE8">
              <w:rPr>
                <w:rFonts w:eastAsia="Times New Roman" w:cs="Times New Roman"/>
                <w:szCs w:val="24"/>
                <w:lang w:bidi="pl-PL"/>
              </w:rPr>
              <w:tab/>
              <w:t>przekazywania do OSDp danych pomiarowych, o których mowa w lit. a), dotyczących rzeczywistej ilości energii elektrycznej pobranej z sieci OSDn lub oddanej do sieci OSDn, zmierzonej przez układy pomiarowo-rozliczeniowe, na każdą godzinę doby handlowej w PPE URDn typu odbiorca, w podziale na sprzedawców, zagregowane na MB oraz oddzielnie w PPE URDn typu wytwórca lub posiadacz magazynu energii elektrycznej,</w:t>
            </w:r>
          </w:p>
          <w:p w14:paraId="44390CB3" w14:textId="77777777" w:rsidR="00B11DE8" w:rsidRPr="00B11DE8" w:rsidRDefault="00B11DE8" w:rsidP="00B11DE8">
            <w:pPr>
              <w:tabs>
                <w:tab w:val="left" w:pos="1843"/>
              </w:tabs>
              <w:spacing w:before="120"/>
              <w:ind w:left="430" w:right="68" w:hanging="426"/>
              <w:jc w:val="both"/>
              <w:rPr>
                <w:rFonts w:eastAsia="Times New Roman" w:cs="Times New Roman"/>
                <w:szCs w:val="24"/>
                <w:lang w:bidi="pl-PL"/>
              </w:rPr>
            </w:pPr>
            <w:r w:rsidRPr="00B11DE8">
              <w:rPr>
                <w:rFonts w:eastAsia="Times New Roman" w:cs="Times New Roman"/>
                <w:szCs w:val="24"/>
                <w:lang w:bidi="pl-PL"/>
              </w:rPr>
              <w:t>c)</w:t>
            </w:r>
            <w:r w:rsidRPr="00B11DE8">
              <w:rPr>
                <w:rFonts w:eastAsia="Times New Roman" w:cs="Times New Roman"/>
                <w:szCs w:val="24"/>
                <w:lang w:bidi="pl-PL"/>
              </w:rPr>
              <w:tab/>
              <w:t xml:space="preserve">przekazywania do OSDp skorygowanych danych pomiarowych URDn </w:t>
            </w:r>
            <w:r w:rsidRPr="00B11DE8">
              <w:rPr>
                <w:rFonts w:eastAsia="Times New Roman" w:cs="Times New Roman"/>
                <w:szCs w:val="24"/>
                <w:lang w:bidi="pl-PL"/>
              </w:rPr>
              <w:br/>
              <w:t>w celu ich przesłania do OSP w trybach korekty obowiązujących na RB zgodnie z WDB,</w:t>
            </w:r>
          </w:p>
          <w:p w14:paraId="5BA8F4EF" w14:textId="77777777" w:rsidR="00B11DE8" w:rsidRPr="00B11DE8" w:rsidRDefault="00B11DE8" w:rsidP="00B11DE8">
            <w:pPr>
              <w:tabs>
                <w:tab w:val="left" w:pos="1843"/>
              </w:tabs>
              <w:spacing w:before="120"/>
              <w:ind w:left="430" w:right="68" w:hanging="426"/>
              <w:jc w:val="both"/>
              <w:rPr>
                <w:rFonts w:eastAsia="Times New Roman" w:cs="Times New Roman"/>
                <w:szCs w:val="24"/>
                <w:lang w:bidi="pl-PL"/>
              </w:rPr>
            </w:pPr>
            <w:r w:rsidRPr="00B11DE8">
              <w:rPr>
                <w:rFonts w:eastAsia="Times New Roman" w:cs="Times New Roman"/>
                <w:szCs w:val="24"/>
                <w:lang w:bidi="pl-PL"/>
              </w:rPr>
              <w:t>d)</w:t>
            </w:r>
            <w:r w:rsidRPr="00B11DE8">
              <w:rPr>
                <w:rFonts w:eastAsia="Times New Roman" w:cs="Times New Roman"/>
                <w:szCs w:val="24"/>
                <w:lang w:bidi="pl-PL"/>
              </w:rPr>
              <w:tab/>
              <w:t>niezwłocznego przekazywania OSDp informacji o wstrzymaniu lub zaprzestaniu świadczenia przez OSDn usług dystrybucji energii elektrycznej dla URDn lub o zaprzestaniu sprzedaży energii elektrycznej do URDn przez sprzedawcę,</w:t>
            </w:r>
          </w:p>
          <w:p w14:paraId="6C9FB178" w14:textId="3F1F9CCE" w:rsidR="00EE6E34" w:rsidRPr="00B11DE8" w:rsidRDefault="00B11DE8" w:rsidP="00E85391">
            <w:pPr>
              <w:tabs>
                <w:tab w:val="left" w:pos="1843"/>
              </w:tabs>
              <w:spacing w:before="120"/>
              <w:ind w:left="430" w:right="68" w:hanging="426"/>
              <w:jc w:val="both"/>
              <w:rPr>
                <w:rFonts w:eastAsia="Times New Roman" w:cs="Times New Roman"/>
                <w:szCs w:val="24"/>
                <w:lang w:bidi="pl-PL"/>
              </w:rPr>
            </w:pPr>
            <w:r w:rsidRPr="00B11DE8">
              <w:rPr>
                <w:rFonts w:eastAsia="Times New Roman" w:cs="Times New Roman"/>
                <w:szCs w:val="24"/>
                <w:lang w:bidi="pl-PL"/>
              </w:rPr>
              <w:t>e)</w:t>
            </w:r>
            <w:r w:rsidRPr="00B11DE8">
              <w:rPr>
                <w:rFonts w:eastAsia="Times New Roman" w:cs="Times New Roman"/>
                <w:szCs w:val="24"/>
                <w:lang w:bidi="pl-PL"/>
              </w:rPr>
              <w:tab/>
              <w:t>niezwłocznego informowania OSDp o okolicznościach mających wpływ na prawidłowość przekazywanych danych pomiarowych.</w:t>
            </w:r>
          </w:p>
        </w:tc>
      </w:tr>
      <w:tr w:rsidR="00506229" w:rsidRPr="00E32790" w14:paraId="067FEADE" w14:textId="77777777" w:rsidTr="009C42E8">
        <w:tc>
          <w:tcPr>
            <w:tcW w:w="1063" w:type="dxa"/>
            <w:shd w:val="clear" w:color="auto" w:fill="auto"/>
          </w:tcPr>
          <w:p w14:paraId="3400B393" w14:textId="103D3572" w:rsidR="00506229" w:rsidRPr="00506229" w:rsidRDefault="00506229" w:rsidP="008F676A">
            <w:pPr>
              <w:rPr>
                <w:rFonts w:eastAsia="Times New Roman" w:cs="Times New Roman"/>
                <w:szCs w:val="24"/>
              </w:rPr>
            </w:pPr>
            <w:r w:rsidRPr="00506229">
              <w:rPr>
                <w:rFonts w:eastAsia="Times New Roman" w:cs="Times New Roman"/>
                <w:szCs w:val="24"/>
              </w:rPr>
              <w:t>A.6.5.</w:t>
            </w:r>
          </w:p>
        </w:tc>
        <w:tc>
          <w:tcPr>
            <w:tcW w:w="8151" w:type="dxa"/>
            <w:shd w:val="clear" w:color="auto" w:fill="auto"/>
          </w:tcPr>
          <w:p w14:paraId="310DFE73" w14:textId="77777777" w:rsidR="00506229" w:rsidRPr="00506229" w:rsidRDefault="00506229" w:rsidP="00506229">
            <w:pPr>
              <w:spacing w:before="120"/>
              <w:ind w:left="4" w:hanging="4"/>
              <w:jc w:val="both"/>
              <w:rPr>
                <w:rFonts w:eastAsia="Times New Roman" w:cs="Times New Roman"/>
                <w:szCs w:val="24"/>
                <w:lang w:bidi="pl-PL"/>
              </w:rPr>
            </w:pPr>
            <w:r w:rsidRPr="00506229">
              <w:rPr>
                <w:rFonts w:eastAsia="Times New Roman" w:cs="Times New Roman"/>
                <w:szCs w:val="24"/>
                <w:lang w:bidi="pl-PL"/>
              </w:rPr>
              <w:t>W celu umożliwienia OSDp przekazywania danych pomiarowych do OSP na potrzeby rozliczeń regulacyjnych usług systemowych w zakresie rezerwy interwencyjnej, OSDn jest zobowiązany w szczególności do:</w:t>
            </w:r>
          </w:p>
          <w:p w14:paraId="00E74F55" w14:textId="77777777" w:rsidR="00506229" w:rsidRPr="00506229" w:rsidRDefault="00506229" w:rsidP="00506229">
            <w:pPr>
              <w:spacing w:before="120"/>
              <w:ind w:left="288" w:hanging="288"/>
              <w:jc w:val="both"/>
              <w:rPr>
                <w:rFonts w:eastAsia="Times New Roman" w:cs="Times New Roman"/>
                <w:szCs w:val="24"/>
                <w:lang w:bidi="pl-PL"/>
              </w:rPr>
            </w:pPr>
            <w:r w:rsidRPr="00506229">
              <w:rPr>
                <w:rFonts w:eastAsia="Times New Roman" w:cs="Times New Roman"/>
                <w:szCs w:val="24"/>
                <w:lang w:bidi="pl-PL"/>
              </w:rPr>
              <w:t>a)</w:t>
            </w:r>
            <w:r w:rsidRPr="00506229">
              <w:rPr>
                <w:rFonts w:eastAsia="Times New Roman" w:cs="Times New Roman"/>
                <w:szCs w:val="24"/>
                <w:lang w:bidi="pl-PL"/>
              </w:rPr>
              <w:tab/>
              <w:t>pozyskiwania danych pomiarowych z układów pomiarowo-rozliczeniowych URDn, zgodnie z IRiESD i IRiESD OSDp,</w:t>
            </w:r>
          </w:p>
          <w:p w14:paraId="44DB2348" w14:textId="77777777" w:rsidR="00506229" w:rsidRPr="00506229" w:rsidRDefault="00506229" w:rsidP="00506229">
            <w:pPr>
              <w:spacing w:before="120"/>
              <w:ind w:left="288" w:hanging="288"/>
              <w:jc w:val="both"/>
              <w:rPr>
                <w:rFonts w:eastAsia="Times New Roman" w:cs="Times New Roman"/>
                <w:szCs w:val="24"/>
                <w:lang w:bidi="pl-PL"/>
              </w:rPr>
            </w:pPr>
            <w:r w:rsidRPr="00506229">
              <w:rPr>
                <w:rFonts w:eastAsia="Times New Roman" w:cs="Times New Roman"/>
                <w:szCs w:val="24"/>
                <w:lang w:bidi="pl-PL"/>
              </w:rPr>
              <w:t>b)</w:t>
            </w:r>
            <w:r w:rsidRPr="00506229">
              <w:rPr>
                <w:rFonts w:eastAsia="Times New Roman" w:cs="Times New Roman"/>
                <w:szCs w:val="24"/>
                <w:lang w:bidi="pl-PL"/>
              </w:rPr>
              <w:tab/>
              <w:t xml:space="preserve">przekazywania do OSDp danych pomiarowych, o których mowa w lit. a), dotyczących rzeczywistej ilości energii elektrycznej pobranej z sieci OSDn lub oddanej do sieci OSDn, zmierzonej przez układy pomiarowo-rozliczeniowe, na każdą godzinę doby handlowej w PPE URDn, </w:t>
            </w:r>
          </w:p>
          <w:p w14:paraId="25E54BDD" w14:textId="77777777" w:rsidR="00506229" w:rsidRPr="00506229" w:rsidRDefault="00506229" w:rsidP="00506229">
            <w:pPr>
              <w:spacing w:before="120"/>
              <w:ind w:left="288" w:hanging="288"/>
              <w:jc w:val="both"/>
              <w:rPr>
                <w:rFonts w:eastAsia="Times New Roman" w:cs="Times New Roman"/>
                <w:szCs w:val="24"/>
                <w:lang w:bidi="pl-PL"/>
              </w:rPr>
            </w:pPr>
            <w:r w:rsidRPr="00506229">
              <w:rPr>
                <w:rFonts w:eastAsia="Times New Roman" w:cs="Times New Roman"/>
                <w:szCs w:val="24"/>
                <w:lang w:bidi="pl-PL"/>
              </w:rPr>
              <w:t>c)</w:t>
            </w:r>
            <w:r w:rsidRPr="00506229">
              <w:rPr>
                <w:rFonts w:eastAsia="Times New Roman" w:cs="Times New Roman"/>
                <w:szCs w:val="24"/>
                <w:lang w:bidi="pl-PL"/>
              </w:rPr>
              <w:tab/>
              <w:t xml:space="preserve">przekazywania do OSDp skorygowanych danych pomiarowych URDn </w:t>
            </w:r>
            <w:r w:rsidRPr="00506229">
              <w:rPr>
                <w:rFonts w:eastAsia="Times New Roman" w:cs="Times New Roman"/>
                <w:szCs w:val="24"/>
                <w:lang w:bidi="pl-PL"/>
              </w:rPr>
              <w:br/>
              <w:t xml:space="preserve">w celu ich przesłania do OSP w trybach korekty obowiązujących dla regulacyjnych usług systemowych w zakresie rezerwy interwencyjnej zgodnie z WDB, </w:t>
            </w:r>
          </w:p>
          <w:p w14:paraId="19F5D1D7" w14:textId="0D819436" w:rsidR="00506229" w:rsidRPr="00506229" w:rsidRDefault="00506229" w:rsidP="00E85391">
            <w:pPr>
              <w:spacing w:before="120"/>
              <w:ind w:left="288" w:hanging="288"/>
              <w:jc w:val="both"/>
              <w:rPr>
                <w:rFonts w:eastAsia="Times New Roman" w:cs="Times New Roman"/>
                <w:szCs w:val="24"/>
                <w:lang w:bidi="pl-PL"/>
              </w:rPr>
            </w:pPr>
            <w:r w:rsidRPr="00506229">
              <w:rPr>
                <w:rFonts w:eastAsia="Times New Roman" w:cs="Times New Roman"/>
                <w:szCs w:val="24"/>
                <w:lang w:bidi="pl-PL"/>
              </w:rPr>
              <w:t>d)</w:t>
            </w:r>
            <w:r w:rsidRPr="00506229">
              <w:rPr>
                <w:rFonts w:eastAsia="Times New Roman" w:cs="Times New Roman"/>
                <w:szCs w:val="24"/>
                <w:lang w:bidi="pl-PL"/>
              </w:rPr>
              <w:tab/>
              <w:t>niezwłocznego informowania OSDp o okolicznościach mających wpływ na prawidłowość przekazywanych danych pomiarowych.</w:t>
            </w:r>
          </w:p>
        </w:tc>
      </w:tr>
      <w:tr w:rsidR="006D718C" w:rsidRPr="00E32790" w14:paraId="31F10548" w14:textId="77777777" w:rsidTr="009C42E8">
        <w:tc>
          <w:tcPr>
            <w:tcW w:w="1063" w:type="dxa"/>
            <w:shd w:val="clear" w:color="auto" w:fill="auto"/>
          </w:tcPr>
          <w:p w14:paraId="362F8CEA" w14:textId="174B3986" w:rsidR="006D718C" w:rsidRPr="00506229" w:rsidRDefault="006D718C" w:rsidP="008F676A">
            <w:pPr>
              <w:rPr>
                <w:rFonts w:eastAsia="Times New Roman" w:cs="Times New Roman"/>
                <w:szCs w:val="24"/>
              </w:rPr>
            </w:pPr>
            <w:r w:rsidRPr="00506229">
              <w:rPr>
                <w:rFonts w:eastAsia="Times New Roman" w:cs="Times New Roman"/>
                <w:szCs w:val="24"/>
              </w:rPr>
              <w:t>A.6.</w:t>
            </w:r>
            <w:r>
              <w:rPr>
                <w:rFonts w:eastAsia="Times New Roman" w:cs="Times New Roman"/>
                <w:szCs w:val="24"/>
              </w:rPr>
              <w:t xml:space="preserve">6. </w:t>
            </w:r>
          </w:p>
        </w:tc>
        <w:tc>
          <w:tcPr>
            <w:tcW w:w="8151" w:type="dxa"/>
            <w:shd w:val="clear" w:color="auto" w:fill="auto"/>
          </w:tcPr>
          <w:p w14:paraId="29C253CF" w14:textId="77777777" w:rsidR="00E85391" w:rsidRPr="00E85391" w:rsidRDefault="00E85391" w:rsidP="00E85391">
            <w:pPr>
              <w:tabs>
                <w:tab w:val="left" w:pos="1843"/>
              </w:tabs>
              <w:spacing w:before="120"/>
              <w:ind w:left="4" w:hanging="4"/>
              <w:jc w:val="both"/>
              <w:rPr>
                <w:rFonts w:eastAsia="Times New Roman" w:cs="Times New Roman"/>
                <w:szCs w:val="24"/>
                <w:lang w:bidi="pl-PL"/>
              </w:rPr>
            </w:pPr>
            <w:r w:rsidRPr="00E85391">
              <w:rPr>
                <w:rFonts w:eastAsia="Times New Roman" w:cs="Times New Roman"/>
                <w:szCs w:val="24"/>
                <w:lang w:bidi="pl-PL"/>
              </w:rPr>
              <w:t>W celu umożliwienia OSDp przekazywania danych pomiarowych do OSP na potrzeby rynku mocy, tj. weryfikacji wykonania obowiązku mocowego, testowego okresu zagrożenia, procesu rozliczeń oraz przeprowadzenia testu redukcji zapotrzebowania, OSDn jest zobowiązany w szczególności do:</w:t>
            </w:r>
          </w:p>
          <w:p w14:paraId="1F160212" w14:textId="77777777" w:rsidR="00E85391" w:rsidRPr="00E85391" w:rsidRDefault="00E85391" w:rsidP="00E85391">
            <w:pPr>
              <w:tabs>
                <w:tab w:val="left" w:pos="1843"/>
              </w:tabs>
              <w:spacing w:before="120"/>
              <w:ind w:left="288" w:hanging="288"/>
              <w:jc w:val="both"/>
              <w:rPr>
                <w:rFonts w:eastAsia="Times New Roman" w:cs="Times New Roman"/>
                <w:szCs w:val="24"/>
                <w:lang w:bidi="pl-PL"/>
              </w:rPr>
            </w:pPr>
            <w:r w:rsidRPr="00E85391">
              <w:rPr>
                <w:rFonts w:eastAsia="Times New Roman" w:cs="Times New Roman"/>
                <w:szCs w:val="24"/>
                <w:lang w:bidi="pl-PL"/>
              </w:rPr>
              <w:t>a)</w:t>
            </w:r>
            <w:r w:rsidRPr="00E85391">
              <w:rPr>
                <w:rFonts w:eastAsia="Times New Roman" w:cs="Times New Roman"/>
                <w:szCs w:val="24"/>
                <w:lang w:bidi="pl-PL"/>
              </w:rPr>
              <w:tab/>
              <w:t>pozyskiwania danych pomiarowych z układów pomiarowo-rozliczeniowych URDn, zgodnie z IRiESD i IRiESD OSDp,</w:t>
            </w:r>
          </w:p>
          <w:p w14:paraId="2A5A2629" w14:textId="77777777" w:rsidR="00E85391" w:rsidRPr="00E85391" w:rsidRDefault="00E85391" w:rsidP="00E85391">
            <w:pPr>
              <w:tabs>
                <w:tab w:val="left" w:pos="1843"/>
              </w:tabs>
              <w:spacing w:before="120"/>
              <w:ind w:left="288" w:hanging="288"/>
              <w:jc w:val="both"/>
              <w:rPr>
                <w:rFonts w:eastAsia="Times New Roman" w:cs="Times New Roman"/>
                <w:szCs w:val="24"/>
                <w:lang w:bidi="pl-PL"/>
              </w:rPr>
            </w:pPr>
            <w:r w:rsidRPr="00E85391">
              <w:rPr>
                <w:rFonts w:eastAsia="Times New Roman" w:cs="Times New Roman"/>
                <w:szCs w:val="24"/>
                <w:lang w:bidi="pl-PL"/>
              </w:rPr>
              <w:t>b)</w:t>
            </w:r>
            <w:r w:rsidRPr="00E85391">
              <w:rPr>
                <w:rFonts w:eastAsia="Times New Roman" w:cs="Times New Roman"/>
                <w:szCs w:val="24"/>
                <w:lang w:bidi="pl-PL"/>
              </w:rPr>
              <w:tab/>
              <w:t>przekazywania do OSDp danych pomiarowych, o których mowa w lit. a), dotyczących rzeczywistej ilości energii elektrycznej pobranej z sieci OSDn lub oddanej do sieci OSDn, zmierzonej przez układy pomiarowo-rozliczeniowe, na każdą godzinę doby handlowej w PPE URDn,</w:t>
            </w:r>
          </w:p>
          <w:p w14:paraId="5F76C085" w14:textId="77777777" w:rsidR="00E85391" w:rsidRPr="00E85391" w:rsidRDefault="00E85391" w:rsidP="00E85391">
            <w:pPr>
              <w:tabs>
                <w:tab w:val="left" w:pos="1843"/>
              </w:tabs>
              <w:spacing w:before="120"/>
              <w:ind w:left="288" w:hanging="288"/>
              <w:jc w:val="both"/>
              <w:rPr>
                <w:rFonts w:eastAsia="Times New Roman" w:cs="Times New Roman"/>
                <w:szCs w:val="24"/>
                <w:lang w:bidi="pl-PL"/>
              </w:rPr>
            </w:pPr>
            <w:r w:rsidRPr="00E85391">
              <w:rPr>
                <w:rFonts w:eastAsia="Times New Roman" w:cs="Times New Roman"/>
                <w:szCs w:val="24"/>
                <w:lang w:bidi="pl-PL"/>
              </w:rPr>
              <w:lastRenderedPageBreak/>
              <w:t>c)</w:t>
            </w:r>
            <w:r w:rsidRPr="00E85391">
              <w:rPr>
                <w:rFonts w:eastAsia="Times New Roman" w:cs="Times New Roman"/>
                <w:szCs w:val="24"/>
                <w:lang w:bidi="pl-PL"/>
              </w:rPr>
              <w:tab/>
              <w:t xml:space="preserve">przekazywania do OSDp skorygowanych danych pomiarowych URDn </w:t>
            </w:r>
            <w:r w:rsidRPr="00E85391">
              <w:rPr>
                <w:rFonts w:eastAsia="Times New Roman" w:cs="Times New Roman"/>
                <w:szCs w:val="24"/>
                <w:lang w:bidi="pl-PL"/>
              </w:rPr>
              <w:br/>
              <w:t>w celu ich przesłania do OSP w trybach korekty zgodnie z Regulaminem Rynku Mocy (RRM) opracowanym przez OSP i zatwierdzonym przez Prezesa URE,</w:t>
            </w:r>
          </w:p>
          <w:p w14:paraId="593DC665" w14:textId="7CA0AD7C" w:rsidR="006D718C" w:rsidRPr="00E85391" w:rsidRDefault="00E85391" w:rsidP="00523B24">
            <w:pPr>
              <w:tabs>
                <w:tab w:val="left" w:pos="1843"/>
              </w:tabs>
              <w:spacing w:before="120"/>
              <w:ind w:left="288" w:hanging="288"/>
              <w:jc w:val="both"/>
              <w:rPr>
                <w:rFonts w:eastAsia="Times New Roman" w:cs="Times New Roman"/>
                <w:szCs w:val="24"/>
                <w:lang w:bidi="pl-PL"/>
              </w:rPr>
            </w:pPr>
            <w:r w:rsidRPr="00E85391">
              <w:rPr>
                <w:rFonts w:eastAsia="Times New Roman" w:cs="Times New Roman"/>
                <w:szCs w:val="24"/>
                <w:lang w:bidi="pl-PL"/>
              </w:rPr>
              <w:t>d) niezwłocznego informowania OSDp o okolicznościach mających wpływ na prawidłowość przekazywanych danych pomiarowych.</w:t>
            </w:r>
          </w:p>
        </w:tc>
      </w:tr>
      <w:tr w:rsidR="00523B24" w:rsidRPr="00E32790" w14:paraId="151909FB" w14:textId="77777777" w:rsidTr="009C42E8">
        <w:tc>
          <w:tcPr>
            <w:tcW w:w="1063" w:type="dxa"/>
            <w:shd w:val="clear" w:color="auto" w:fill="auto"/>
          </w:tcPr>
          <w:p w14:paraId="054778C1" w14:textId="444468D1" w:rsidR="00523B24" w:rsidRPr="00506229" w:rsidRDefault="00523B24" w:rsidP="008F676A">
            <w:pPr>
              <w:rPr>
                <w:rFonts w:eastAsia="Times New Roman" w:cs="Times New Roman"/>
                <w:szCs w:val="24"/>
              </w:rPr>
            </w:pPr>
            <w:r w:rsidRPr="00506229">
              <w:rPr>
                <w:rFonts w:eastAsia="Times New Roman" w:cs="Times New Roman"/>
                <w:szCs w:val="24"/>
              </w:rPr>
              <w:lastRenderedPageBreak/>
              <w:t>A.6.</w:t>
            </w:r>
            <w:r>
              <w:rPr>
                <w:rFonts w:eastAsia="Times New Roman" w:cs="Times New Roman"/>
                <w:szCs w:val="24"/>
              </w:rPr>
              <w:t xml:space="preserve">7. </w:t>
            </w:r>
          </w:p>
        </w:tc>
        <w:tc>
          <w:tcPr>
            <w:tcW w:w="8151" w:type="dxa"/>
            <w:shd w:val="clear" w:color="auto" w:fill="auto"/>
          </w:tcPr>
          <w:p w14:paraId="4A8B8853" w14:textId="77777777" w:rsidR="00DA0E79" w:rsidRPr="005C356C" w:rsidRDefault="00DA0E79" w:rsidP="00DA0E79">
            <w:pPr>
              <w:spacing w:before="120"/>
              <w:ind w:left="4" w:hanging="4"/>
              <w:jc w:val="both"/>
              <w:rPr>
                <w:rFonts w:eastAsia="Times New Roman" w:cs="Times New Roman"/>
                <w:szCs w:val="24"/>
                <w:lang w:bidi="pl-PL"/>
              </w:rPr>
            </w:pPr>
            <w:r w:rsidRPr="005C356C">
              <w:rPr>
                <w:rFonts w:eastAsia="Times New Roman" w:cs="Times New Roman"/>
                <w:szCs w:val="24"/>
                <w:lang w:bidi="pl-PL"/>
              </w:rPr>
              <w:t>Przekazywanie danych przez OSDp do OSP na potrzeb rozliczeń na RB obejmuje przekazywanie zagregowanych danych pomiarowych URDn, przyłączonych do sieci OSDn nie objętej obszarem RB:</w:t>
            </w:r>
          </w:p>
          <w:p w14:paraId="65F9BB81" w14:textId="77777777" w:rsidR="00DA0E79" w:rsidRPr="005C356C" w:rsidRDefault="00DA0E79" w:rsidP="00DA0E79">
            <w:pPr>
              <w:spacing w:before="120"/>
              <w:ind w:left="288" w:hanging="288"/>
              <w:jc w:val="both"/>
              <w:rPr>
                <w:rFonts w:eastAsia="Times New Roman" w:cs="Times New Roman"/>
                <w:szCs w:val="24"/>
                <w:lang w:bidi="pl-PL"/>
              </w:rPr>
            </w:pPr>
            <w:r w:rsidRPr="005C356C">
              <w:rPr>
                <w:rFonts w:eastAsia="Times New Roman" w:cs="Times New Roman"/>
                <w:szCs w:val="24"/>
                <w:lang w:bidi="pl-PL"/>
              </w:rPr>
              <w:t>a)</w:t>
            </w:r>
            <w:r w:rsidRPr="005C356C">
              <w:rPr>
                <w:rFonts w:eastAsia="Times New Roman" w:cs="Times New Roman"/>
                <w:szCs w:val="24"/>
                <w:lang w:bidi="pl-PL"/>
              </w:rPr>
              <w:tab/>
              <w:t>na MB będące w posiadaniu POB wskazanego przez sprzedawcę wybranego przez URDn typu odbiorca,</w:t>
            </w:r>
          </w:p>
          <w:p w14:paraId="389B3E86" w14:textId="77777777" w:rsidR="00DA0E79" w:rsidRPr="005C356C" w:rsidRDefault="00DA0E79" w:rsidP="00DA0E79">
            <w:pPr>
              <w:spacing w:before="120"/>
              <w:ind w:left="288" w:hanging="288"/>
              <w:jc w:val="both"/>
              <w:rPr>
                <w:rFonts w:eastAsia="Times New Roman" w:cs="Times New Roman"/>
                <w:szCs w:val="24"/>
                <w:lang w:bidi="pl-PL"/>
              </w:rPr>
            </w:pPr>
            <w:r w:rsidRPr="005C356C">
              <w:rPr>
                <w:rFonts w:eastAsia="Times New Roman" w:cs="Times New Roman"/>
                <w:szCs w:val="24"/>
                <w:lang w:bidi="pl-PL"/>
              </w:rPr>
              <w:t>b)</w:t>
            </w:r>
            <w:r w:rsidRPr="005C356C">
              <w:rPr>
                <w:rFonts w:eastAsia="Times New Roman" w:cs="Times New Roman"/>
                <w:szCs w:val="24"/>
                <w:lang w:bidi="pl-PL"/>
              </w:rPr>
              <w:tab/>
              <w:t>na MB będące w posiadaniu POB wskazanego bezpośrednio przez URDn typu wytwórca lub posiadacz magazynu energii elektrycznej.</w:t>
            </w:r>
          </w:p>
          <w:p w14:paraId="21F0271B" w14:textId="73E8520C" w:rsidR="00523B24" w:rsidRPr="005C356C" w:rsidRDefault="00DA0E79" w:rsidP="00C7797F">
            <w:pPr>
              <w:spacing w:before="120"/>
              <w:ind w:left="4" w:hanging="4"/>
              <w:jc w:val="both"/>
              <w:rPr>
                <w:rFonts w:eastAsia="Times New Roman" w:cs="Times New Roman"/>
                <w:szCs w:val="24"/>
                <w:lang w:bidi="pl-PL"/>
              </w:rPr>
            </w:pPr>
            <w:r w:rsidRPr="005C356C">
              <w:rPr>
                <w:rFonts w:eastAsia="Times New Roman" w:cs="Times New Roman"/>
                <w:szCs w:val="24"/>
                <w:lang w:bidi="pl-PL"/>
              </w:rPr>
              <w:t>OSDn przekazuje OSDp informacje o wyżej wymienionych POB, którzy mają zawartą umowę, o której mowa w pkt A.</w:t>
            </w:r>
            <w:r w:rsidR="00D04E92" w:rsidRPr="005C356C">
              <w:rPr>
                <w:rFonts w:eastAsia="Times New Roman" w:cs="Times New Roman"/>
                <w:szCs w:val="24"/>
                <w:lang w:bidi="pl-PL"/>
              </w:rPr>
              <w:t>6</w:t>
            </w:r>
            <w:r w:rsidRPr="005C356C">
              <w:rPr>
                <w:rFonts w:eastAsia="Times New Roman" w:cs="Times New Roman"/>
                <w:szCs w:val="24"/>
                <w:lang w:bidi="pl-PL"/>
              </w:rPr>
              <w:t>.3.d).</w:t>
            </w:r>
          </w:p>
        </w:tc>
      </w:tr>
      <w:tr w:rsidR="00C7797F" w:rsidRPr="00E32790" w14:paraId="39D322BC" w14:textId="77777777" w:rsidTr="009C42E8">
        <w:tc>
          <w:tcPr>
            <w:tcW w:w="1063" w:type="dxa"/>
            <w:shd w:val="clear" w:color="auto" w:fill="auto"/>
          </w:tcPr>
          <w:p w14:paraId="0CFE68BF" w14:textId="4BD46D5D" w:rsidR="00C7797F" w:rsidRPr="00506229" w:rsidRDefault="00C7797F" w:rsidP="008F676A">
            <w:pPr>
              <w:rPr>
                <w:rFonts w:eastAsia="Times New Roman" w:cs="Times New Roman"/>
                <w:szCs w:val="24"/>
              </w:rPr>
            </w:pPr>
            <w:r w:rsidRPr="00506229">
              <w:rPr>
                <w:rFonts w:eastAsia="Times New Roman" w:cs="Times New Roman"/>
                <w:szCs w:val="24"/>
              </w:rPr>
              <w:t>A.6.</w:t>
            </w:r>
            <w:r>
              <w:rPr>
                <w:rFonts w:eastAsia="Times New Roman" w:cs="Times New Roman"/>
                <w:szCs w:val="24"/>
              </w:rPr>
              <w:t>8.</w:t>
            </w:r>
          </w:p>
        </w:tc>
        <w:tc>
          <w:tcPr>
            <w:tcW w:w="8151" w:type="dxa"/>
            <w:shd w:val="clear" w:color="auto" w:fill="auto"/>
          </w:tcPr>
          <w:p w14:paraId="17051A6A" w14:textId="4B6E83CB" w:rsidR="00C7797F" w:rsidRPr="005C356C" w:rsidRDefault="005C356C" w:rsidP="00DA0E79">
            <w:pPr>
              <w:spacing w:before="120"/>
              <w:ind w:left="4" w:hanging="4"/>
              <w:jc w:val="both"/>
              <w:rPr>
                <w:rFonts w:eastAsia="Times New Roman" w:cs="Times New Roman"/>
                <w:szCs w:val="24"/>
                <w:lang w:bidi="pl-PL"/>
              </w:rPr>
            </w:pPr>
            <w:r w:rsidRPr="005C356C">
              <w:rPr>
                <w:rFonts w:eastAsia="Times New Roman" w:cs="Times New Roman"/>
                <w:szCs w:val="24"/>
                <w:lang w:bidi="pl-PL"/>
              </w:rPr>
              <w:t>Wyznaczanie i przekazywanie do OSDp oraz udostępnianie danych pomiarowych do OSP, odbywa się zgodnie z zasadami opisanymi w IRiESD OSDp oraz odpowiednio WDB lub RRM.</w:t>
            </w:r>
          </w:p>
        </w:tc>
      </w:tr>
      <w:tr w:rsidR="00510BDA" w:rsidRPr="00E32790" w14:paraId="47424CF3" w14:textId="77777777" w:rsidTr="009C42E8">
        <w:tc>
          <w:tcPr>
            <w:tcW w:w="1063" w:type="dxa"/>
            <w:shd w:val="clear" w:color="auto" w:fill="auto"/>
          </w:tcPr>
          <w:p w14:paraId="2ED14709" w14:textId="3876A8E3" w:rsidR="00510BDA" w:rsidRPr="00506229" w:rsidRDefault="00510BDA" w:rsidP="008F676A">
            <w:pPr>
              <w:rPr>
                <w:rFonts w:eastAsia="Times New Roman" w:cs="Times New Roman"/>
                <w:szCs w:val="24"/>
              </w:rPr>
            </w:pPr>
            <w:r w:rsidRPr="00506229">
              <w:rPr>
                <w:rFonts w:eastAsia="Times New Roman" w:cs="Times New Roman"/>
                <w:szCs w:val="24"/>
              </w:rPr>
              <w:t>A.6.</w:t>
            </w:r>
            <w:r>
              <w:rPr>
                <w:rFonts w:eastAsia="Times New Roman" w:cs="Times New Roman"/>
                <w:szCs w:val="24"/>
              </w:rPr>
              <w:t>9.</w:t>
            </w:r>
          </w:p>
        </w:tc>
        <w:tc>
          <w:tcPr>
            <w:tcW w:w="8151" w:type="dxa"/>
            <w:shd w:val="clear" w:color="auto" w:fill="auto"/>
          </w:tcPr>
          <w:p w14:paraId="2D9EFC50" w14:textId="767C0D2F" w:rsidR="00510BDA" w:rsidRPr="00135A25" w:rsidRDefault="00135A25" w:rsidP="00DA0E79">
            <w:pPr>
              <w:spacing w:before="120"/>
              <w:ind w:left="4" w:hanging="4"/>
              <w:jc w:val="both"/>
              <w:rPr>
                <w:rFonts w:eastAsia="Times New Roman" w:cs="Times New Roman"/>
                <w:szCs w:val="24"/>
                <w:lang w:bidi="pl-PL"/>
              </w:rPr>
            </w:pPr>
            <w:r w:rsidRPr="00135A25">
              <w:rPr>
                <w:rFonts w:eastAsia="Times New Roman" w:cs="Times New Roman"/>
                <w:szCs w:val="24"/>
                <w:lang w:bidi="pl-PL"/>
              </w:rPr>
              <w:t>Zawieszenie lub zaprzestanie, niezależnie od przyczyny, działalności na RB przez POB lub zaprzestanie niezależnie od przyczyny bilansowania handlowego sprzedawcy lub URDn typu wytwórca lub posiadacz magazynu energii elektrycznej w obszarze sieci OSDn, będzie skutkować zaprzestaniem przekazywania przez OSDp danych pomiarowych na MB tego POB. Tym samym dane pomiarowe URDn będą uwzględniane w zużyciu energii elektrycznej OSDn, chyba że zostanie wskazany inny POB w terminie umożliwiającym zmianę konfiguracji obiektów tego POB (zgodnie z zasadami opisanymi w IRiESD OSDp).</w:t>
            </w:r>
          </w:p>
        </w:tc>
      </w:tr>
      <w:tr w:rsidR="00B41714" w:rsidRPr="00E32790" w14:paraId="168C0459" w14:textId="77777777" w:rsidTr="009C42E8">
        <w:tc>
          <w:tcPr>
            <w:tcW w:w="1063" w:type="dxa"/>
            <w:shd w:val="clear" w:color="auto" w:fill="auto"/>
          </w:tcPr>
          <w:p w14:paraId="7397D262" w14:textId="19B7AE7D" w:rsidR="00B41714" w:rsidRPr="00506229" w:rsidRDefault="00B41714" w:rsidP="008F676A">
            <w:pPr>
              <w:rPr>
                <w:rFonts w:eastAsia="Times New Roman" w:cs="Times New Roman"/>
                <w:szCs w:val="24"/>
              </w:rPr>
            </w:pPr>
            <w:r w:rsidRPr="00506229">
              <w:rPr>
                <w:rFonts w:eastAsia="Times New Roman" w:cs="Times New Roman"/>
                <w:szCs w:val="24"/>
              </w:rPr>
              <w:t>A.6.</w:t>
            </w:r>
            <w:r>
              <w:rPr>
                <w:rFonts w:eastAsia="Times New Roman" w:cs="Times New Roman"/>
                <w:szCs w:val="24"/>
              </w:rPr>
              <w:t>10.</w:t>
            </w:r>
          </w:p>
        </w:tc>
        <w:tc>
          <w:tcPr>
            <w:tcW w:w="8151" w:type="dxa"/>
            <w:shd w:val="clear" w:color="auto" w:fill="auto"/>
          </w:tcPr>
          <w:p w14:paraId="226EFA7B" w14:textId="7C951E6D" w:rsidR="00B41714" w:rsidRPr="009B1E6A" w:rsidRDefault="009B1E6A" w:rsidP="00DA0E79">
            <w:pPr>
              <w:spacing w:before="120"/>
              <w:ind w:left="4" w:hanging="4"/>
              <w:jc w:val="both"/>
              <w:rPr>
                <w:rFonts w:eastAsia="Times New Roman" w:cs="Times New Roman"/>
                <w:szCs w:val="24"/>
                <w:lang w:bidi="pl-PL"/>
              </w:rPr>
            </w:pPr>
            <w:r w:rsidRPr="009B1E6A">
              <w:rPr>
                <w:rFonts w:eastAsia="Times New Roman" w:cs="Times New Roman"/>
                <w:szCs w:val="24"/>
                <w:lang w:bidi="pl-PL"/>
              </w:rPr>
              <w:t>Zaprzestanie przez sprzedawcę sprzedaży energii elektrycznej do URDn, o ile nie ma sprzedawcy rezerwowego, będzie skutkować zaprzestaniem przekazywania przez OSDp danych pomiarowych na MB POB wybranego przez tego sprzedawcę, a tym samym dane pomiarowe URDn będą powiększać zużycie energii elektrycznej OSDn.</w:t>
            </w:r>
          </w:p>
        </w:tc>
      </w:tr>
      <w:tr w:rsidR="009B1E6A" w:rsidRPr="00E32790" w14:paraId="0D2612D1" w14:textId="77777777" w:rsidTr="009C42E8">
        <w:tc>
          <w:tcPr>
            <w:tcW w:w="1063" w:type="dxa"/>
            <w:shd w:val="clear" w:color="auto" w:fill="auto"/>
          </w:tcPr>
          <w:p w14:paraId="3F24E32E" w14:textId="333E9E82" w:rsidR="009B1E6A" w:rsidRPr="00506229" w:rsidRDefault="009B1E6A" w:rsidP="008F676A">
            <w:pPr>
              <w:rPr>
                <w:rFonts w:eastAsia="Times New Roman" w:cs="Times New Roman"/>
                <w:szCs w:val="24"/>
              </w:rPr>
            </w:pPr>
            <w:r w:rsidRPr="00506229">
              <w:rPr>
                <w:rFonts w:eastAsia="Times New Roman" w:cs="Times New Roman"/>
                <w:szCs w:val="24"/>
              </w:rPr>
              <w:t>A.6.</w:t>
            </w:r>
            <w:r>
              <w:rPr>
                <w:rFonts w:eastAsia="Times New Roman" w:cs="Times New Roman"/>
                <w:szCs w:val="24"/>
              </w:rPr>
              <w:t xml:space="preserve">11. </w:t>
            </w:r>
          </w:p>
        </w:tc>
        <w:tc>
          <w:tcPr>
            <w:tcW w:w="8151" w:type="dxa"/>
            <w:shd w:val="clear" w:color="auto" w:fill="auto"/>
          </w:tcPr>
          <w:p w14:paraId="3356AB8D" w14:textId="4DB139C2" w:rsidR="00094D1B" w:rsidRPr="00094D1B" w:rsidRDefault="00094D1B" w:rsidP="006C6B3D">
            <w:pPr>
              <w:tabs>
                <w:tab w:val="left" w:pos="1843"/>
              </w:tabs>
              <w:spacing w:before="120"/>
              <w:ind w:left="4" w:hanging="4"/>
              <w:jc w:val="both"/>
              <w:rPr>
                <w:rFonts w:eastAsia="Times New Roman" w:cs="Times New Roman"/>
                <w:szCs w:val="24"/>
                <w:lang w:bidi="pl-PL"/>
              </w:rPr>
            </w:pPr>
            <w:r w:rsidRPr="00094D1B">
              <w:rPr>
                <w:rFonts w:eastAsia="Times New Roman" w:cs="Times New Roman"/>
                <w:szCs w:val="24"/>
                <w:lang w:bidi="pl-PL"/>
              </w:rPr>
              <w:t>Przekazywanie przez OSDn do OSDp danych pomiarowych na potrzeby rynku mocy, odbywa się w trybie dobowym, na następujących zasadach:</w:t>
            </w:r>
          </w:p>
          <w:p w14:paraId="1EFFFE6A" w14:textId="77777777" w:rsidR="00094D1B" w:rsidRPr="00094D1B" w:rsidRDefault="00094D1B" w:rsidP="00094D1B">
            <w:pPr>
              <w:tabs>
                <w:tab w:val="left" w:pos="1843"/>
                <w:tab w:val="left" w:pos="2977"/>
              </w:tabs>
              <w:spacing w:before="120"/>
              <w:ind w:left="288" w:hanging="288"/>
              <w:jc w:val="both"/>
              <w:rPr>
                <w:rFonts w:eastAsia="Times New Roman" w:cs="Times New Roman"/>
                <w:szCs w:val="24"/>
                <w:lang w:bidi="pl-PL"/>
              </w:rPr>
            </w:pPr>
            <w:r w:rsidRPr="00094D1B">
              <w:rPr>
                <w:rFonts w:eastAsia="Times New Roman" w:cs="Times New Roman"/>
                <w:szCs w:val="24"/>
                <w:lang w:bidi="pl-PL"/>
              </w:rPr>
              <w:t>a)</w:t>
            </w:r>
            <w:r w:rsidRPr="00094D1B">
              <w:rPr>
                <w:rFonts w:eastAsia="Times New Roman" w:cs="Times New Roman"/>
                <w:szCs w:val="24"/>
                <w:lang w:bidi="pl-PL"/>
              </w:rPr>
              <w:tab/>
              <w:t>w trybie wstępnym dla doby n do godziny 9:00 doby n+1,</w:t>
            </w:r>
          </w:p>
          <w:p w14:paraId="5DCFF934" w14:textId="77777777" w:rsidR="00094D1B" w:rsidRPr="00094D1B" w:rsidRDefault="00094D1B" w:rsidP="00094D1B">
            <w:pPr>
              <w:tabs>
                <w:tab w:val="left" w:pos="1843"/>
                <w:tab w:val="left" w:pos="2977"/>
              </w:tabs>
              <w:spacing w:before="120"/>
              <w:ind w:left="288" w:hanging="288"/>
              <w:jc w:val="both"/>
              <w:rPr>
                <w:rFonts w:eastAsia="Times New Roman" w:cs="Times New Roman"/>
                <w:szCs w:val="24"/>
                <w:lang w:bidi="pl-PL"/>
              </w:rPr>
            </w:pPr>
            <w:r w:rsidRPr="00094D1B">
              <w:rPr>
                <w:rFonts w:eastAsia="Times New Roman" w:cs="Times New Roman"/>
                <w:szCs w:val="24"/>
                <w:lang w:bidi="pl-PL"/>
              </w:rPr>
              <w:t>b)</w:t>
            </w:r>
            <w:r w:rsidRPr="00094D1B">
              <w:rPr>
                <w:rFonts w:eastAsia="Times New Roman" w:cs="Times New Roman"/>
                <w:szCs w:val="24"/>
                <w:lang w:bidi="pl-PL"/>
              </w:rPr>
              <w:tab/>
              <w:t>w trybie podstawowym za miesiąc m do 3 dnia kalendarzowego miesiąca m+1,</w:t>
            </w:r>
          </w:p>
          <w:p w14:paraId="0E9831C9" w14:textId="77777777" w:rsidR="00094D1B" w:rsidRPr="00094D1B" w:rsidRDefault="00094D1B" w:rsidP="00094D1B">
            <w:pPr>
              <w:tabs>
                <w:tab w:val="left" w:pos="1843"/>
              </w:tabs>
              <w:spacing w:before="120"/>
              <w:ind w:left="288" w:hanging="288"/>
              <w:jc w:val="both"/>
              <w:rPr>
                <w:rFonts w:eastAsia="Times New Roman" w:cs="Times New Roman"/>
                <w:szCs w:val="24"/>
                <w:lang w:bidi="pl-PL"/>
              </w:rPr>
            </w:pPr>
            <w:r w:rsidRPr="00094D1B">
              <w:rPr>
                <w:rFonts w:eastAsia="Times New Roman" w:cs="Times New Roman"/>
                <w:szCs w:val="24"/>
                <w:lang w:bidi="pl-PL"/>
              </w:rPr>
              <w:t>c)</w:t>
            </w:r>
            <w:r w:rsidRPr="00094D1B">
              <w:rPr>
                <w:rFonts w:eastAsia="Times New Roman" w:cs="Times New Roman"/>
                <w:szCs w:val="24"/>
                <w:lang w:bidi="pl-PL"/>
              </w:rPr>
              <w:tab/>
              <w:t>w trybie dodatkowym za miesiąc m do 2 dnia kalendarzowego miesiąca m+2.</w:t>
            </w:r>
          </w:p>
          <w:p w14:paraId="052C3CD3" w14:textId="0E083611" w:rsidR="009B1E6A" w:rsidRPr="009B1E6A" w:rsidRDefault="00094D1B" w:rsidP="00EC393D">
            <w:pPr>
              <w:tabs>
                <w:tab w:val="left" w:pos="1843"/>
              </w:tabs>
              <w:spacing w:before="120"/>
              <w:ind w:left="4" w:hanging="4"/>
              <w:jc w:val="both"/>
              <w:rPr>
                <w:rFonts w:eastAsia="Times New Roman" w:cs="Times New Roman"/>
                <w:szCs w:val="24"/>
                <w:lang w:bidi="pl-PL"/>
              </w:rPr>
            </w:pPr>
            <w:r w:rsidRPr="00094D1B">
              <w:rPr>
                <w:rFonts w:eastAsia="Times New Roman" w:cs="Times New Roman"/>
                <w:szCs w:val="24"/>
                <w:lang w:bidi="pl-PL"/>
              </w:rPr>
              <w:t>W przypadku zastrzeżeń dostawcy mocy w rozumieniu ustawy o rynku mocy do danych pomiarowych, OSDn rozpatruje zastrzeżenia poprzez ponowną weryfikację danych pomiarowych przekazanych w trybie podstawowym i w razie potrzeby przekazuje do OSDp skorygowane dane pomiarowe do 2 dnia kalendarzowego miesiąca m+3.</w:t>
            </w:r>
          </w:p>
        </w:tc>
      </w:tr>
      <w:tr w:rsidR="009563E7" w:rsidRPr="00E32790" w14:paraId="73FBACBA" w14:textId="77777777" w:rsidTr="009C42E8">
        <w:tc>
          <w:tcPr>
            <w:tcW w:w="1063" w:type="dxa"/>
            <w:shd w:val="clear" w:color="auto" w:fill="auto"/>
          </w:tcPr>
          <w:p w14:paraId="4AEF57D0" w14:textId="60789F6A" w:rsidR="009563E7" w:rsidRPr="00EC393D" w:rsidRDefault="00EC393D" w:rsidP="008F676A">
            <w:pPr>
              <w:rPr>
                <w:rFonts w:eastAsia="Times New Roman" w:cs="Times New Roman"/>
                <w:szCs w:val="24"/>
              </w:rPr>
            </w:pPr>
            <w:r w:rsidRPr="00EC393D">
              <w:rPr>
                <w:rFonts w:eastAsia="Times New Roman" w:cs="Times New Roman"/>
                <w:szCs w:val="24"/>
              </w:rPr>
              <w:t>A.6.1</w:t>
            </w:r>
            <w:r w:rsidR="00371D5F">
              <w:rPr>
                <w:rFonts w:eastAsia="Times New Roman" w:cs="Times New Roman"/>
                <w:szCs w:val="24"/>
              </w:rPr>
              <w:t>2</w:t>
            </w:r>
            <w:r w:rsidRPr="00EC393D">
              <w:rPr>
                <w:rFonts w:eastAsia="Times New Roman" w:cs="Times New Roman"/>
                <w:szCs w:val="24"/>
              </w:rPr>
              <w:t>.</w:t>
            </w:r>
          </w:p>
        </w:tc>
        <w:tc>
          <w:tcPr>
            <w:tcW w:w="8151" w:type="dxa"/>
            <w:shd w:val="clear" w:color="auto" w:fill="auto"/>
          </w:tcPr>
          <w:p w14:paraId="5B0899A8" w14:textId="121D2480" w:rsidR="009563E7" w:rsidRPr="00EC393D" w:rsidRDefault="00EC393D" w:rsidP="006C6B3D">
            <w:pPr>
              <w:tabs>
                <w:tab w:val="left" w:pos="1843"/>
              </w:tabs>
              <w:spacing w:before="120"/>
              <w:ind w:left="4" w:hanging="4"/>
              <w:jc w:val="both"/>
              <w:rPr>
                <w:rFonts w:eastAsia="Times New Roman" w:cs="Times New Roman"/>
                <w:szCs w:val="24"/>
                <w:lang w:bidi="pl-PL"/>
              </w:rPr>
            </w:pPr>
            <w:r w:rsidRPr="00EC393D">
              <w:rPr>
                <w:rFonts w:eastAsia="Times New Roman" w:cs="Times New Roman"/>
                <w:szCs w:val="24"/>
                <w:lang w:bidi="pl-PL"/>
              </w:rPr>
              <w:t>Przekazywanie danych OSDn do OSDp na potrzeby rozliczeń regulacyjnych usług systemowych w zakresie rezerwy interwencyjnej, odbywa się na zasadach określonych w pkt A.</w:t>
            </w:r>
            <w:r w:rsidR="00D57406">
              <w:rPr>
                <w:rFonts w:eastAsia="Times New Roman" w:cs="Times New Roman"/>
                <w:szCs w:val="24"/>
                <w:lang w:bidi="pl-PL"/>
              </w:rPr>
              <w:t>10</w:t>
            </w:r>
            <w:r w:rsidRPr="00EC393D">
              <w:rPr>
                <w:rFonts w:eastAsia="Times New Roman" w:cs="Times New Roman"/>
                <w:szCs w:val="24"/>
                <w:lang w:bidi="pl-PL"/>
              </w:rPr>
              <w:t>.2.5.</w:t>
            </w:r>
          </w:p>
        </w:tc>
      </w:tr>
    </w:tbl>
    <w:p w14:paraId="0B2BEE51" w14:textId="77777777" w:rsidR="001D4CA5" w:rsidRDefault="001D4CA5" w:rsidP="005716E5">
      <w:pPr>
        <w:pStyle w:val="Nagwek2"/>
        <w:ind w:left="567" w:hanging="567"/>
        <w:jc w:val="both"/>
      </w:pPr>
      <w:bookmarkStart w:id="77" w:name="_Toc141963914"/>
      <w:r w:rsidRPr="00956BD9">
        <w:lastRenderedPageBreak/>
        <w:t>A.</w:t>
      </w:r>
      <w:r>
        <w:t>7</w:t>
      </w:r>
      <w:r w:rsidRPr="00956BD9">
        <w:t>. ZASADY SPRZEDAŻY REZERWOWEJ DLA URD KTÓRZY MAJĄ ZAWARTE UMOWY KOMPLEKSOWE</w:t>
      </w:r>
      <w:bookmarkEnd w:id="77"/>
      <w:r>
        <w:t xml:space="preserve"> </w:t>
      </w:r>
    </w:p>
    <w:p w14:paraId="2F624D0D" w14:textId="77777777" w:rsidR="001D4CA5" w:rsidRDefault="001D4CA5" w:rsidP="001D4CA5">
      <w:pPr>
        <w:spacing w:line="234" w:lineRule="auto"/>
        <w:ind w:left="560" w:right="139" w:hanging="491"/>
        <w:jc w:val="both"/>
        <w:rPr>
          <w:rFonts w:eastAsia="Times New Roman"/>
        </w:rPr>
      </w:pPr>
    </w:p>
    <w:p w14:paraId="6932CB54" w14:textId="77777777" w:rsidR="00E21E75" w:rsidRPr="00956BD9" w:rsidRDefault="00E21E75" w:rsidP="00B51ADF">
      <w:pPr>
        <w:tabs>
          <w:tab w:val="left" w:pos="1120"/>
        </w:tabs>
        <w:spacing w:line="0" w:lineRule="atLeast"/>
        <w:ind w:left="60" w:right="-2"/>
        <w:jc w:val="both"/>
        <w:rPr>
          <w:rFonts w:eastAsia="Times New Roman" w:cs="Times New Roman"/>
          <w:szCs w:val="24"/>
        </w:rPr>
      </w:pPr>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.1.</w:t>
      </w:r>
      <w:r w:rsidRPr="00956BD9">
        <w:rPr>
          <w:rFonts w:eastAsia="Times New Roman" w:cs="Times New Roman"/>
          <w:szCs w:val="24"/>
        </w:rPr>
        <w:tab/>
        <w:t>W umowie kompleksowej ze sprzedawcą, URD:</w:t>
      </w:r>
    </w:p>
    <w:p w14:paraId="5CAF4D06" w14:textId="77777777" w:rsidR="00E21E75" w:rsidRPr="00956BD9" w:rsidRDefault="00E21E75">
      <w:pPr>
        <w:numPr>
          <w:ilvl w:val="0"/>
          <w:numId w:val="144"/>
        </w:numPr>
        <w:tabs>
          <w:tab w:val="left" w:pos="1480"/>
        </w:tabs>
        <w:spacing w:line="248" w:lineRule="auto"/>
        <w:ind w:left="1480" w:right="-2" w:hanging="348"/>
        <w:jc w:val="both"/>
        <w:rPr>
          <w:rFonts w:eastAsia="Times New Roman" w:cs="Times New Roman"/>
          <w:szCs w:val="24"/>
        </w:rPr>
      </w:pPr>
      <w:r w:rsidRPr="00956BD9">
        <w:rPr>
          <w:rFonts w:eastAsia="Times New Roman" w:cs="Times New Roman"/>
          <w:szCs w:val="24"/>
        </w:rPr>
        <w:t xml:space="preserve">wskazuje wybranego przez siebie sprzedawcę rezerwowego z wykazu, </w:t>
      </w:r>
      <w:r w:rsidRPr="00956BD9">
        <w:rPr>
          <w:rFonts w:eastAsia="Times New Roman" w:cs="Times New Roman"/>
          <w:szCs w:val="24"/>
        </w:rPr>
        <w:br/>
        <w:t>o którym mowa w pkt. A.</w:t>
      </w:r>
      <w:r w:rsidR="00302EC9">
        <w:rPr>
          <w:rFonts w:eastAsia="Times New Roman" w:cs="Times New Roman"/>
          <w:szCs w:val="24"/>
        </w:rPr>
        <w:t>3.6</w:t>
      </w:r>
      <w:r w:rsidRPr="00956BD9">
        <w:rPr>
          <w:rFonts w:eastAsia="Times New Roman" w:cs="Times New Roman"/>
          <w:szCs w:val="24"/>
        </w:rPr>
        <w:t>. lit. b), innego niż sprzedawca,</w:t>
      </w:r>
    </w:p>
    <w:p w14:paraId="4C2AD484" w14:textId="77777777" w:rsidR="00E21E75" w:rsidRPr="00956BD9" w:rsidRDefault="00E21E75">
      <w:pPr>
        <w:numPr>
          <w:ilvl w:val="0"/>
          <w:numId w:val="144"/>
        </w:numPr>
        <w:tabs>
          <w:tab w:val="left" w:pos="1480"/>
        </w:tabs>
        <w:spacing w:line="255" w:lineRule="auto"/>
        <w:ind w:left="1480" w:right="-2" w:hanging="348"/>
        <w:jc w:val="both"/>
        <w:rPr>
          <w:rFonts w:eastAsia="Times New Roman" w:cs="Times New Roman"/>
          <w:szCs w:val="24"/>
        </w:rPr>
      </w:pPr>
      <w:r w:rsidRPr="00956BD9">
        <w:rPr>
          <w:rFonts w:eastAsia="Times New Roman" w:cs="Times New Roman"/>
          <w:szCs w:val="24"/>
        </w:rPr>
        <w:t xml:space="preserve">upoważnia OSDn do zawarcia w jego imieniu i na jego rzecz – w przypadku wygaśnięcia lub zaprzestania wykonywania umowy kompleksowej przez dotychczasowego sprzedawcę – rezerwowej umowy kompleksowej </w:t>
      </w:r>
      <w:r>
        <w:rPr>
          <w:rFonts w:eastAsia="Times New Roman" w:cs="Times New Roman"/>
          <w:szCs w:val="24"/>
        </w:rPr>
        <w:br/>
      </w:r>
      <w:r w:rsidRPr="00956BD9">
        <w:rPr>
          <w:rFonts w:eastAsia="Times New Roman" w:cs="Times New Roman"/>
          <w:szCs w:val="24"/>
        </w:rPr>
        <w:t>ze wskazanym przez siebie sprzedawcą rezerwowym.</w:t>
      </w:r>
    </w:p>
    <w:p w14:paraId="2227B707" w14:textId="77777777" w:rsidR="00E21E75" w:rsidRPr="00956BD9" w:rsidRDefault="00E21E75" w:rsidP="00B51ADF">
      <w:pPr>
        <w:spacing w:line="178" w:lineRule="exact"/>
        <w:ind w:right="-2"/>
        <w:jc w:val="both"/>
        <w:rPr>
          <w:rFonts w:eastAsia="Times New Roman" w:cs="Times New Roman"/>
          <w:szCs w:val="24"/>
        </w:rPr>
      </w:pPr>
    </w:p>
    <w:p w14:paraId="68A550AC" w14:textId="77777777" w:rsidR="00E21E75" w:rsidRPr="00956BD9" w:rsidRDefault="00E21E75" w:rsidP="00B51ADF">
      <w:pPr>
        <w:spacing w:line="255" w:lineRule="auto"/>
        <w:ind w:left="1140" w:right="-2"/>
        <w:jc w:val="both"/>
        <w:rPr>
          <w:rFonts w:eastAsia="Times New Roman" w:cs="Times New Roman"/>
          <w:szCs w:val="24"/>
        </w:rPr>
      </w:pPr>
      <w:r w:rsidRPr="00956BD9">
        <w:rPr>
          <w:rFonts w:eastAsia="Times New Roman" w:cs="Times New Roman"/>
          <w:szCs w:val="24"/>
        </w:rPr>
        <w:t xml:space="preserve">Upoważnienie udzielone przez URD przy zawieraniu umowy kompleksowej </w:t>
      </w:r>
      <w:r>
        <w:rPr>
          <w:rFonts w:eastAsia="Times New Roman" w:cs="Times New Roman"/>
          <w:szCs w:val="24"/>
        </w:rPr>
        <w:br/>
      </w:r>
      <w:r w:rsidRPr="00956BD9">
        <w:rPr>
          <w:rFonts w:eastAsia="Times New Roman" w:cs="Times New Roman"/>
          <w:szCs w:val="24"/>
        </w:rPr>
        <w:t xml:space="preserve">ze sprzedawcą za pomocą środków bezpośredniego porozumiewania się na odległość, uważa się za równoważne w skutkach z upoważnieniem udzielonym </w:t>
      </w:r>
      <w:r>
        <w:rPr>
          <w:rFonts w:eastAsia="Times New Roman" w:cs="Times New Roman"/>
          <w:szCs w:val="24"/>
        </w:rPr>
        <w:br/>
      </w:r>
      <w:r w:rsidRPr="00956BD9">
        <w:rPr>
          <w:rFonts w:eastAsia="Times New Roman" w:cs="Times New Roman"/>
          <w:szCs w:val="24"/>
        </w:rPr>
        <w:t>w formie pisemnej.</w:t>
      </w:r>
    </w:p>
    <w:p w14:paraId="2914BB1D" w14:textId="77777777" w:rsidR="00E21E75" w:rsidRPr="00956BD9" w:rsidRDefault="00E21E75" w:rsidP="00B51ADF">
      <w:pPr>
        <w:spacing w:line="178" w:lineRule="exact"/>
        <w:ind w:right="-2"/>
        <w:jc w:val="both"/>
        <w:rPr>
          <w:rFonts w:eastAsia="Times New Roman" w:cs="Times New Roman"/>
          <w:szCs w:val="24"/>
        </w:rPr>
      </w:pPr>
    </w:p>
    <w:p w14:paraId="1B5B1F34" w14:textId="77777777" w:rsidR="00E21E75" w:rsidRPr="00956BD9" w:rsidRDefault="00E21E75" w:rsidP="00B51ADF">
      <w:pPr>
        <w:spacing w:line="270" w:lineRule="auto"/>
        <w:ind w:left="1140" w:right="-2"/>
        <w:jc w:val="both"/>
        <w:rPr>
          <w:rFonts w:eastAsia="Times New Roman" w:cs="Times New Roman"/>
          <w:szCs w:val="24"/>
        </w:rPr>
      </w:pPr>
      <w:r w:rsidRPr="00956BD9">
        <w:rPr>
          <w:rFonts w:eastAsia="Times New Roman" w:cs="Times New Roman"/>
          <w:szCs w:val="24"/>
        </w:rPr>
        <w:t>Wymóg by sprzedawcą rezerwowym mógł być tylko inny sprzedawca niż sprzedawca będący stroną zawartej umowy kompleksowej nie dotyczy przypadku, gdy wykaz</w:t>
      </w:r>
      <w:r w:rsidR="001961D7">
        <w:rPr>
          <w:rFonts w:eastAsia="Times New Roman" w:cs="Times New Roman"/>
          <w:szCs w:val="24"/>
        </w:rPr>
        <w:t>,</w:t>
      </w:r>
      <w:r w:rsidRPr="00956BD9">
        <w:rPr>
          <w:rFonts w:eastAsia="Times New Roman" w:cs="Times New Roman"/>
          <w:szCs w:val="24"/>
        </w:rPr>
        <w:t xml:space="preserve"> o którym mowa w pkt. A.</w:t>
      </w:r>
      <w:r w:rsidR="00302EC9">
        <w:rPr>
          <w:rFonts w:eastAsia="Times New Roman" w:cs="Times New Roman"/>
          <w:szCs w:val="24"/>
        </w:rPr>
        <w:t>3.6.</w:t>
      </w:r>
      <w:r w:rsidRPr="00956BD9">
        <w:rPr>
          <w:rFonts w:eastAsia="Times New Roman" w:cs="Times New Roman"/>
          <w:szCs w:val="24"/>
        </w:rPr>
        <w:t xml:space="preserve"> lit. b) obejmuje tylko jednego sprzedawcę.</w:t>
      </w:r>
    </w:p>
    <w:p w14:paraId="11C8D54D" w14:textId="77777777" w:rsidR="00E21E75" w:rsidRPr="00956BD9" w:rsidRDefault="00E21E75" w:rsidP="00B51ADF">
      <w:pPr>
        <w:spacing w:line="162" w:lineRule="exact"/>
        <w:ind w:right="-2"/>
        <w:jc w:val="both"/>
        <w:rPr>
          <w:rFonts w:eastAsia="Times New Roman" w:cs="Times New Roman"/>
          <w:szCs w:val="24"/>
        </w:rPr>
      </w:pPr>
    </w:p>
    <w:p w14:paraId="0E56CA31" w14:textId="476C62F7" w:rsidR="00E25D41" w:rsidRDefault="009A67C5" w:rsidP="009A67C5">
      <w:pPr>
        <w:spacing w:line="248" w:lineRule="auto"/>
        <w:ind w:left="1134" w:right="-2"/>
        <w:jc w:val="both"/>
        <w:rPr>
          <w:rFonts w:eastAsia="Times New Roman" w:cs="Times New Roman"/>
          <w:szCs w:val="24"/>
        </w:rPr>
      </w:pPr>
      <w:r w:rsidRPr="009A67C5">
        <w:rPr>
          <w:rFonts w:eastAsia="Times New Roman" w:cs="Times New Roman"/>
          <w:szCs w:val="24"/>
        </w:rPr>
        <w:t xml:space="preserve">Mając na uwadze przepisy ustawy o prawach konsumenta, upoważnienie udzielone przez URD będącego konsumentem lub osobą fizyczną, o której mowa w art. </w:t>
      </w:r>
      <w:r w:rsidR="00AA3FAF">
        <w:rPr>
          <w:rFonts w:eastAsia="Times New Roman" w:cs="Times New Roman"/>
          <w:szCs w:val="24"/>
        </w:rPr>
        <w:t>7aa</w:t>
      </w:r>
      <w:r w:rsidRPr="009A67C5">
        <w:rPr>
          <w:rFonts w:eastAsia="Times New Roman" w:cs="Times New Roman"/>
          <w:szCs w:val="24"/>
        </w:rPr>
        <w:t xml:space="preserve"> ustawy o prawach konsumenta tj. zawierającą rezerwową umowę kompleksową bezpośrednio związaną z jej działalnością gospodarczą, gdy ta umowa nie posiada dla tej osoby charakteru zawodowego, powinno zawierać dodatkowo:</w:t>
      </w:r>
    </w:p>
    <w:p w14:paraId="3382CC99" w14:textId="4A3FD838" w:rsidR="00E21E75" w:rsidRPr="00E25D41" w:rsidRDefault="00E21E75">
      <w:pPr>
        <w:pStyle w:val="Akapitzlist"/>
        <w:numPr>
          <w:ilvl w:val="1"/>
          <w:numId w:val="275"/>
        </w:numPr>
        <w:spacing w:line="248" w:lineRule="auto"/>
        <w:ind w:right="-2"/>
        <w:jc w:val="both"/>
        <w:rPr>
          <w:rFonts w:eastAsia="Times New Roman" w:cs="Times New Roman"/>
          <w:szCs w:val="24"/>
        </w:rPr>
      </w:pPr>
      <w:r w:rsidRPr="00E25D41">
        <w:rPr>
          <w:rFonts w:eastAsia="Times New Roman" w:cs="Times New Roman"/>
          <w:szCs w:val="24"/>
        </w:rPr>
        <w:t>oświadczenie tego URD, że został poinformowany o prawie do odstąpienia od rezerwowej umowy kompleksowej w terminie 14 dni od dnia jej zawarcia,</w:t>
      </w:r>
    </w:p>
    <w:p w14:paraId="3BEFC85F" w14:textId="77777777" w:rsidR="00E21E75" w:rsidRPr="00956BD9" w:rsidRDefault="00E21E75" w:rsidP="00B51ADF">
      <w:pPr>
        <w:spacing w:line="20" w:lineRule="exact"/>
        <w:ind w:right="-2"/>
        <w:jc w:val="both"/>
        <w:rPr>
          <w:rFonts w:eastAsia="Times New Roman" w:cs="Times New Roman"/>
          <w:szCs w:val="24"/>
        </w:rPr>
      </w:pPr>
    </w:p>
    <w:p w14:paraId="485D8624" w14:textId="178B4654" w:rsidR="00E21E75" w:rsidRPr="00BD6D30" w:rsidRDefault="00BD6D30">
      <w:pPr>
        <w:numPr>
          <w:ilvl w:val="0"/>
          <w:numId w:val="148"/>
        </w:numPr>
        <w:ind w:left="1418" w:right="62" w:hanging="284"/>
        <w:jc w:val="both"/>
        <w:rPr>
          <w:rFonts w:eastAsia="Times New Roman" w:cs="Times New Roman"/>
          <w:szCs w:val="24"/>
        </w:rPr>
      </w:pPr>
      <w:r w:rsidRPr="00BD6D30">
        <w:rPr>
          <w:color w:val="000000"/>
        </w:rPr>
        <w:t>upoważnienie</w:t>
      </w:r>
      <w:r w:rsidRPr="00BD6D30">
        <w:rPr>
          <w:color w:val="000000"/>
          <w:spacing w:val="-7"/>
        </w:rPr>
        <w:t xml:space="preserve"> </w:t>
      </w:r>
      <w:r w:rsidRPr="00BD6D30">
        <w:rPr>
          <w:color w:val="000000"/>
        </w:rPr>
        <w:t>dla</w:t>
      </w:r>
      <w:r w:rsidRPr="00BD6D30">
        <w:rPr>
          <w:color w:val="000000"/>
          <w:spacing w:val="-15"/>
        </w:rPr>
        <w:t xml:space="preserve"> OSDn </w:t>
      </w:r>
      <w:r w:rsidRPr="00BD6D30">
        <w:rPr>
          <w:color w:val="000000"/>
        </w:rPr>
        <w:t>do</w:t>
      </w:r>
      <w:r w:rsidRPr="00BD6D30">
        <w:rPr>
          <w:color w:val="000000"/>
          <w:spacing w:val="-21"/>
        </w:rPr>
        <w:t xml:space="preserve"> </w:t>
      </w:r>
      <w:r w:rsidRPr="00BD6D30">
        <w:rPr>
          <w:color w:val="000000"/>
        </w:rPr>
        <w:t>żądania</w:t>
      </w:r>
      <w:r w:rsidRPr="00BD6D30">
        <w:rPr>
          <w:color w:val="000000"/>
          <w:spacing w:val="-13"/>
        </w:rPr>
        <w:t xml:space="preserve"> </w:t>
      </w:r>
      <w:r w:rsidRPr="00BD6D30">
        <w:rPr>
          <w:color w:val="000000"/>
        </w:rPr>
        <w:t>w</w:t>
      </w:r>
      <w:r w:rsidRPr="00BD6D30">
        <w:rPr>
          <w:color w:val="000000"/>
          <w:spacing w:val="-23"/>
        </w:rPr>
        <w:t xml:space="preserve"> </w:t>
      </w:r>
      <w:r w:rsidRPr="00BD6D30">
        <w:rPr>
          <w:color w:val="000000"/>
        </w:rPr>
        <w:t>imieniu</w:t>
      </w:r>
      <w:r w:rsidRPr="00BD6D30">
        <w:rPr>
          <w:color w:val="000000"/>
          <w:spacing w:val="-8"/>
        </w:rPr>
        <w:t xml:space="preserve"> </w:t>
      </w:r>
      <w:r w:rsidRPr="00BD6D30">
        <w:rPr>
          <w:color w:val="000000"/>
        </w:rPr>
        <w:t>tego</w:t>
      </w:r>
      <w:r w:rsidRPr="00BD6D30">
        <w:rPr>
          <w:color w:val="000000"/>
          <w:spacing w:val="-5"/>
        </w:rPr>
        <w:t xml:space="preserve"> </w:t>
      </w:r>
      <w:r w:rsidRPr="00BD6D30">
        <w:rPr>
          <w:color w:val="000000"/>
          <w:spacing w:val="4"/>
        </w:rPr>
        <w:t>URD,</w:t>
      </w:r>
      <w:r w:rsidRPr="00BD6D30">
        <w:rPr>
          <w:color w:val="000000"/>
          <w:spacing w:val="-17"/>
        </w:rPr>
        <w:t xml:space="preserve"> </w:t>
      </w:r>
      <w:r w:rsidRPr="00BD6D30">
        <w:rPr>
          <w:color w:val="000000"/>
        </w:rPr>
        <w:t>rozpoczęcia świadczenia rezerwowej usługi kompleksowej przed upływem 14-dniowego okresu odstąpienia od rezerwowej umowy kompleksowej zawartej na odległość lub poza lokalem przedsiębiorstwa, liczonego od dnia jej zawarcia, przy czym dla URD w gospodarstwie domowym powyższe upoważnienie odnosi się jedynie do rezerwowej umowy kompleksowej zawartej na</w:t>
      </w:r>
      <w:r w:rsidRPr="00BD6D30">
        <w:rPr>
          <w:color w:val="000000"/>
          <w:spacing w:val="-18"/>
        </w:rPr>
        <w:t xml:space="preserve"> </w:t>
      </w:r>
      <w:r w:rsidRPr="00BD6D30">
        <w:rPr>
          <w:color w:val="000000"/>
        </w:rPr>
        <w:t>odległość.</w:t>
      </w:r>
    </w:p>
    <w:p w14:paraId="46EFF383" w14:textId="77777777" w:rsidR="00E21E75" w:rsidRPr="00831DC0" w:rsidRDefault="00E21E75" w:rsidP="009836DC">
      <w:pPr>
        <w:spacing w:line="257" w:lineRule="auto"/>
        <w:ind w:left="1140" w:right="62"/>
        <w:jc w:val="both"/>
        <w:rPr>
          <w:rFonts w:eastAsia="Times New Roman" w:cs="Times New Roman"/>
          <w:szCs w:val="24"/>
        </w:rPr>
      </w:pPr>
      <w:r w:rsidRPr="00956BD9">
        <w:rPr>
          <w:rFonts w:eastAsia="Times New Roman" w:cs="Times New Roman"/>
          <w:szCs w:val="24"/>
        </w:rPr>
        <w:t xml:space="preserve">Dokonując powiadomienia o zawarciu umowy kompleksowej zgodnie </w:t>
      </w:r>
      <w:r w:rsidRPr="00956BD9">
        <w:rPr>
          <w:rFonts w:eastAsia="Times New Roman" w:cs="Times New Roman"/>
          <w:szCs w:val="24"/>
        </w:rPr>
        <w:br/>
        <w:t xml:space="preserve">z </w:t>
      </w:r>
      <w:r w:rsidRPr="00831DC0">
        <w:rPr>
          <w:rFonts w:eastAsia="Times New Roman" w:cs="Times New Roman"/>
          <w:szCs w:val="24"/>
        </w:rPr>
        <w:t xml:space="preserve">pkt. </w:t>
      </w:r>
      <w:r w:rsidR="00181A1D" w:rsidRPr="00831DC0">
        <w:rPr>
          <w:rFonts w:eastAsia="Times New Roman" w:cs="Times New Roman"/>
          <w:szCs w:val="24"/>
        </w:rPr>
        <w:t>D.2.</w:t>
      </w:r>
      <w:r w:rsidR="00831DC0" w:rsidRPr="00831DC0">
        <w:rPr>
          <w:rFonts w:eastAsia="Times New Roman" w:cs="Times New Roman"/>
          <w:szCs w:val="24"/>
        </w:rPr>
        <w:t>1</w:t>
      </w:r>
      <w:r w:rsidR="00181A1D" w:rsidRPr="00831DC0">
        <w:rPr>
          <w:rFonts w:eastAsia="Times New Roman" w:cs="Times New Roman"/>
          <w:szCs w:val="24"/>
        </w:rPr>
        <w:t>.</w:t>
      </w:r>
      <w:r w:rsidRPr="00831DC0">
        <w:rPr>
          <w:rFonts w:eastAsia="Times New Roman" w:cs="Times New Roman"/>
          <w:szCs w:val="24"/>
        </w:rPr>
        <w:t xml:space="preserve"> sprzedawca wskazuje sprzedawcę rezerwowego, co jest równoznaczne ze złożeniem oświadczenia w przedmiocie dokonania przez URD wyboru sprzedawcy rezerwowego. Oświadczenie to jest równoznaczne </w:t>
      </w:r>
      <w:r w:rsidR="00F9474C" w:rsidRPr="00831DC0">
        <w:rPr>
          <w:rFonts w:eastAsia="Times New Roman" w:cs="Times New Roman"/>
          <w:szCs w:val="24"/>
        </w:rPr>
        <w:br/>
      </w:r>
      <w:r w:rsidRPr="00831DC0">
        <w:rPr>
          <w:rFonts w:eastAsia="Times New Roman" w:cs="Times New Roman"/>
          <w:szCs w:val="24"/>
        </w:rPr>
        <w:t>z dysponowaniem przez sprzedawcę upoważnieniem udzielonym przez tego URD dla OSDn spełniającym wymogi, o których mowa powyżej.</w:t>
      </w:r>
    </w:p>
    <w:p w14:paraId="7E5DB9A9" w14:textId="77777777" w:rsidR="00E21E75" w:rsidRPr="00831DC0" w:rsidRDefault="00E21E75" w:rsidP="00B51ADF">
      <w:pPr>
        <w:spacing w:line="176" w:lineRule="exact"/>
        <w:ind w:right="282"/>
        <w:jc w:val="both"/>
        <w:rPr>
          <w:rFonts w:eastAsia="Times New Roman" w:cs="Times New Roman"/>
          <w:szCs w:val="24"/>
        </w:rPr>
      </w:pPr>
    </w:p>
    <w:p w14:paraId="6CA876C3" w14:textId="77777777" w:rsidR="00E21E75" w:rsidRPr="00831DC0" w:rsidRDefault="00E21E75" w:rsidP="009836DC">
      <w:pPr>
        <w:spacing w:line="256" w:lineRule="auto"/>
        <w:ind w:left="1140" w:right="62"/>
        <w:jc w:val="both"/>
        <w:rPr>
          <w:rFonts w:eastAsia="Times New Roman" w:cs="Times New Roman"/>
          <w:szCs w:val="24"/>
        </w:rPr>
      </w:pPr>
      <w:r w:rsidRPr="00831DC0">
        <w:rPr>
          <w:rFonts w:eastAsia="Times New Roman" w:cs="Times New Roman"/>
          <w:szCs w:val="24"/>
        </w:rPr>
        <w:t xml:space="preserve">Sprzedawca jest zobowiązany do przekazania OSDn upoważnienia zawartego </w:t>
      </w:r>
      <w:r w:rsidRPr="00831DC0">
        <w:rPr>
          <w:rFonts w:eastAsia="Times New Roman" w:cs="Times New Roman"/>
          <w:szCs w:val="24"/>
        </w:rPr>
        <w:br/>
        <w:t>w treści umowy kompleksowej na każde uzasadnione żądanie OSDn, poprzez przekazanie wyciągu z tej umowy w zakresie obejmującym co najmniej treść takiego upoważnienia oraz podpis URD, nie później niż w terminie 7 dni kalendarzowych od otrzymania żądania.</w:t>
      </w:r>
    </w:p>
    <w:p w14:paraId="15E1061C" w14:textId="77777777" w:rsidR="00E21E75" w:rsidRPr="00831DC0" w:rsidRDefault="00E21E75" w:rsidP="00B51ADF">
      <w:pPr>
        <w:spacing w:line="178" w:lineRule="exact"/>
        <w:ind w:right="282"/>
        <w:jc w:val="both"/>
        <w:rPr>
          <w:rFonts w:eastAsia="Times New Roman" w:cs="Times New Roman"/>
          <w:szCs w:val="24"/>
        </w:rPr>
      </w:pPr>
    </w:p>
    <w:p w14:paraId="74B42FF8" w14:textId="77777777" w:rsidR="00E21E75" w:rsidRPr="00956BD9" w:rsidRDefault="00E21E75" w:rsidP="009836DC">
      <w:pPr>
        <w:spacing w:line="253" w:lineRule="auto"/>
        <w:ind w:left="1140" w:right="62"/>
        <w:jc w:val="both"/>
        <w:rPr>
          <w:rFonts w:eastAsia="Times New Roman" w:cs="Times New Roman"/>
          <w:szCs w:val="24"/>
        </w:rPr>
      </w:pPr>
      <w:r w:rsidRPr="00831DC0">
        <w:rPr>
          <w:rFonts w:eastAsia="Times New Roman" w:cs="Times New Roman"/>
          <w:szCs w:val="24"/>
        </w:rPr>
        <w:t xml:space="preserve">Sprzedawca, który nie dysponuje upoważnieniem, o którym mowa powyżej, nie może dokonać powiadomienia o zawarciu umowy kompleksowej zgodnie </w:t>
      </w:r>
      <w:r w:rsidRPr="00831DC0">
        <w:rPr>
          <w:rFonts w:eastAsia="Times New Roman" w:cs="Times New Roman"/>
          <w:szCs w:val="24"/>
        </w:rPr>
        <w:br/>
        <w:t xml:space="preserve">z pkt. </w:t>
      </w:r>
      <w:r w:rsidR="00181A1D" w:rsidRPr="00831DC0">
        <w:rPr>
          <w:rFonts w:eastAsia="Times New Roman" w:cs="Times New Roman"/>
          <w:szCs w:val="24"/>
        </w:rPr>
        <w:t>D.2.</w:t>
      </w:r>
      <w:r w:rsidR="00831DC0" w:rsidRPr="00831DC0">
        <w:rPr>
          <w:rFonts w:eastAsia="Times New Roman" w:cs="Times New Roman"/>
          <w:szCs w:val="24"/>
        </w:rPr>
        <w:t>1</w:t>
      </w:r>
      <w:r w:rsidR="00181A1D" w:rsidRPr="00831DC0">
        <w:rPr>
          <w:rFonts w:eastAsia="Times New Roman" w:cs="Times New Roman"/>
          <w:szCs w:val="24"/>
        </w:rPr>
        <w:t>.</w:t>
      </w:r>
    </w:p>
    <w:p w14:paraId="3FA12817" w14:textId="77777777" w:rsidR="00E21E75" w:rsidRPr="00956BD9" w:rsidRDefault="00E21E75" w:rsidP="009836DC">
      <w:pPr>
        <w:tabs>
          <w:tab w:val="left" w:pos="1120"/>
        </w:tabs>
        <w:spacing w:line="238" w:lineRule="auto"/>
        <w:ind w:left="1140" w:right="62" w:hanging="1079"/>
        <w:jc w:val="both"/>
        <w:rPr>
          <w:rFonts w:eastAsia="Times New Roman" w:cs="Times New Roman"/>
          <w:szCs w:val="24"/>
        </w:rPr>
      </w:pPr>
      <w:r w:rsidRPr="00956BD9">
        <w:rPr>
          <w:rFonts w:eastAsia="Times New Roman" w:cs="Times New Roman"/>
          <w:szCs w:val="24"/>
        </w:rPr>
        <w:lastRenderedPageBreak/>
        <w:t>A.</w:t>
      </w:r>
      <w:r w:rsidR="005941B4">
        <w:rPr>
          <w:rFonts w:eastAsia="Times New Roman" w:cs="Times New Roman"/>
          <w:szCs w:val="24"/>
        </w:rPr>
        <w:t>7</w:t>
      </w:r>
      <w:r w:rsidRPr="00956BD9">
        <w:rPr>
          <w:rFonts w:eastAsia="Times New Roman" w:cs="Times New Roman"/>
          <w:szCs w:val="24"/>
        </w:rPr>
        <w:t>.2.</w:t>
      </w:r>
      <w:r w:rsidRPr="00956BD9">
        <w:rPr>
          <w:rFonts w:eastAsia="Times New Roman" w:cs="Times New Roman"/>
          <w:szCs w:val="24"/>
        </w:rPr>
        <w:tab/>
        <w:t>OSDn, z zastrzeżeniem okoliczności wskazanych w pkt. A.</w:t>
      </w:r>
      <w:r w:rsidR="002541A3">
        <w:rPr>
          <w:rFonts w:eastAsia="Times New Roman" w:cs="Times New Roman"/>
          <w:szCs w:val="24"/>
        </w:rPr>
        <w:t>7</w:t>
      </w:r>
      <w:r w:rsidRPr="00956BD9">
        <w:rPr>
          <w:rFonts w:eastAsia="Times New Roman" w:cs="Times New Roman"/>
          <w:szCs w:val="24"/>
        </w:rPr>
        <w:t>.3, zawiera rezerwową umowę kompleksową w imieniu i na rzecz URD ze sprzedawcą rezerwowym:</w:t>
      </w:r>
    </w:p>
    <w:p w14:paraId="248BE2E2" w14:textId="77777777" w:rsidR="00E21E75" w:rsidRPr="00956BD9" w:rsidRDefault="00E21E75">
      <w:pPr>
        <w:numPr>
          <w:ilvl w:val="0"/>
          <w:numId w:val="145"/>
        </w:numPr>
        <w:tabs>
          <w:tab w:val="left" w:pos="1400"/>
        </w:tabs>
        <w:spacing w:line="0" w:lineRule="atLeast"/>
        <w:ind w:left="1400" w:right="282" w:hanging="268"/>
        <w:jc w:val="both"/>
        <w:rPr>
          <w:rFonts w:eastAsia="Times New Roman" w:cs="Times New Roman"/>
          <w:szCs w:val="24"/>
        </w:rPr>
      </w:pPr>
      <w:r w:rsidRPr="00956BD9">
        <w:rPr>
          <w:rFonts w:eastAsia="Times New Roman" w:cs="Times New Roman"/>
          <w:szCs w:val="24"/>
        </w:rPr>
        <w:t>niezwłocznie po uzyskaniu informacji o konieczności zaprzestania:</w:t>
      </w:r>
    </w:p>
    <w:p w14:paraId="258BBA7D" w14:textId="77777777" w:rsidR="00E21E75" w:rsidRPr="00956BD9" w:rsidRDefault="00E21E75">
      <w:pPr>
        <w:numPr>
          <w:ilvl w:val="1"/>
          <w:numId w:val="145"/>
        </w:numPr>
        <w:tabs>
          <w:tab w:val="left" w:pos="1620"/>
        </w:tabs>
        <w:spacing w:line="0" w:lineRule="atLeast"/>
        <w:ind w:left="1620" w:right="282" w:hanging="275"/>
        <w:jc w:val="both"/>
        <w:rPr>
          <w:rFonts w:eastAsia="Times New Roman" w:cs="Times New Roman"/>
          <w:szCs w:val="24"/>
        </w:rPr>
      </w:pPr>
      <w:r w:rsidRPr="00956BD9">
        <w:rPr>
          <w:rFonts w:eastAsia="Times New Roman" w:cs="Times New Roman"/>
          <w:szCs w:val="24"/>
        </w:rPr>
        <w:t>sprzedaży energii elektrycznej, o której mowa w pkt. A.</w:t>
      </w:r>
      <w:r w:rsidR="002541A3">
        <w:rPr>
          <w:rFonts w:eastAsia="Times New Roman" w:cs="Times New Roman"/>
          <w:szCs w:val="24"/>
        </w:rPr>
        <w:t>3.9</w:t>
      </w:r>
      <w:r w:rsidRPr="00956BD9">
        <w:rPr>
          <w:rFonts w:eastAsia="Times New Roman" w:cs="Times New Roman"/>
          <w:szCs w:val="24"/>
        </w:rPr>
        <w:t>.,</w:t>
      </w:r>
    </w:p>
    <w:p w14:paraId="7C7E24B3" w14:textId="77777777" w:rsidR="00E21E75" w:rsidRPr="00956BD9" w:rsidRDefault="00E21E75">
      <w:pPr>
        <w:numPr>
          <w:ilvl w:val="1"/>
          <w:numId w:val="145"/>
        </w:numPr>
        <w:tabs>
          <w:tab w:val="left" w:pos="1620"/>
        </w:tabs>
        <w:spacing w:line="0" w:lineRule="atLeast"/>
        <w:ind w:left="1620" w:right="62" w:hanging="275"/>
        <w:jc w:val="both"/>
        <w:rPr>
          <w:rFonts w:eastAsia="Times New Roman" w:cs="Times New Roman"/>
          <w:szCs w:val="24"/>
        </w:rPr>
      </w:pPr>
      <w:r w:rsidRPr="00956BD9">
        <w:rPr>
          <w:rFonts w:eastAsia="Times New Roman" w:cs="Times New Roman"/>
          <w:szCs w:val="24"/>
        </w:rPr>
        <w:t xml:space="preserve">świadczenia usług dystrybucji lub usług przesyłania, o której mowa </w:t>
      </w:r>
      <w:r w:rsidR="00670057">
        <w:rPr>
          <w:rFonts w:eastAsia="Times New Roman" w:cs="Times New Roman"/>
          <w:szCs w:val="24"/>
        </w:rPr>
        <w:br/>
      </w:r>
      <w:r w:rsidRPr="00956BD9">
        <w:rPr>
          <w:rFonts w:eastAsia="Times New Roman" w:cs="Times New Roman"/>
          <w:szCs w:val="24"/>
        </w:rPr>
        <w:t>w pkt. A.</w:t>
      </w:r>
      <w:r w:rsidR="002541A3">
        <w:rPr>
          <w:rFonts w:eastAsia="Times New Roman" w:cs="Times New Roman"/>
          <w:szCs w:val="24"/>
        </w:rPr>
        <w:t>3.11.</w:t>
      </w:r>
      <w:r w:rsidRPr="00956BD9">
        <w:rPr>
          <w:rFonts w:eastAsia="Times New Roman" w:cs="Times New Roman"/>
          <w:szCs w:val="24"/>
        </w:rPr>
        <w:t xml:space="preserve">,  </w:t>
      </w:r>
    </w:p>
    <w:p w14:paraId="0E52D853" w14:textId="77777777" w:rsidR="00E21E75" w:rsidRPr="00956BD9" w:rsidRDefault="00E21E75" w:rsidP="00B51ADF">
      <w:pPr>
        <w:spacing w:line="2" w:lineRule="exact"/>
        <w:ind w:right="282"/>
        <w:jc w:val="both"/>
        <w:rPr>
          <w:rFonts w:eastAsia="Times New Roman" w:cs="Times New Roman"/>
          <w:szCs w:val="24"/>
        </w:rPr>
      </w:pPr>
    </w:p>
    <w:p w14:paraId="1B418DD8" w14:textId="19A38E45" w:rsidR="00E21E75" w:rsidRDefault="00E21E75">
      <w:pPr>
        <w:numPr>
          <w:ilvl w:val="0"/>
          <w:numId w:val="145"/>
        </w:numPr>
        <w:tabs>
          <w:tab w:val="left" w:pos="1480"/>
        </w:tabs>
        <w:spacing w:line="235" w:lineRule="auto"/>
        <w:ind w:left="1480" w:right="62" w:hanging="348"/>
        <w:jc w:val="both"/>
        <w:rPr>
          <w:rFonts w:eastAsia="Times New Roman" w:cs="Times New Roman"/>
          <w:szCs w:val="24"/>
        </w:rPr>
      </w:pPr>
      <w:r w:rsidRPr="00956BD9">
        <w:rPr>
          <w:rFonts w:eastAsia="Times New Roman" w:cs="Times New Roman"/>
          <w:szCs w:val="24"/>
        </w:rPr>
        <w:t>w przypadku wygaśnięcia lub zaprzestania wykonywania umowy kompleksowej z dotychczasowym sprzedawcą</w:t>
      </w:r>
      <w:r w:rsidR="008D2353">
        <w:rPr>
          <w:rFonts w:eastAsia="Times New Roman" w:cs="Times New Roman"/>
          <w:szCs w:val="24"/>
        </w:rPr>
        <w:t>,</w:t>
      </w:r>
    </w:p>
    <w:p w14:paraId="32959E38" w14:textId="7FA8BC1C" w:rsidR="008D2353" w:rsidRPr="00956BD9" w:rsidRDefault="008D2353">
      <w:pPr>
        <w:numPr>
          <w:ilvl w:val="0"/>
          <w:numId w:val="145"/>
        </w:numPr>
        <w:tabs>
          <w:tab w:val="left" w:pos="1480"/>
        </w:tabs>
        <w:spacing w:line="235" w:lineRule="auto"/>
        <w:ind w:left="1480" w:right="62" w:hanging="348"/>
        <w:jc w:val="both"/>
        <w:rPr>
          <w:rFonts w:eastAsia="Times New Roman" w:cs="Times New Roman"/>
          <w:szCs w:val="24"/>
        </w:rPr>
      </w:pPr>
      <w:r>
        <w:rPr>
          <w:color w:val="000000"/>
        </w:rPr>
        <w:t>niezwłocznie po uzyskaniu informacji, że realizowana przez OSDn umowa kompleksowa z URD w gospodarstwie domowym, zawarta</w:t>
      </w:r>
      <w:r>
        <w:rPr>
          <w:color w:val="000000"/>
          <w:spacing w:val="-30"/>
        </w:rPr>
        <w:t xml:space="preserve"> </w:t>
      </w:r>
      <w:r>
        <w:rPr>
          <w:color w:val="000000"/>
        </w:rPr>
        <w:t>poza lokalem przedsiębiorstwa, jest</w:t>
      </w:r>
      <w:r>
        <w:rPr>
          <w:color w:val="000000"/>
          <w:spacing w:val="-27"/>
        </w:rPr>
        <w:t xml:space="preserve"> </w:t>
      </w:r>
      <w:r>
        <w:rPr>
          <w:color w:val="000000"/>
        </w:rPr>
        <w:t>nieważna;</w:t>
      </w:r>
    </w:p>
    <w:p w14:paraId="3CEB58F5" w14:textId="77777777" w:rsidR="00E21E75" w:rsidRPr="00956BD9" w:rsidRDefault="00E21E75" w:rsidP="00B51ADF">
      <w:pPr>
        <w:spacing w:line="180" w:lineRule="exact"/>
        <w:ind w:right="282"/>
        <w:jc w:val="both"/>
        <w:rPr>
          <w:rFonts w:eastAsia="Times New Roman" w:cs="Times New Roman"/>
          <w:szCs w:val="24"/>
        </w:rPr>
      </w:pPr>
    </w:p>
    <w:p w14:paraId="2BC07F67" w14:textId="77777777" w:rsidR="00E21E75" w:rsidRPr="00956BD9" w:rsidRDefault="00E21E75" w:rsidP="009836DC">
      <w:pPr>
        <w:spacing w:line="237" w:lineRule="auto"/>
        <w:ind w:left="1140" w:right="62"/>
        <w:jc w:val="both"/>
        <w:rPr>
          <w:rFonts w:eastAsia="Times New Roman" w:cs="Times New Roman"/>
          <w:szCs w:val="24"/>
        </w:rPr>
      </w:pPr>
      <w:r w:rsidRPr="00956BD9">
        <w:rPr>
          <w:rFonts w:eastAsia="Times New Roman" w:cs="Times New Roman"/>
          <w:szCs w:val="24"/>
        </w:rPr>
        <w:t xml:space="preserve">– jeżeli nie dokonano powiadomienia o zawarciu umowy sprzedaży lub umowy kompleksowej zgodnie z pkt. </w:t>
      </w:r>
      <w:r w:rsidR="00F81B9B">
        <w:rPr>
          <w:rFonts w:eastAsia="Times New Roman" w:cs="Times New Roman"/>
          <w:szCs w:val="24"/>
        </w:rPr>
        <w:t>D.2.</w:t>
      </w:r>
      <w:r w:rsidRPr="00956BD9">
        <w:rPr>
          <w:rFonts w:eastAsia="Times New Roman" w:cs="Times New Roman"/>
          <w:szCs w:val="24"/>
        </w:rPr>
        <w:t xml:space="preserve"> lub gdy sprzedawca wybrany przez URD nie podjął sprzedaży.</w:t>
      </w:r>
    </w:p>
    <w:p w14:paraId="12E46870" w14:textId="77777777" w:rsidR="00E21E75" w:rsidRPr="00956BD9" w:rsidRDefault="00E21E75" w:rsidP="00B51ADF">
      <w:pPr>
        <w:spacing w:line="181" w:lineRule="exact"/>
        <w:ind w:right="282"/>
        <w:jc w:val="both"/>
        <w:rPr>
          <w:rFonts w:eastAsia="Times New Roman" w:cs="Times New Roman"/>
          <w:szCs w:val="24"/>
        </w:rPr>
      </w:pPr>
    </w:p>
    <w:p w14:paraId="5F87583E" w14:textId="77777777" w:rsidR="00E21E75" w:rsidRPr="00956BD9" w:rsidRDefault="00E21E75" w:rsidP="009836DC">
      <w:pPr>
        <w:spacing w:line="238" w:lineRule="auto"/>
        <w:ind w:left="1140" w:right="62"/>
        <w:jc w:val="both"/>
        <w:rPr>
          <w:rFonts w:eastAsia="Times New Roman" w:cs="Times New Roman"/>
          <w:szCs w:val="24"/>
        </w:rPr>
      </w:pPr>
      <w:r w:rsidRPr="00956BD9">
        <w:rPr>
          <w:rFonts w:eastAsia="Times New Roman" w:cs="Times New Roman"/>
          <w:szCs w:val="24"/>
        </w:rPr>
        <w:t xml:space="preserve">Zawarcie rezerwowej umowy kompleksowej następuje poprzez złożenie przez OSDn sprzedawcy rezerwowemu oświadczenia o przyjęciu jego oferty </w:t>
      </w:r>
      <w:r w:rsidR="00F9474C">
        <w:rPr>
          <w:rFonts w:eastAsia="Times New Roman" w:cs="Times New Roman"/>
          <w:szCs w:val="24"/>
        </w:rPr>
        <w:br/>
      </w:r>
      <w:r w:rsidRPr="00956BD9">
        <w:rPr>
          <w:rFonts w:eastAsia="Times New Roman" w:cs="Times New Roman"/>
          <w:szCs w:val="24"/>
        </w:rPr>
        <w:t>w terminie:</w:t>
      </w:r>
    </w:p>
    <w:p w14:paraId="66512E45" w14:textId="77777777" w:rsidR="00E21E75" w:rsidRPr="00956BD9" w:rsidRDefault="00E21E75" w:rsidP="00670057">
      <w:pPr>
        <w:spacing w:line="180" w:lineRule="exact"/>
        <w:ind w:right="282"/>
        <w:jc w:val="both"/>
        <w:rPr>
          <w:rFonts w:eastAsia="Times New Roman" w:cs="Times New Roman"/>
          <w:szCs w:val="24"/>
        </w:rPr>
      </w:pPr>
    </w:p>
    <w:p w14:paraId="5368EE8C" w14:textId="15FDC884" w:rsidR="00E21E75" w:rsidRPr="00956BD9" w:rsidRDefault="008D2353">
      <w:pPr>
        <w:numPr>
          <w:ilvl w:val="0"/>
          <w:numId w:val="146"/>
        </w:numPr>
        <w:tabs>
          <w:tab w:val="left" w:pos="1846"/>
        </w:tabs>
        <w:spacing w:line="238" w:lineRule="auto"/>
        <w:ind w:left="1860" w:right="62" w:hanging="493"/>
        <w:jc w:val="both"/>
        <w:rPr>
          <w:rFonts w:eastAsia="Times New Roman" w:cs="Times New Roman"/>
          <w:szCs w:val="24"/>
        </w:rPr>
      </w:pPr>
      <w:r>
        <w:rPr>
          <w:color w:val="000000"/>
        </w:rPr>
        <w:t>w przypadkach, o których mowa w ppkt 1) oraz 3) - nie później niż w terminie 3 dni roboczych od stwierdzenia którejkolwiek z przesłanek do zawarcia rezerwowej umowy kompleksowej</w:t>
      </w:r>
      <w:r w:rsidR="00E21E75" w:rsidRPr="00956BD9">
        <w:rPr>
          <w:rFonts w:eastAsia="Times New Roman" w:cs="Times New Roman"/>
          <w:szCs w:val="24"/>
        </w:rPr>
        <w:t>;</w:t>
      </w:r>
    </w:p>
    <w:p w14:paraId="7B9456C2" w14:textId="77777777" w:rsidR="00E21E75" w:rsidRPr="00956BD9" w:rsidRDefault="00E21E75" w:rsidP="009836DC">
      <w:pPr>
        <w:spacing w:line="19" w:lineRule="exact"/>
        <w:ind w:right="62"/>
        <w:jc w:val="both"/>
        <w:rPr>
          <w:rFonts w:eastAsia="Times New Roman" w:cs="Times New Roman"/>
          <w:szCs w:val="24"/>
        </w:rPr>
      </w:pPr>
    </w:p>
    <w:p w14:paraId="04D151E2" w14:textId="77777777" w:rsidR="00E21E75" w:rsidRPr="00956BD9" w:rsidRDefault="00E21E75">
      <w:pPr>
        <w:numPr>
          <w:ilvl w:val="0"/>
          <w:numId w:val="146"/>
        </w:numPr>
        <w:tabs>
          <w:tab w:val="left" w:pos="1846"/>
        </w:tabs>
        <w:ind w:left="1860" w:right="62" w:hanging="558"/>
        <w:jc w:val="both"/>
        <w:rPr>
          <w:rFonts w:eastAsia="Times New Roman" w:cs="Times New Roman"/>
          <w:szCs w:val="24"/>
        </w:rPr>
      </w:pPr>
      <w:r w:rsidRPr="00956BD9">
        <w:rPr>
          <w:rFonts w:eastAsia="Times New Roman" w:cs="Times New Roman"/>
          <w:szCs w:val="24"/>
        </w:rPr>
        <w:t>w przypadku, o którym mowa w ppkt. 2) – nie później niż w dniu poprzedzającym dzień rozpoczęcia obowiązywania rezerwowej umowy kompleksowej.</w:t>
      </w:r>
    </w:p>
    <w:p w14:paraId="22F8D99D" w14:textId="31E2215F" w:rsidR="00E21E75" w:rsidRPr="00956BD9" w:rsidRDefault="008D2353" w:rsidP="008D2353">
      <w:pPr>
        <w:ind w:left="1140" w:right="62"/>
        <w:jc w:val="both"/>
        <w:rPr>
          <w:rFonts w:eastAsia="Times New Roman" w:cs="Times New Roman"/>
          <w:szCs w:val="24"/>
        </w:rPr>
      </w:pPr>
      <w:r>
        <w:rPr>
          <w:color w:val="000000"/>
        </w:rPr>
        <w:t xml:space="preserve">Zasady składania oferty określa umowa, o której mowa w pkt A.4.3.7. oraz IRiESD. </w:t>
      </w:r>
    </w:p>
    <w:p w14:paraId="3FC12C49" w14:textId="77777777" w:rsidR="00E21E75" w:rsidRDefault="00670057" w:rsidP="008D2353">
      <w:pPr>
        <w:ind w:left="993" w:right="62" w:hanging="993"/>
        <w:jc w:val="both"/>
        <w:rPr>
          <w:rFonts w:eastAsia="Times New Roman" w:cs="Times New Roman"/>
          <w:szCs w:val="24"/>
        </w:rPr>
      </w:pPr>
      <w:r>
        <w:rPr>
          <w:rFonts w:eastAsia="Times New Roman" w:cs="Times New Roman"/>
          <w:szCs w:val="24"/>
        </w:rPr>
        <w:t>A.7.3.        OSDn nie zawrze rezerwowej umowy kompleksowej w sytuacji:</w:t>
      </w:r>
    </w:p>
    <w:p w14:paraId="70CCB499" w14:textId="77777777" w:rsidR="00670057" w:rsidRDefault="00670057" w:rsidP="008D2353">
      <w:pPr>
        <w:ind w:left="1418" w:right="62" w:hanging="284"/>
        <w:jc w:val="both"/>
        <w:rPr>
          <w:rFonts w:eastAsia="Times New Roman" w:cs="Times New Roman"/>
          <w:szCs w:val="24"/>
        </w:rPr>
      </w:pPr>
      <w:r w:rsidRPr="00956BD9">
        <w:rPr>
          <w:rFonts w:eastAsia="Times New Roman" w:cs="Times New Roman"/>
          <w:szCs w:val="24"/>
        </w:rPr>
        <w:t xml:space="preserve">1) wstrzymania dostarczania energii elektrycznej do URD, w przypadkach, </w:t>
      </w:r>
      <w:r w:rsidRPr="00956BD9">
        <w:rPr>
          <w:rFonts w:eastAsia="Times New Roman" w:cs="Times New Roman"/>
          <w:szCs w:val="24"/>
        </w:rPr>
        <w:br/>
        <w:t xml:space="preserve">o których mowa w art. 6a ust. 3 i art. 6b ust.1, ust. 2 lub ust. 4 ustawy Prawo energetyczne (w tym także wówczas, gdy w okresie </w:t>
      </w:r>
      <w:r w:rsidRPr="00831DC0">
        <w:rPr>
          <w:rFonts w:eastAsia="Times New Roman" w:cs="Times New Roman"/>
          <w:szCs w:val="24"/>
        </w:rPr>
        <w:t>wstrzymania dojedzie do zakończenia świadczenia usługi kompleksowej zgodnie z pkt. D.2.7.</w:t>
      </w:r>
      <w:r>
        <w:rPr>
          <w:rFonts w:eastAsia="Times New Roman" w:cs="Times New Roman"/>
          <w:szCs w:val="24"/>
        </w:rPr>
        <w:t>)</w:t>
      </w:r>
      <w:r w:rsidRPr="00831DC0">
        <w:rPr>
          <w:rFonts w:eastAsia="Times New Roman" w:cs="Times New Roman"/>
          <w:szCs w:val="24"/>
        </w:rPr>
        <w:t xml:space="preserve">, </w:t>
      </w:r>
    </w:p>
    <w:p w14:paraId="783947BE" w14:textId="77777777" w:rsidR="00670057" w:rsidRPr="00956BD9" w:rsidRDefault="00670057" w:rsidP="009836DC">
      <w:pPr>
        <w:spacing w:line="0" w:lineRule="atLeast"/>
        <w:ind w:left="1418" w:right="62" w:hanging="284"/>
        <w:jc w:val="both"/>
        <w:rPr>
          <w:rFonts w:eastAsia="Times New Roman" w:cs="Times New Roman"/>
          <w:szCs w:val="24"/>
        </w:rPr>
      </w:pPr>
      <w:r>
        <w:rPr>
          <w:rFonts w:eastAsia="Times New Roman" w:cs="Times New Roman"/>
          <w:szCs w:val="24"/>
        </w:rPr>
        <w:t xml:space="preserve">2) </w:t>
      </w:r>
      <w:r w:rsidRPr="00956BD9">
        <w:rPr>
          <w:rFonts w:eastAsia="Times New Roman" w:cs="Times New Roman"/>
          <w:szCs w:val="24"/>
        </w:rPr>
        <w:t>wyprowadzenia URD z PPE.</w:t>
      </w:r>
    </w:p>
    <w:p w14:paraId="48822F19" w14:textId="77777777" w:rsidR="00E21E75" w:rsidRPr="00956BD9" w:rsidRDefault="00E21E75" w:rsidP="009836DC">
      <w:pPr>
        <w:tabs>
          <w:tab w:val="left" w:pos="1120"/>
        </w:tabs>
        <w:spacing w:line="0" w:lineRule="atLeast"/>
        <w:ind w:left="1140" w:right="62" w:hanging="1079"/>
        <w:jc w:val="both"/>
        <w:rPr>
          <w:rFonts w:eastAsia="Times New Roman" w:cs="Times New Roman"/>
          <w:szCs w:val="24"/>
        </w:rPr>
      </w:pPr>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.4.</w:t>
      </w:r>
      <w:r w:rsidRPr="00956BD9">
        <w:rPr>
          <w:rFonts w:eastAsia="Times New Roman" w:cs="Times New Roman"/>
          <w:szCs w:val="24"/>
        </w:rPr>
        <w:tab/>
        <w:t>Sprzedawca, który zawarł z OSDn GUD-K, która umożliwia zawieranie rezerwowych umów kompleksowych na obszarze OSDn, składa OSDn ofertę zawarcia rezerwowych umów kompleksowych.</w:t>
      </w:r>
    </w:p>
    <w:p w14:paraId="45559B49" w14:textId="77777777" w:rsidR="00E21E75" w:rsidRPr="00956BD9" w:rsidRDefault="00E21E75" w:rsidP="009836DC">
      <w:pPr>
        <w:spacing w:line="168" w:lineRule="exact"/>
        <w:ind w:right="62"/>
        <w:jc w:val="both"/>
        <w:rPr>
          <w:rFonts w:eastAsia="Times New Roman" w:cs="Times New Roman"/>
          <w:szCs w:val="24"/>
        </w:rPr>
      </w:pPr>
    </w:p>
    <w:p w14:paraId="00332B1F" w14:textId="77777777" w:rsidR="00E21E75" w:rsidRPr="00956BD9" w:rsidRDefault="00E21E75" w:rsidP="009836DC">
      <w:pPr>
        <w:spacing w:line="0" w:lineRule="atLeast"/>
        <w:ind w:left="1140" w:right="62"/>
        <w:jc w:val="both"/>
        <w:rPr>
          <w:rFonts w:eastAsia="Times New Roman" w:cs="Times New Roman"/>
          <w:szCs w:val="24"/>
        </w:rPr>
      </w:pPr>
      <w:r w:rsidRPr="00956BD9">
        <w:rPr>
          <w:rFonts w:eastAsia="Times New Roman" w:cs="Times New Roman"/>
          <w:szCs w:val="24"/>
        </w:rPr>
        <w:t xml:space="preserve">Zakończenie pełnienia funkcji sprzedawcy rezerwowego wymaga zmiany </w:t>
      </w:r>
      <w:r w:rsidR="000709AF">
        <w:rPr>
          <w:rFonts w:eastAsia="Times New Roman" w:cs="Times New Roman"/>
          <w:szCs w:val="24"/>
        </w:rPr>
        <w:br/>
      </w:r>
      <w:r w:rsidRPr="00956BD9">
        <w:rPr>
          <w:rFonts w:eastAsia="Times New Roman" w:cs="Times New Roman"/>
          <w:szCs w:val="24"/>
        </w:rPr>
        <w:t>GUD-K.</w:t>
      </w:r>
    </w:p>
    <w:p w14:paraId="4609F172" w14:textId="77777777" w:rsidR="00E21E75" w:rsidRPr="00956BD9" w:rsidRDefault="00E21E75" w:rsidP="009836DC">
      <w:pPr>
        <w:spacing w:line="171" w:lineRule="exact"/>
        <w:ind w:right="62"/>
        <w:jc w:val="both"/>
        <w:rPr>
          <w:rFonts w:eastAsia="Times New Roman" w:cs="Times New Roman"/>
          <w:szCs w:val="24"/>
        </w:rPr>
      </w:pPr>
    </w:p>
    <w:p w14:paraId="06806A33" w14:textId="77777777" w:rsidR="00E21E75" w:rsidRPr="00956BD9" w:rsidRDefault="00E21E75" w:rsidP="009836DC">
      <w:pPr>
        <w:tabs>
          <w:tab w:val="left" w:pos="1120"/>
        </w:tabs>
        <w:spacing w:line="254" w:lineRule="auto"/>
        <w:ind w:left="1140" w:right="62" w:hanging="1079"/>
        <w:jc w:val="both"/>
        <w:rPr>
          <w:rFonts w:eastAsia="Times New Roman" w:cs="Times New Roman"/>
          <w:szCs w:val="24"/>
        </w:rPr>
      </w:pPr>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.5.</w:t>
      </w:r>
      <w:r w:rsidRPr="00956BD9">
        <w:rPr>
          <w:rFonts w:eastAsia="Times New Roman" w:cs="Times New Roman"/>
          <w:szCs w:val="24"/>
        </w:rPr>
        <w:tab/>
        <w:t xml:space="preserve">Rezerwowa umowa kompleksowa jest zawierana na czas nieokreślony </w:t>
      </w:r>
      <w:r w:rsidRPr="00956BD9">
        <w:rPr>
          <w:rFonts w:eastAsia="Times New Roman" w:cs="Times New Roman"/>
          <w:szCs w:val="24"/>
        </w:rPr>
        <w:br/>
        <w:t>i obowiązuje od dnia zaprzestania wykonywania umowy kompleksowej przez dotychczasowego sprzedawcę.</w:t>
      </w:r>
    </w:p>
    <w:p w14:paraId="0776E8D8" w14:textId="77777777" w:rsidR="00E21E75" w:rsidRPr="00956BD9" w:rsidRDefault="00E21E75" w:rsidP="00670057">
      <w:pPr>
        <w:spacing w:line="165" w:lineRule="exact"/>
        <w:ind w:right="282"/>
        <w:jc w:val="both"/>
        <w:rPr>
          <w:rFonts w:eastAsia="Times New Roman" w:cs="Times New Roman"/>
          <w:szCs w:val="24"/>
        </w:rPr>
      </w:pPr>
    </w:p>
    <w:p w14:paraId="77CF506D" w14:textId="77777777" w:rsidR="00E21E75" w:rsidRPr="00956BD9" w:rsidRDefault="00E21E75" w:rsidP="009836DC">
      <w:pPr>
        <w:spacing w:line="0" w:lineRule="atLeast"/>
        <w:ind w:left="1140" w:right="62"/>
        <w:jc w:val="both"/>
        <w:rPr>
          <w:rFonts w:eastAsia="Times New Roman" w:cs="Times New Roman"/>
          <w:szCs w:val="24"/>
        </w:rPr>
      </w:pPr>
      <w:r w:rsidRPr="00956BD9">
        <w:rPr>
          <w:rFonts w:eastAsia="Times New Roman" w:cs="Times New Roman"/>
          <w:szCs w:val="24"/>
        </w:rPr>
        <w:t>Umowa ta może ulec rozwiązaniu:</w:t>
      </w:r>
    </w:p>
    <w:p w14:paraId="674D5B02" w14:textId="77777777" w:rsidR="00E21E75" w:rsidRPr="00956BD9" w:rsidRDefault="00E21E75">
      <w:pPr>
        <w:numPr>
          <w:ilvl w:val="0"/>
          <w:numId w:val="149"/>
        </w:numPr>
        <w:spacing w:line="0" w:lineRule="atLeast"/>
        <w:ind w:left="1134" w:right="62"/>
        <w:jc w:val="both"/>
        <w:rPr>
          <w:rFonts w:eastAsia="Times New Roman" w:cs="Times New Roman"/>
          <w:szCs w:val="24"/>
        </w:rPr>
      </w:pPr>
      <w:r w:rsidRPr="00956BD9">
        <w:rPr>
          <w:rFonts w:eastAsia="Times New Roman" w:cs="Times New Roman"/>
          <w:szCs w:val="24"/>
        </w:rPr>
        <w:t>w dowolnym terminie na mocy porozumienia stron lub</w:t>
      </w:r>
    </w:p>
    <w:p w14:paraId="1DA94DD8" w14:textId="77777777" w:rsidR="00E21E75" w:rsidRPr="00956BD9" w:rsidRDefault="00E21E75">
      <w:pPr>
        <w:numPr>
          <w:ilvl w:val="0"/>
          <w:numId w:val="149"/>
        </w:numPr>
        <w:spacing w:line="255" w:lineRule="auto"/>
        <w:ind w:left="1418" w:right="62" w:hanging="284"/>
        <w:jc w:val="both"/>
        <w:rPr>
          <w:rFonts w:eastAsia="Times New Roman" w:cs="Times New Roman"/>
          <w:szCs w:val="24"/>
        </w:rPr>
      </w:pPr>
      <w:r w:rsidRPr="00956BD9">
        <w:rPr>
          <w:rFonts w:eastAsia="Times New Roman" w:cs="Times New Roman"/>
          <w:szCs w:val="24"/>
        </w:rPr>
        <w:t xml:space="preserve">w drodze wypowiedzenia przez URD z zachowaniem miesięcznego okresu wypowiedzenia ze skutkiem na ostatni dzień miesiąca następujący po miesiącu, </w:t>
      </w:r>
      <w:r w:rsidR="00987600">
        <w:rPr>
          <w:rFonts w:eastAsia="Times New Roman" w:cs="Times New Roman"/>
          <w:szCs w:val="24"/>
        </w:rPr>
        <w:br/>
      </w:r>
      <w:r w:rsidRPr="00956BD9">
        <w:rPr>
          <w:rFonts w:eastAsia="Times New Roman" w:cs="Times New Roman"/>
          <w:szCs w:val="24"/>
        </w:rPr>
        <w:t>w którym nastąpiło doręczenie oświadczenia o wypowiedzeniu umowy, przy czym URD może wskazać późniejszy jej termin rozwiązania</w:t>
      </w:r>
    </w:p>
    <w:p w14:paraId="031C2373" w14:textId="77777777" w:rsidR="00E21E75" w:rsidRPr="00956BD9" w:rsidRDefault="00E21E75" w:rsidP="009836DC">
      <w:pPr>
        <w:spacing w:line="179" w:lineRule="exact"/>
        <w:ind w:right="62"/>
        <w:jc w:val="both"/>
        <w:rPr>
          <w:rFonts w:eastAsia="Times New Roman" w:cs="Times New Roman"/>
          <w:szCs w:val="24"/>
        </w:rPr>
      </w:pPr>
    </w:p>
    <w:p w14:paraId="6988AD4B" w14:textId="77777777" w:rsidR="00E21E75" w:rsidRPr="00956BD9" w:rsidRDefault="00E21E75" w:rsidP="009836DC">
      <w:pPr>
        <w:spacing w:line="248" w:lineRule="auto"/>
        <w:ind w:left="1140" w:right="62"/>
        <w:jc w:val="both"/>
        <w:rPr>
          <w:rFonts w:eastAsia="Times New Roman" w:cs="Times New Roman"/>
          <w:szCs w:val="24"/>
        </w:rPr>
      </w:pPr>
      <w:r w:rsidRPr="00956BD9">
        <w:rPr>
          <w:rFonts w:eastAsia="Times New Roman" w:cs="Times New Roman"/>
          <w:szCs w:val="24"/>
        </w:rPr>
        <w:lastRenderedPageBreak/>
        <w:t xml:space="preserve">– a URD nie może zostać obciążony przez sprzedawcę rezerwowego kosztami </w:t>
      </w:r>
      <w:r w:rsidRPr="00956BD9">
        <w:rPr>
          <w:rFonts w:eastAsia="Times New Roman" w:cs="Times New Roman"/>
          <w:szCs w:val="24"/>
        </w:rPr>
        <w:br/>
        <w:t>z tytułu wcześniejszego rozwiązania tej umowy.</w:t>
      </w:r>
    </w:p>
    <w:p w14:paraId="3B6D1122" w14:textId="77777777" w:rsidR="00E21E75" w:rsidRPr="00956BD9" w:rsidRDefault="00E21E75" w:rsidP="009836DC">
      <w:pPr>
        <w:tabs>
          <w:tab w:val="left" w:pos="1120"/>
        </w:tabs>
        <w:spacing w:line="248" w:lineRule="auto"/>
        <w:ind w:left="1140" w:right="62" w:hanging="1079"/>
        <w:jc w:val="both"/>
        <w:rPr>
          <w:rFonts w:eastAsia="Times New Roman" w:cs="Times New Roman"/>
          <w:szCs w:val="24"/>
        </w:rPr>
      </w:pPr>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.6.</w:t>
      </w:r>
      <w:r w:rsidRPr="00956BD9">
        <w:rPr>
          <w:rFonts w:eastAsia="Times New Roman" w:cs="Times New Roman"/>
          <w:szCs w:val="24"/>
        </w:rPr>
        <w:tab/>
        <w:t>Jeżeli sprzedawca zaprzestał sprzedaży energii elektrycznej URD, w ramach umowy kompleksowej, a:</w:t>
      </w:r>
    </w:p>
    <w:p w14:paraId="62370BA2" w14:textId="77777777" w:rsidR="00E21E75" w:rsidRPr="00956BD9" w:rsidRDefault="00E21E75">
      <w:pPr>
        <w:numPr>
          <w:ilvl w:val="1"/>
          <w:numId w:val="147"/>
        </w:numPr>
        <w:tabs>
          <w:tab w:val="left" w:pos="1700"/>
        </w:tabs>
        <w:spacing w:line="271" w:lineRule="auto"/>
        <w:ind w:left="1700" w:right="62" w:hanging="501"/>
        <w:jc w:val="both"/>
        <w:rPr>
          <w:rFonts w:eastAsia="Times New Roman" w:cs="Times New Roman"/>
          <w:szCs w:val="24"/>
        </w:rPr>
      </w:pPr>
      <w:r w:rsidRPr="00956BD9">
        <w:rPr>
          <w:rFonts w:eastAsia="Times New Roman" w:cs="Times New Roman"/>
          <w:szCs w:val="24"/>
        </w:rPr>
        <w:t>w umowie kompleksowej zawartej przez tego URD nie został wskazany sprzedawca rezerwowy lub umowa ta nie zawiera upoważnienia OSDn do zawarcia w imieniu i na rzecz URD rezerwowej umowy kompleksowej; albo</w:t>
      </w:r>
    </w:p>
    <w:p w14:paraId="74C62E39" w14:textId="77777777" w:rsidR="00E21E75" w:rsidRPr="00956BD9" w:rsidRDefault="00E21E75" w:rsidP="009836DC">
      <w:pPr>
        <w:spacing w:line="23" w:lineRule="exact"/>
        <w:ind w:right="62"/>
        <w:jc w:val="both"/>
        <w:rPr>
          <w:rFonts w:eastAsia="Times New Roman" w:cs="Times New Roman"/>
          <w:szCs w:val="24"/>
        </w:rPr>
      </w:pPr>
    </w:p>
    <w:p w14:paraId="71E841E1" w14:textId="77777777" w:rsidR="00E21E75" w:rsidRPr="00DF4F06" w:rsidRDefault="00E21E75">
      <w:pPr>
        <w:numPr>
          <w:ilvl w:val="1"/>
          <w:numId w:val="147"/>
        </w:numPr>
        <w:tabs>
          <w:tab w:val="left" w:pos="1700"/>
        </w:tabs>
        <w:spacing w:line="0" w:lineRule="atLeast"/>
        <w:ind w:left="1700" w:right="62" w:hanging="501"/>
        <w:jc w:val="both"/>
        <w:rPr>
          <w:rFonts w:eastAsia="Times New Roman" w:cs="Times New Roman"/>
          <w:szCs w:val="24"/>
        </w:rPr>
      </w:pPr>
      <w:r w:rsidRPr="00DF4F06">
        <w:rPr>
          <w:rFonts w:eastAsia="Times New Roman" w:cs="Times New Roman"/>
          <w:szCs w:val="24"/>
        </w:rPr>
        <w:t>sprzedawca rezerwowy wskazany przez tego URD nie może podjąć, nie podjął lub zaprzestał sprzedaży rezerwowej z przyczyn, o których mowa</w:t>
      </w:r>
      <w:r w:rsidRPr="00DF4F06">
        <w:rPr>
          <w:rFonts w:eastAsia="Times New Roman" w:cs="Times New Roman"/>
          <w:szCs w:val="24"/>
        </w:rPr>
        <w:br/>
        <w:t xml:space="preserve"> w pkt. A.</w:t>
      </w:r>
      <w:r w:rsidR="000C5187">
        <w:rPr>
          <w:rFonts w:eastAsia="Times New Roman" w:cs="Times New Roman"/>
          <w:szCs w:val="24"/>
        </w:rPr>
        <w:t>3.11</w:t>
      </w:r>
      <w:r w:rsidRPr="00DF4F06">
        <w:rPr>
          <w:rFonts w:eastAsia="Times New Roman" w:cs="Times New Roman"/>
          <w:szCs w:val="24"/>
        </w:rPr>
        <w:t>.;</w:t>
      </w:r>
    </w:p>
    <w:p w14:paraId="76345AA2" w14:textId="77777777" w:rsidR="00E21E75" w:rsidRPr="00956BD9" w:rsidRDefault="00E21E75" w:rsidP="009836DC">
      <w:pPr>
        <w:spacing w:line="53" w:lineRule="exact"/>
        <w:ind w:right="62"/>
        <w:jc w:val="both"/>
        <w:rPr>
          <w:rFonts w:eastAsia="Times New Roman" w:cs="Times New Roman"/>
          <w:szCs w:val="24"/>
        </w:rPr>
      </w:pPr>
    </w:p>
    <w:p w14:paraId="5185E978" w14:textId="77777777" w:rsidR="00E21E75" w:rsidRPr="00956BD9" w:rsidRDefault="00E21E75" w:rsidP="009836DC">
      <w:pPr>
        <w:spacing w:line="266" w:lineRule="auto"/>
        <w:ind w:left="1140" w:right="62"/>
        <w:jc w:val="both"/>
        <w:rPr>
          <w:rFonts w:eastAsia="Times New Roman" w:cs="Times New Roman"/>
          <w:szCs w:val="24"/>
        </w:rPr>
      </w:pPr>
      <w:r w:rsidRPr="00956BD9">
        <w:rPr>
          <w:rFonts w:eastAsia="Times New Roman" w:cs="Times New Roman"/>
          <w:szCs w:val="24"/>
        </w:rPr>
        <w:t xml:space="preserve">– OSDn, działając w imieniu i na rzecz tego URD, zawiera ze sprzedawcą </w:t>
      </w:r>
      <w:r w:rsidR="000709AF">
        <w:rPr>
          <w:rFonts w:eastAsia="Times New Roman" w:cs="Times New Roman"/>
          <w:szCs w:val="24"/>
        </w:rPr>
        <w:br/>
      </w:r>
      <w:r w:rsidRPr="00956BD9">
        <w:rPr>
          <w:rFonts w:eastAsia="Times New Roman" w:cs="Times New Roman"/>
          <w:szCs w:val="24"/>
        </w:rPr>
        <w:t>z urzędu umowę kompleksową.</w:t>
      </w:r>
    </w:p>
    <w:p w14:paraId="195A7ABC" w14:textId="77777777" w:rsidR="00E21E75" w:rsidRPr="00956BD9" w:rsidRDefault="00E21E75" w:rsidP="009836DC">
      <w:pPr>
        <w:spacing w:line="190" w:lineRule="exact"/>
        <w:ind w:right="62"/>
        <w:jc w:val="both"/>
        <w:rPr>
          <w:rFonts w:eastAsia="Times New Roman" w:cs="Times New Roman"/>
          <w:szCs w:val="24"/>
        </w:rPr>
      </w:pPr>
    </w:p>
    <w:p w14:paraId="3F23457B" w14:textId="77777777" w:rsidR="00E21E75" w:rsidRPr="00956BD9" w:rsidRDefault="00E21E75" w:rsidP="009836DC">
      <w:pPr>
        <w:spacing w:line="238" w:lineRule="auto"/>
        <w:ind w:left="1140" w:right="62"/>
        <w:jc w:val="both"/>
        <w:rPr>
          <w:rFonts w:eastAsia="Times New Roman" w:cs="Times New Roman"/>
          <w:szCs w:val="24"/>
        </w:rPr>
      </w:pPr>
      <w:r w:rsidRPr="00956BD9">
        <w:rPr>
          <w:rFonts w:eastAsia="Times New Roman" w:cs="Times New Roman"/>
          <w:szCs w:val="24"/>
        </w:rPr>
        <w:t>Zawarcie umowy kompleksowej następuje poprzez złożenie przez OSDn sprzedawcy z urzędu oświadczenia o przyjęciu jego oferty, na zasadach określonych w umowie, o której mowa w pkt. A.</w:t>
      </w:r>
      <w:r w:rsidR="000C5187">
        <w:rPr>
          <w:rFonts w:eastAsia="Times New Roman" w:cs="Times New Roman"/>
          <w:szCs w:val="24"/>
        </w:rPr>
        <w:t>4</w:t>
      </w:r>
      <w:r w:rsidRPr="00956BD9">
        <w:rPr>
          <w:rFonts w:eastAsia="Times New Roman" w:cs="Times New Roman"/>
          <w:szCs w:val="24"/>
        </w:rPr>
        <w:t>.3.7.</w:t>
      </w:r>
    </w:p>
    <w:p w14:paraId="472D4897" w14:textId="77777777" w:rsidR="00E21E75" w:rsidRPr="00956BD9" w:rsidRDefault="00E21E75" w:rsidP="007673F2">
      <w:pPr>
        <w:ind w:left="1140" w:right="62"/>
        <w:jc w:val="both"/>
        <w:rPr>
          <w:rFonts w:eastAsia="Times New Roman" w:cs="Times New Roman"/>
          <w:szCs w:val="24"/>
        </w:rPr>
      </w:pPr>
      <w:bookmarkStart w:id="78" w:name="page10"/>
      <w:bookmarkEnd w:id="78"/>
      <w:r w:rsidRPr="00956BD9">
        <w:rPr>
          <w:rFonts w:eastAsia="Times New Roman" w:cs="Times New Roman"/>
          <w:szCs w:val="24"/>
        </w:rPr>
        <w:t>Umowa kompleksowa jest zawierana na warunkach dotychczasowej umowy kompleksowej w zakresie warunków świadczenia usług dystrybucji, grupy taryfowej oraz okresu rozliczeniowego, na czas nieokreślony i obowiązuje od dnia zaprzestania wykonywania umowy kompleksowej przez dotychczasowego sprzedawcę albo rezerwowej umowy kompleksowej przez sprzedawcę rezerwowego lub niepodjęcia sprzedaży rezerwowej przez takiego sprzedawcę.</w:t>
      </w:r>
    </w:p>
    <w:p w14:paraId="2F469895" w14:textId="77777777" w:rsidR="00E21E75" w:rsidRPr="00956BD9" w:rsidRDefault="00E21E75" w:rsidP="007673F2">
      <w:pPr>
        <w:ind w:right="62"/>
        <w:jc w:val="both"/>
        <w:rPr>
          <w:rFonts w:eastAsia="Times New Roman" w:cs="Times New Roman"/>
          <w:szCs w:val="24"/>
        </w:rPr>
      </w:pPr>
    </w:p>
    <w:p w14:paraId="425849CC" w14:textId="77777777" w:rsidR="00E21E75" w:rsidRPr="00956BD9" w:rsidRDefault="00E21E75" w:rsidP="007673F2">
      <w:pPr>
        <w:ind w:left="1140" w:right="62"/>
        <w:jc w:val="both"/>
        <w:rPr>
          <w:rFonts w:eastAsia="Times New Roman" w:cs="Times New Roman"/>
          <w:szCs w:val="24"/>
        </w:rPr>
      </w:pPr>
      <w:r w:rsidRPr="00956BD9">
        <w:rPr>
          <w:rFonts w:eastAsia="Times New Roman" w:cs="Times New Roman"/>
          <w:szCs w:val="24"/>
        </w:rPr>
        <w:t xml:space="preserve">Powyższych zapisów nie stosuje się do URD, o których mowa w art. 6a ust. 3 </w:t>
      </w:r>
      <w:r w:rsidR="000709AF">
        <w:rPr>
          <w:rFonts w:eastAsia="Times New Roman" w:cs="Times New Roman"/>
          <w:szCs w:val="24"/>
        </w:rPr>
        <w:br/>
      </w:r>
      <w:r w:rsidRPr="00956BD9">
        <w:rPr>
          <w:rFonts w:eastAsia="Times New Roman" w:cs="Times New Roman"/>
          <w:szCs w:val="24"/>
        </w:rPr>
        <w:t>i art.</w:t>
      </w:r>
      <w:r w:rsidR="000709AF">
        <w:rPr>
          <w:rFonts w:eastAsia="Times New Roman" w:cs="Times New Roman"/>
          <w:szCs w:val="24"/>
        </w:rPr>
        <w:t xml:space="preserve"> </w:t>
      </w:r>
      <w:r w:rsidRPr="00956BD9">
        <w:rPr>
          <w:rFonts w:eastAsia="Times New Roman" w:cs="Times New Roman"/>
          <w:szCs w:val="24"/>
        </w:rPr>
        <w:t>6b. ustawy Prawo energetyczne.</w:t>
      </w:r>
    </w:p>
    <w:p w14:paraId="5013DD64" w14:textId="77777777" w:rsidR="00E21E75" w:rsidRPr="00956BD9" w:rsidRDefault="00E21E75" w:rsidP="007673F2">
      <w:pPr>
        <w:ind w:right="62"/>
        <w:jc w:val="both"/>
        <w:rPr>
          <w:rFonts w:eastAsia="Times New Roman" w:cs="Times New Roman"/>
          <w:szCs w:val="24"/>
        </w:rPr>
      </w:pPr>
    </w:p>
    <w:p w14:paraId="25212DB5" w14:textId="77777777" w:rsidR="00E21E75" w:rsidRPr="00956BD9" w:rsidRDefault="00E21E75" w:rsidP="007673F2">
      <w:pPr>
        <w:ind w:left="1140" w:right="62"/>
        <w:jc w:val="both"/>
        <w:rPr>
          <w:rFonts w:eastAsia="Times New Roman" w:cs="Times New Roman"/>
          <w:szCs w:val="24"/>
        </w:rPr>
      </w:pPr>
      <w:r w:rsidRPr="00956BD9">
        <w:rPr>
          <w:rFonts w:eastAsia="Times New Roman" w:cs="Times New Roman"/>
          <w:szCs w:val="24"/>
        </w:rPr>
        <w:t xml:space="preserve">Sprzedawca z urzędu jest zobowiązany do złożenia oferty zawierania umów kompleksowych z URD, na zasadach określonych w umowie, o której mowa </w:t>
      </w:r>
      <w:r w:rsidRPr="00956BD9">
        <w:rPr>
          <w:rFonts w:eastAsia="Times New Roman" w:cs="Times New Roman"/>
          <w:szCs w:val="24"/>
        </w:rPr>
        <w:br/>
        <w:t>w pkt. A.</w:t>
      </w:r>
      <w:r w:rsidR="007B0C2D">
        <w:rPr>
          <w:rFonts w:eastAsia="Times New Roman" w:cs="Times New Roman"/>
          <w:szCs w:val="24"/>
        </w:rPr>
        <w:t>4</w:t>
      </w:r>
      <w:r w:rsidRPr="00956BD9">
        <w:rPr>
          <w:rFonts w:eastAsia="Times New Roman" w:cs="Times New Roman"/>
          <w:szCs w:val="24"/>
        </w:rPr>
        <w:t>.3.7. i w okresie, w którym pełni zadania sprzedawcy z urzędu - nie może tej oferty wycofać.</w:t>
      </w:r>
    </w:p>
    <w:p w14:paraId="04E32D35" w14:textId="77777777" w:rsidR="00E21E75" w:rsidRPr="00956BD9" w:rsidRDefault="00E21E75" w:rsidP="007673F2">
      <w:pPr>
        <w:ind w:right="62"/>
        <w:jc w:val="both"/>
        <w:rPr>
          <w:rFonts w:eastAsia="Times New Roman" w:cs="Times New Roman"/>
          <w:szCs w:val="24"/>
        </w:rPr>
      </w:pPr>
    </w:p>
    <w:p w14:paraId="1A4A036D" w14:textId="77777777" w:rsidR="00E21E75" w:rsidRPr="00956BD9" w:rsidRDefault="00E21E75" w:rsidP="007673F2">
      <w:pPr>
        <w:ind w:left="1140" w:right="62"/>
        <w:jc w:val="both"/>
        <w:rPr>
          <w:rFonts w:eastAsia="Times New Roman" w:cs="Times New Roman"/>
          <w:szCs w:val="24"/>
        </w:rPr>
      </w:pPr>
      <w:r w:rsidRPr="00956BD9">
        <w:rPr>
          <w:rFonts w:eastAsia="Times New Roman" w:cs="Times New Roman"/>
          <w:szCs w:val="24"/>
        </w:rPr>
        <w:t>Zasady składania oferty oraz wzór oświadczenia o przyjęciu oferty określa umowa, o której mowa w pkt. A.</w:t>
      </w:r>
      <w:r w:rsidR="007B0C2D">
        <w:rPr>
          <w:rFonts w:eastAsia="Times New Roman" w:cs="Times New Roman"/>
          <w:szCs w:val="24"/>
        </w:rPr>
        <w:t>4</w:t>
      </w:r>
      <w:r w:rsidRPr="00956BD9">
        <w:rPr>
          <w:rFonts w:eastAsia="Times New Roman" w:cs="Times New Roman"/>
          <w:szCs w:val="24"/>
        </w:rPr>
        <w:t>.3.7.</w:t>
      </w:r>
    </w:p>
    <w:p w14:paraId="247236C7" w14:textId="77777777" w:rsidR="00E21E75" w:rsidRPr="00956BD9" w:rsidRDefault="00E21E75" w:rsidP="004C47C0">
      <w:pPr>
        <w:tabs>
          <w:tab w:val="left" w:pos="1120"/>
        </w:tabs>
        <w:ind w:left="60" w:right="-80"/>
        <w:jc w:val="both"/>
        <w:rPr>
          <w:rFonts w:eastAsia="Times New Roman" w:cs="Times New Roman"/>
          <w:szCs w:val="24"/>
        </w:rPr>
      </w:pPr>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.7.</w:t>
      </w:r>
      <w:r w:rsidRPr="00956BD9">
        <w:rPr>
          <w:rFonts w:eastAsia="Times New Roman" w:cs="Times New Roman"/>
          <w:szCs w:val="24"/>
        </w:rPr>
        <w:tab/>
        <w:t>OSDn w terminie 5 dni kalendarzowych:</w:t>
      </w:r>
    </w:p>
    <w:p w14:paraId="4CAC4363" w14:textId="77777777" w:rsidR="00E21E75" w:rsidRPr="00956BD9" w:rsidRDefault="00E21E75">
      <w:pPr>
        <w:numPr>
          <w:ilvl w:val="2"/>
          <w:numId w:val="85"/>
        </w:numPr>
        <w:ind w:left="1418" w:right="62" w:hanging="284"/>
        <w:jc w:val="both"/>
        <w:rPr>
          <w:rFonts w:eastAsia="Times New Roman" w:cs="Times New Roman"/>
          <w:szCs w:val="24"/>
        </w:rPr>
      </w:pPr>
      <w:r w:rsidRPr="00956BD9">
        <w:rPr>
          <w:rFonts w:eastAsia="Times New Roman" w:cs="Times New Roman"/>
          <w:szCs w:val="24"/>
        </w:rPr>
        <w:t>od złożenia sprzedawcy przez OSDn oświadczenia, o którym mowa w pkt. A.</w:t>
      </w:r>
      <w:r w:rsidR="007B0C2D">
        <w:rPr>
          <w:rFonts w:eastAsia="Times New Roman" w:cs="Times New Roman"/>
          <w:szCs w:val="24"/>
        </w:rPr>
        <w:t>7</w:t>
      </w:r>
      <w:r w:rsidRPr="00956BD9">
        <w:rPr>
          <w:rFonts w:eastAsia="Times New Roman" w:cs="Times New Roman"/>
          <w:szCs w:val="24"/>
        </w:rPr>
        <w:t xml:space="preserve">.2., wyśle URD informację o przyczynach zawarcia rezerwowej umowy kompleksowej, osobie sprzedawcy rezerwowego i jego danych teleadresowych, prawie tego URD do wypowiedzenia umowy lub odstąpienia od umowy </w:t>
      </w:r>
      <w:r>
        <w:rPr>
          <w:rFonts w:eastAsia="Times New Roman" w:cs="Times New Roman"/>
          <w:szCs w:val="24"/>
        </w:rPr>
        <w:br/>
      </w:r>
      <w:r w:rsidRPr="00956BD9">
        <w:rPr>
          <w:rFonts w:eastAsia="Times New Roman" w:cs="Times New Roman"/>
          <w:szCs w:val="24"/>
        </w:rPr>
        <w:t>(w przypadku URD będących konsumentami) oraz o miejscu opublikowania przez sprzedawcę rezerwowego innych warunków rezerwowej umowy kompleksowej, w tym ceny, albo</w:t>
      </w:r>
    </w:p>
    <w:p w14:paraId="07A217AB" w14:textId="77777777" w:rsidR="00E21E75" w:rsidRPr="00956BD9" w:rsidRDefault="00E21E75">
      <w:pPr>
        <w:numPr>
          <w:ilvl w:val="0"/>
          <w:numId w:val="150"/>
        </w:numPr>
        <w:ind w:left="1418" w:right="62" w:hanging="284"/>
        <w:jc w:val="both"/>
        <w:rPr>
          <w:rFonts w:eastAsia="Times New Roman" w:cs="Times New Roman"/>
          <w:szCs w:val="24"/>
        </w:rPr>
      </w:pPr>
      <w:r w:rsidRPr="00956BD9">
        <w:rPr>
          <w:rFonts w:eastAsia="Times New Roman" w:cs="Times New Roman"/>
          <w:szCs w:val="24"/>
        </w:rPr>
        <w:t xml:space="preserve">od złożenia sprzedawcy z urzędu przez OSDn oświadczenia, o którym mowa </w:t>
      </w:r>
      <w:r w:rsidRPr="00956BD9">
        <w:rPr>
          <w:rFonts w:eastAsia="Times New Roman" w:cs="Times New Roman"/>
          <w:szCs w:val="24"/>
        </w:rPr>
        <w:br/>
        <w:t>w pkt. A.</w:t>
      </w:r>
      <w:r w:rsidR="00CC0E7A">
        <w:rPr>
          <w:rFonts w:eastAsia="Times New Roman" w:cs="Times New Roman"/>
          <w:szCs w:val="24"/>
        </w:rPr>
        <w:t>7</w:t>
      </w:r>
      <w:r w:rsidRPr="00956BD9">
        <w:rPr>
          <w:rFonts w:eastAsia="Times New Roman" w:cs="Times New Roman"/>
          <w:szCs w:val="24"/>
        </w:rPr>
        <w:t xml:space="preserve">.6. wyśle URD informację o przyczynach zawarcia umowy kompleksowej, osobie sprzedawcy z urzędu i jego danych teleadresowych, prawie tego URD do wypowiedzenia umowy lub odstąpienia od umowy </w:t>
      </w:r>
      <w:r w:rsidRPr="00956BD9">
        <w:rPr>
          <w:rFonts w:eastAsia="Times New Roman" w:cs="Times New Roman"/>
          <w:szCs w:val="24"/>
        </w:rPr>
        <w:br/>
        <w:t>(w przypadku URD będących konsumentami).</w:t>
      </w:r>
    </w:p>
    <w:p w14:paraId="7072A168" w14:textId="77777777" w:rsidR="00E21E75" w:rsidRPr="00956BD9" w:rsidRDefault="00E21E75" w:rsidP="00F14046">
      <w:pPr>
        <w:tabs>
          <w:tab w:val="left" w:pos="1120"/>
        </w:tabs>
        <w:spacing w:line="241" w:lineRule="auto"/>
        <w:ind w:left="1140" w:right="62" w:hanging="1079"/>
        <w:jc w:val="both"/>
        <w:rPr>
          <w:rFonts w:eastAsia="Times New Roman" w:cs="Times New Roman"/>
          <w:szCs w:val="24"/>
        </w:rPr>
      </w:pPr>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.8.</w:t>
      </w:r>
      <w:r w:rsidRPr="00956BD9">
        <w:rPr>
          <w:rFonts w:eastAsia="Times New Roman" w:cs="Times New Roman"/>
          <w:szCs w:val="24"/>
        </w:rPr>
        <w:tab/>
        <w:t xml:space="preserve">Po zawarciu rezerwowej umowy kompleksowej lub umowy kompleksowej z URD będącym konsumentem w trybie określonym w niniejszym rozdziale, realizacja tej umowy oraz spełnienie obowiązków wobec tych URD zgodnie z ustawą z dnia 30 </w:t>
      </w:r>
      <w:r w:rsidRPr="00956BD9">
        <w:rPr>
          <w:rFonts w:eastAsia="Times New Roman" w:cs="Times New Roman"/>
          <w:szCs w:val="24"/>
        </w:rPr>
        <w:lastRenderedPageBreak/>
        <w:t>maja 2014r. o prawach konsumenta, dokonywane są bezpośrednio pomiędzy sprzedawcą rezerwowym lub sprzedawcą z urzędu a tymi URD.</w:t>
      </w:r>
    </w:p>
    <w:p w14:paraId="78A70C03" w14:textId="7413184E" w:rsidR="00E21E75" w:rsidRPr="00956BD9" w:rsidRDefault="00E21E75" w:rsidP="00F14046">
      <w:pPr>
        <w:tabs>
          <w:tab w:val="left" w:pos="1120"/>
        </w:tabs>
        <w:spacing w:line="253" w:lineRule="auto"/>
        <w:ind w:left="1140" w:right="62" w:hanging="1079"/>
        <w:jc w:val="both"/>
        <w:rPr>
          <w:rFonts w:eastAsia="Times New Roman" w:cs="Times New Roman"/>
          <w:szCs w:val="24"/>
        </w:rPr>
      </w:pPr>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.9.</w:t>
      </w:r>
      <w:r w:rsidRPr="00956BD9">
        <w:rPr>
          <w:rFonts w:eastAsia="Times New Roman" w:cs="Times New Roman"/>
          <w:szCs w:val="24"/>
        </w:rPr>
        <w:tab/>
        <w:t xml:space="preserve">Sprzedawca zobowiązuje się powiadomić OSDn o zakończeniu rezerwowej umowy </w:t>
      </w:r>
      <w:r w:rsidRPr="00831DC0">
        <w:rPr>
          <w:rFonts w:eastAsia="Times New Roman" w:cs="Times New Roman"/>
          <w:szCs w:val="24"/>
        </w:rPr>
        <w:t>kompleksowej lub umowy kompleksowej, o której mowa w pkt. A.</w:t>
      </w:r>
      <w:r w:rsidR="00CC0E7A" w:rsidRPr="00831DC0">
        <w:rPr>
          <w:rFonts w:eastAsia="Times New Roman" w:cs="Times New Roman"/>
          <w:szCs w:val="24"/>
        </w:rPr>
        <w:t>7</w:t>
      </w:r>
      <w:r w:rsidRPr="00831DC0">
        <w:rPr>
          <w:rFonts w:eastAsia="Times New Roman" w:cs="Times New Roman"/>
          <w:szCs w:val="24"/>
        </w:rPr>
        <w:t xml:space="preserve">.6., zgodnie </w:t>
      </w:r>
      <w:r w:rsidR="00184363">
        <w:rPr>
          <w:rFonts w:eastAsia="Times New Roman" w:cs="Times New Roman"/>
          <w:szCs w:val="24"/>
        </w:rPr>
        <w:br/>
      </w:r>
      <w:r w:rsidRPr="00831DC0">
        <w:rPr>
          <w:rFonts w:eastAsia="Times New Roman" w:cs="Times New Roman"/>
          <w:szCs w:val="24"/>
        </w:rPr>
        <w:t xml:space="preserve">z pkt. </w:t>
      </w:r>
      <w:r w:rsidR="00CC0E7A" w:rsidRPr="00831DC0">
        <w:rPr>
          <w:rFonts w:eastAsia="Times New Roman" w:cs="Times New Roman"/>
          <w:szCs w:val="24"/>
        </w:rPr>
        <w:t>D.</w:t>
      </w:r>
      <w:r w:rsidR="00831DC0" w:rsidRPr="00831DC0">
        <w:rPr>
          <w:rFonts w:eastAsia="Times New Roman" w:cs="Times New Roman"/>
          <w:szCs w:val="24"/>
        </w:rPr>
        <w:t>2</w:t>
      </w:r>
      <w:r w:rsidR="00CC0E7A" w:rsidRPr="00831DC0">
        <w:rPr>
          <w:rFonts w:eastAsia="Times New Roman" w:cs="Times New Roman"/>
          <w:szCs w:val="24"/>
        </w:rPr>
        <w:t>.7.</w:t>
      </w:r>
    </w:p>
    <w:p w14:paraId="3B84CB65" w14:textId="77777777" w:rsidR="00E21E75" w:rsidRPr="00956BD9" w:rsidRDefault="00E21E75" w:rsidP="007673F2">
      <w:pPr>
        <w:tabs>
          <w:tab w:val="left" w:pos="1120"/>
        </w:tabs>
        <w:spacing w:line="238" w:lineRule="auto"/>
        <w:ind w:left="1140" w:right="62" w:hanging="1079"/>
        <w:jc w:val="both"/>
        <w:rPr>
          <w:rFonts w:eastAsia="Times New Roman" w:cs="Times New Roman"/>
          <w:szCs w:val="24"/>
        </w:rPr>
      </w:pPr>
      <w:bookmarkStart w:id="79" w:name="page11"/>
      <w:bookmarkEnd w:id="79"/>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.10.</w:t>
      </w:r>
      <w:r w:rsidRPr="00956BD9">
        <w:rPr>
          <w:rFonts w:eastAsia="Times New Roman" w:cs="Times New Roman"/>
          <w:szCs w:val="24"/>
        </w:rPr>
        <w:tab/>
        <w:t>OSDn udostępnia sprzedawcy rezerwowemu odczyty wskazań układu pomiarowo-rozliczeniowego na dzień rozwiązania rezerwowej umowy kompleksowej.</w:t>
      </w:r>
    </w:p>
    <w:p w14:paraId="707BC8B7" w14:textId="77777777" w:rsidR="00E21E75" w:rsidRPr="00956BD9" w:rsidRDefault="00E21E75" w:rsidP="007673F2">
      <w:pPr>
        <w:spacing w:line="187" w:lineRule="exact"/>
        <w:ind w:right="62"/>
        <w:jc w:val="both"/>
        <w:rPr>
          <w:rFonts w:eastAsia="Times New Roman" w:cs="Times New Roman"/>
          <w:szCs w:val="24"/>
        </w:rPr>
      </w:pPr>
    </w:p>
    <w:p w14:paraId="57D00B51" w14:textId="77777777" w:rsidR="00E21E75" w:rsidRPr="00956BD9" w:rsidRDefault="00E21E75" w:rsidP="007920A4">
      <w:pPr>
        <w:spacing w:line="237" w:lineRule="auto"/>
        <w:ind w:left="1140" w:right="62"/>
        <w:jc w:val="both"/>
        <w:rPr>
          <w:rFonts w:eastAsia="Times New Roman" w:cs="Times New Roman"/>
          <w:szCs w:val="24"/>
        </w:rPr>
      </w:pPr>
      <w:r w:rsidRPr="00956BD9">
        <w:rPr>
          <w:rFonts w:eastAsia="Times New Roman" w:cs="Times New Roman"/>
          <w:szCs w:val="24"/>
        </w:rPr>
        <w:t>OSDn udostępnia dotychczasowemu sprzedawcy i sprzedawcy z urzędu dane dotyczące ilości energii elektrycznej zużytej przez URD, w terminie 14 dni od dnia rozpoczęcia sprzedaży przez sprzedawcę z urzędu temu URD.</w:t>
      </w:r>
    </w:p>
    <w:p w14:paraId="634EFF8F" w14:textId="77777777" w:rsidR="00E21E75" w:rsidRPr="00956BD9" w:rsidRDefault="00E21E75" w:rsidP="007920A4">
      <w:pPr>
        <w:tabs>
          <w:tab w:val="left" w:pos="1120"/>
        </w:tabs>
        <w:spacing w:line="273" w:lineRule="auto"/>
        <w:ind w:left="1140" w:right="62" w:hanging="1079"/>
        <w:jc w:val="both"/>
        <w:rPr>
          <w:rFonts w:eastAsia="Times New Roman" w:cs="Times New Roman"/>
          <w:szCs w:val="24"/>
        </w:rPr>
      </w:pPr>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.11.</w:t>
      </w:r>
      <w:r w:rsidRPr="00956BD9">
        <w:rPr>
          <w:rFonts w:eastAsia="Times New Roman" w:cs="Times New Roman"/>
          <w:szCs w:val="24"/>
        </w:rPr>
        <w:tab/>
        <w:t>W przypadku zakończenia obowiązywania umowy kompleksowej i niezgłoszenia lub nieskutecznego zgłoszenia nowej umowy sprzedaży albo umowy kompleksowej, w przypadku URD, o których mowa w art. 6a ust. 3 i art. 6b. ustawy Prawo energetyczne, OSDn zaprzestaje dostarczania energii elektrycznej URD.</w:t>
      </w:r>
    </w:p>
    <w:p w14:paraId="68AF08AF" w14:textId="77777777" w:rsidR="00E21E75" w:rsidRPr="00956BD9" w:rsidRDefault="00E21E75" w:rsidP="007920A4">
      <w:pPr>
        <w:tabs>
          <w:tab w:val="left" w:pos="1120"/>
        </w:tabs>
        <w:spacing w:line="255" w:lineRule="auto"/>
        <w:ind w:left="1140" w:right="62" w:hanging="1079"/>
        <w:jc w:val="both"/>
        <w:rPr>
          <w:rFonts w:eastAsia="Times New Roman" w:cs="Times New Roman"/>
          <w:szCs w:val="24"/>
        </w:rPr>
      </w:pPr>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.12.</w:t>
      </w:r>
      <w:r w:rsidRPr="00956BD9">
        <w:rPr>
          <w:rFonts w:eastAsia="Times New Roman" w:cs="Times New Roman"/>
          <w:szCs w:val="24"/>
        </w:rPr>
        <w:tab/>
        <w:t xml:space="preserve">W przypadku, gdy rezerwowa umowa kompleksowa przestała obowiązywać lub uległa rozwiązaniu, a OSDn nie otrzymał informacji o zawarciu przez URD umowy kompleksowej lub umowy </w:t>
      </w:r>
      <w:r w:rsidRPr="00831DC0">
        <w:rPr>
          <w:rFonts w:eastAsia="Times New Roman" w:cs="Times New Roman"/>
          <w:szCs w:val="24"/>
        </w:rPr>
        <w:t xml:space="preserve">sprzedaży zgodnie z pkt. </w:t>
      </w:r>
      <w:r w:rsidR="00F37234" w:rsidRPr="00831DC0">
        <w:rPr>
          <w:rFonts w:eastAsia="Times New Roman" w:cs="Times New Roman"/>
          <w:szCs w:val="24"/>
        </w:rPr>
        <w:t>D.2.</w:t>
      </w:r>
      <w:r w:rsidRPr="00831DC0">
        <w:rPr>
          <w:rFonts w:eastAsia="Times New Roman" w:cs="Times New Roman"/>
          <w:szCs w:val="24"/>
        </w:rPr>
        <w:t>, OSDn zaprzestaje dostarczania energii elektrycznej URD.</w:t>
      </w:r>
    </w:p>
    <w:p w14:paraId="1DED0575" w14:textId="77777777" w:rsidR="00E21E75" w:rsidRPr="00956BD9" w:rsidRDefault="00E21E75" w:rsidP="007673F2">
      <w:pPr>
        <w:tabs>
          <w:tab w:val="left" w:pos="1120"/>
        </w:tabs>
        <w:spacing w:line="253" w:lineRule="auto"/>
        <w:ind w:left="1140" w:right="62" w:hanging="1079"/>
        <w:jc w:val="both"/>
        <w:rPr>
          <w:rFonts w:eastAsia="Times New Roman" w:cs="Times New Roman"/>
          <w:szCs w:val="24"/>
        </w:rPr>
      </w:pPr>
      <w:r w:rsidRPr="00956BD9">
        <w:rPr>
          <w:rFonts w:eastAsia="Times New Roman" w:cs="Times New Roman"/>
          <w:szCs w:val="24"/>
        </w:rPr>
        <w:t>A.</w:t>
      </w:r>
      <w:r w:rsidR="005941B4">
        <w:rPr>
          <w:rFonts w:eastAsia="Times New Roman" w:cs="Times New Roman"/>
          <w:szCs w:val="24"/>
        </w:rPr>
        <w:t>7</w:t>
      </w:r>
      <w:r w:rsidRPr="00956BD9">
        <w:rPr>
          <w:rFonts w:eastAsia="Times New Roman" w:cs="Times New Roman"/>
          <w:szCs w:val="24"/>
        </w:rPr>
        <w:t>.13.</w:t>
      </w:r>
      <w:r w:rsidRPr="00956BD9">
        <w:rPr>
          <w:rFonts w:eastAsia="Times New Roman" w:cs="Times New Roman"/>
          <w:szCs w:val="24"/>
        </w:rPr>
        <w:tab/>
        <w:t>Umowa kompleksowa, o której mowa w pkt. A.</w:t>
      </w:r>
      <w:r w:rsidR="00F37234">
        <w:rPr>
          <w:rFonts w:eastAsia="Times New Roman" w:cs="Times New Roman"/>
          <w:szCs w:val="24"/>
        </w:rPr>
        <w:t>7</w:t>
      </w:r>
      <w:r w:rsidRPr="00956BD9">
        <w:rPr>
          <w:rFonts w:eastAsia="Times New Roman" w:cs="Times New Roman"/>
          <w:szCs w:val="24"/>
        </w:rPr>
        <w:t>.6. albo rezerwowa umowa kompleksowa, o której mowa w pkt. A.</w:t>
      </w:r>
      <w:r w:rsidR="00F37234">
        <w:rPr>
          <w:rFonts w:eastAsia="Times New Roman" w:cs="Times New Roman"/>
          <w:szCs w:val="24"/>
        </w:rPr>
        <w:t>7</w:t>
      </w:r>
      <w:r w:rsidRPr="00956BD9">
        <w:rPr>
          <w:rFonts w:eastAsia="Times New Roman" w:cs="Times New Roman"/>
          <w:szCs w:val="24"/>
        </w:rPr>
        <w:t>.2., ulega rozwiązaniu z dniem rozpoczęcia, zgodnie z IRiESD, świadczenia usługi kompleksowej albo sprzedaży energii elektrycznej, na podstawie umowy zawartej z wybranym przez URD sprzedawcą.</w:t>
      </w:r>
    </w:p>
    <w:p w14:paraId="28F711DA" w14:textId="77777777" w:rsidR="00572BA3" w:rsidRDefault="00572BA3">
      <w:pPr>
        <w:spacing w:line="320" w:lineRule="exact"/>
        <w:rPr>
          <w:rFonts w:eastAsia="Times New Roman"/>
        </w:rPr>
      </w:pPr>
    </w:p>
    <w:p w14:paraId="2974A273" w14:textId="77777777" w:rsidR="00572BA3" w:rsidRDefault="00572BA3" w:rsidP="00E93D25">
      <w:pPr>
        <w:pStyle w:val="Nagwek2"/>
        <w:ind w:left="567" w:hanging="567"/>
        <w:jc w:val="both"/>
      </w:pPr>
      <w:bookmarkStart w:id="80" w:name="_Toc141963915"/>
      <w:r>
        <w:t>A.8.</w:t>
      </w:r>
      <w:r>
        <w:tab/>
        <w:t>ZASADY REZERWOWEJ SPRZEDAŻY ENERGII ELEKTRYCZNEJ DLA URD KTÓRZY MAJĄ ZAWARTE UMOWY DYSTRYBUCJI</w:t>
      </w:r>
      <w:bookmarkEnd w:id="80"/>
    </w:p>
    <w:p w14:paraId="7A88EFD7" w14:textId="77777777" w:rsidR="00572BA3" w:rsidRDefault="00572BA3">
      <w:pPr>
        <w:spacing w:line="200" w:lineRule="exact"/>
        <w:rPr>
          <w:rFonts w:eastAsia="Times New Roman"/>
        </w:rPr>
      </w:pPr>
    </w:p>
    <w:p w14:paraId="7265F1AE" w14:textId="77777777" w:rsidR="00341A93" w:rsidRPr="00956BD9" w:rsidRDefault="00341A93" w:rsidP="00341A93">
      <w:pPr>
        <w:tabs>
          <w:tab w:val="left" w:pos="1120"/>
        </w:tabs>
        <w:spacing w:line="0" w:lineRule="atLeast"/>
        <w:ind w:left="140" w:right="-2"/>
        <w:jc w:val="both"/>
        <w:rPr>
          <w:rFonts w:eastAsia="Times New Roman" w:cs="Times New Roman"/>
          <w:szCs w:val="24"/>
        </w:rPr>
      </w:pPr>
      <w:r w:rsidRPr="00956BD9">
        <w:rPr>
          <w:rFonts w:eastAsia="Times New Roman" w:cs="Times New Roman"/>
          <w:szCs w:val="24"/>
        </w:rPr>
        <w:t>A.</w:t>
      </w:r>
      <w:r>
        <w:rPr>
          <w:rFonts w:eastAsia="Times New Roman" w:cs="Times New Roman"/>
          <w:szCs w:val="24"/>
        </w:rPr>
        <w:t>8</w:t>
      </w:r>
      <w:r w:rsidRPr="00956BD9">
        <w:rPr>
          <w:rFonts w:eastAsia="Times New Roman" w:cs="Times New Roman"/>
          <w:szCs w:val="24"/>
        </w:rPr>
        <w:t>.</w:t>
      </w:r>
      <w:r>
        <w:rPr>
          <w:rFonts w:eastAsia="Times New Roman" w:cs="Times New Roman"/>
          <w:szCs w:val="24"/>
        </w:rPr>
        <w:t>1</w:t>
      </w:r>
      <w:r w:rsidRPr="00956BD9">
        <w:rPr>
          <w:rFonts w:eastAsia="Times New Roman" w:cs="Times New Roman"/>
          <w:szCs w:val="24"/>
        </w:rPr>
        <w:t>.</w:t>
      </w:r>
      <w:r w:rsidRPr="00956BD9">
        <w:rPr>
          <w:rFonts w:eastAsia="Times New Roman" w:cs="Times New Roman"/>
          <w:szCs w:val="24"/>
        </w:rPr>
        <w:tab/>
        <w:t>W umowie o świadczenie usługi dystrybucji, URD:</w:t>
      </w:r>
    </w:p>
    <w:p w14:paraId="4BF593AD" w14:textId="77777777" w:rsidR="00341A93" w:rsidRPr="00956BD9" w:rsidRDefault="00341A93">
      <w:pPr>
        <w:numPr>
          <w:ilvl w:val="0"/>
          <w:numId w:val="151"/>
        </w:numPr>
        <w:tabs>
          <w:tab w:val="left" w:pos="1480"/>
        </w:tabs>
        <w:spacing w:line="236" w:lineRule="auto"/>
        <w:ind w:left="1480" w:right="-2" w:hanging="348"/>
        <w:jc w:val="both"/>
        <w:rPr>
          <w:rFonts w:eastAsia="Times New Roman" w:cs="Times New Roman"/>
          <w:szCs w:val="24"/>
        </w:rPr>
      </w:pPr>
      <w:r w:rsidRPr="00956BD9">
        <w:rPr>
          <w:rFonts w:eastAsia="Times New Roman" w:cs="Times New Roman"/>
          <w:szCs w:val="24"/>
        </w:rPr>
        <w:t xml:space="preserve">wskazuje wybranego przez siebie sprzedawcę rezerwowego z wykazu, </w:t>
      </w:r>
      <w:r w:rsidR="00AF59C9">
        <w:rPr>
          <w:rFonts w:eastAsia="Times New Roman" w:cs="Times New Roman"/>
          <w:szCs w:val="24"/>
        </w:rPr>
        <w:br/>
      </w:r>
      <w:r w:rsidRPr="00956BD9">
        <w:rPr>
          <w:rFonts w:eastAsia="Times New Roman" w:cs="Times New Roman"/>
          <w:szCs w:val="24"/>
        </w:rPr>
        <w:t>o którym mowa w pkt. A.</w:t>
      </w:r>
      <w:r>
        <w:rPr>
          <w:rFonts w:eastAsia="Times New Roman" w:cs="Times New Roman"/>
          <w:szCs w:val="24"/>
        </w:rPr>
        <w:t>3.6.</w:t>
      </w:r>
      <w:r w:rsidRPr="00956BD9">
        <w:rPr>
          <w:rFonts w:eastAsia="Times New Roman" w:cs="Times New Roman"/>
          <w:szCs w:val="24"/>
        </w:rPr>
        <w:t xml:space="preserve"> lit. a), innego niż sprzedawca podstawowy,</w:t>
      </w:r>
    </w:p>
    <w:p w14:paraId="272F2A3E" w14:textId="77777777" w:rsidR="00341A93" w:rsidRPr="00956BD9" w:rsidRDefault="00341A93">
      <w:pPr>
        <w:numPr>
          <w:ilvl w:val="0"/>
          <w:numId w:val="151"/>
        </w:numPr>
        <w:tabs>
          <w:tab w:val="left" w:pos="1480"/>
        </w:tabs>
        <w:spacing w:line="239" w:lineRule="auto"/>
        <w:ind w:left="1480" w:right="-2" w:hanging="348"/>
        <w:jc w:val="both"/>
        <w:rPr>
          <w:rFonts w:eastAsia="Times New Roman" w:cs="Times New Roman"/>
          <w:szCs w:val="24"/>
        </w:rPr>
      </w:pPr>
      <w:r w:rsidRPr="00956BD9">
        <w:rPr>
          <w:rFonts w:eastAsia="Times New Roman" w:cs="Times New Roman"/>
          <w:szCs w:val="24"/>
        </w:rPr>
        <w:t>upoważnia OSDn do zawarcia w jego imieniu i na jego rzecz – w przypadku wygaśnięcia lub zaprzestania wykonywania umowy sprzedaży przez dotychczasowego sprzedawcę – umowy sprzedaży rezerwowej ze wskazanym przez siebie sprzedawcą rezerwowym.</w:t>
      </w:r>
    </w:p>
    <w:p w14:paraId="5774508F" w14:textId="77777777" w:rsidR="00341A93" w:rsidRPr="00956BD9" w:rsidRDefault="00341A93" w:rsidP="00341A93">
      <w:pPr>
        <w:spacing w:line="141" w:lineRule="exact"/>
        <w:ind w:right="-2"/>
        <w:jc w:val="both"/>
        <w:rPr>
          <w:rFonts w:eastAsia="Times New Roman" w:cs="Times New Roman"/>
          <w:szCs w:val="24"/>
        </w:rPr>
      </w:pPr>
    </w:p>
    <w:p w14:paraId="24435518" w14:textId="77777777" w:rsidR="00341A93" w:rsidRPr="00956BD9" w:rsidRDefault="00341A93" w:rsidP="00014A7E">
      <w:pPr>
        <w:spacing w:line="238" w:lineRule="auto"/>
        <w:ind w:left="1140" w:right="-2" w:hanging="1"/>
        <w:jc w:val="both"/>
        <w:rPr>
          <w:rFonts w:eastAsia="Times New Roman" w:cs="Times New Roman"/>
          <w:szCs w:val="24"/>
        </w:rPr>
      </w:pPr>
      <w:r w:rsidRPr="00956BD9">
        <w:rPr>
          <w:rFonts w:eastAsia="Times New Roman" w:cs="Times New Roman"/>
          <w:szCs w:val="24"/>
        </w:rPr>
        <w:t>Wymóg by sprzedawcą rezerwowym mógł być tylko inny sprzedawca niż sprzedawca będący stroną zawartej umowy sprzedaży - nie dotyczy przypadku, gdy wykaz, o którym mowa w pkt. A.</w:t>
      </w:r>
      <w:r w:rsidR="00C84928">
        <w:rPr>
          <w:rFonts w:eastAsia="Times New Roman" w:cs="Times New Roman"/>
          <w:szCs w:val="24"/>
        </w:rPr>
        <w:t>3.6</w:t>
      </w:r>
      <w:r w:rsidRPr="00956BD9">
        <w:rPr>
          <w:rFonts w:eastAsia="Times New Roman" w:cs="Times New Roman"/>
          <w:szCs w:val="24"/>
        </w:rPr>
        <w:t>. lit. a) obejmuje tylko jednego sprzedawcę.</w:t>
      </w:r>
    </w:p>
    <w:p w14:paraId="462436B6" w14:textId="77777777" w:rsidR="00341A93" w:rsidRPr="00956BD9" w:rsidRDefault="00341A93" w:rsidP="00014A7E">
      <w:pPr>
        <w:spacing w:line="139" w:lineRule="exact"/>
        <w:ind w:right="-2"/>
        <w:jc w:val="both"/>
        <w:rPr>
          <w:rFonts w:eastAsia="Times New Roman" w:cs="Times New Roman"/>
          <w:szCs w:val="24"/>
        </w:rPr>
      </w:pPr>
    </w:p>
    <w:p w14:paraId="5B282962" w14:textId="16E46F33" w:rsidR="00E11857" w:rsidRPr="00E11857" w:rsidRDefault="00E11857" w:rsidP="00E11857">
      <w:pPr>
        <w:spacing w:before="120"/>
        <w:ind w:left="1134" w:right="62"/>
        <w:jc w:val="both"/>
        <w:rPr>
          <w:rFonts w:eastAsia="Times New Roman" w:cs="Times New Roman"/>
          <w:szCs w:val="24"/>
          <w:lang w:bidi="pl-PL"/>
        </w:rPr>
      </w:pPr>
      <w:r w:rsidRPr="00E11857">
        <w:rPr>
          <w:rFonts w:eastAsia="Times New Roman" w:cs="Times New Roman"/>
          <w:szCs w:val="24"/>
          <w:lang w:bidi="pl-PL"/>
        </w:rPr>
        <w:t xml:space="preserve">Mając na uwadze przepisy ustawy o prawach konsumenta, upoważnienie udzielone przez URD będącego konsumentem lub osobą fizyczną, o której mowa w art. </w:t>
      </w:r>
      <w:r w:rsidR="00B6372A">
        <w:rPr>
          <w:rFonts w:eastAsia="Times New Roman" w:cs="Times New Roman"/>
          <w:szCs w:val="24"/>
          <w:lang w:bidi="pl-PL"/>
        </w:rPr>
        <w:t>7a</w:t>
      </w:r>
      <w:r w:rsidRPr="00E11857">
        <w:rPr>
          <w:rFonts w:eastAsia="Times New Roman" w:cs="Times New Roman"/>
          <w:szCs w:val="24"/>
          <w:lang w:bidi="pl-PL"/>
        </w:rPr>
        <w:t>a ustawy o prawach konsumenta tj. zawierającą rezerwową umowę kompleksową bezpośrednio związaną z jej działalnością gospodarczą, gdy ta umowa nie posiada dla tej osoby charakteru zawodowego, powinno zawierać dodatkowo:</w:t>
      </w:r>
    </w:p>
    <w:p w14:paraId="2EC8885E" w14:textId="77777777" w:rsidR="00E11857" w:rsidRPr="00E11857" w:rsidRDefault="00E11857" w:rsidP="00E11857">
      <w:pPr>
        <w:spacing w:before="120"/>
        <w:ind w:left="1418" w:right="62" w:hanging="284"/>
        <w:jc w:val="both"/>
        <w:rPr>
          <w:rFonts w:eastAsia="Times New Roman" w:cs="Times New Roman"/>
          <w:szCs w:val="24"/>
          <w:lang w:bidi="pl-PL"/>
        </w:rPr>
      </w:pPr>
      <w:r w:rsidRPr="00E11857">
        <w:rPr>
          <w:rFonts w:eastAsia="Times New Roman" w:cs="Times New Roman"/>
          <w:szCs w:val="24"/>
          <w:lang w:bidi="pl-PL"/>
        </w:rPr>
        <w:t>1)</w:t>
      </w:r>
      <w:r w:rsidRPr="00E11857">
        <w:rPr>
          <w:rFonts w:eastAsia="Times New Roman" w:cs="Times New Roman"/>
          <w:szCs w:val="24"/>
          <w:lang w:bidi="pl-PL"/>
        </w:rPr>
        <w:tab/>
        <w:t>oświadczenie tego URD, że został poinformowany o prawie do odstąpienia od rezerwowej umowy kompleksowej w terminie 14 dni od dnia jej zawarcia,</w:t>
      </w:r>
    </w:p>
    <w:p w14:paraId="5E2449F9" w14:textId="1B9852A9" w:rsidR="00E11857" w:rsidRPr="00E11857" w:rsidRDefault="00E11857" w:rsidP="00E11857">
      <w:pPr>
        <w:spacing w:before="120"/>
        <w:ind w:left="1418" w:right="62" w:hanging="284"/>
        <w:jc w:val="both"/>
        <w:rPr>
          <w:rFonts w:eastAsia="Times New Roman" w:cs="Times New Roman"/>
          <w:szCs w:val="24"/>
          <w:lang w:bidi="pl-PL"/>
        </w:rPr>
      </w:pPr>
      <w:r w:rsidRPr="00E11857">
        <w:rPr>
          <w:rFonts w:eastAsia="Times New Roman" w:cs="Times New Roman"/>
          <w:szCs w:val="24"/>
          <w:lang w:bidi="pl-PL"/>
        </w:rPr>
        <w:lastRenderedPageBreak/>
        <w:t xml:space="preserve">2) </w:t>
      </w:r>
      <w:r w:rsidR="00E90C18">
        <w:rPr>
          <w:color w:val="000000"/>
        </w:rPr>
        <w:t>upoważnienie</w:t>
      </w:r>
      <w:r w:rsidR="00E90C18">
        <w:rPr>
          <w:color w:val="000000"/>
          <w:spacing w:val="-6"/>
        </w:rPr>
        <w:t xml:space="preserve"> </w:t>
      </w:r>
      <w:r w:rsidR="00E90C18">
        <w:rPr>
          <w:color w:val="000000"/>
        </w:rPr>
        <w:t>dla</w:t>
      </w:r>
      <w:r w:rsidR="00E90C18">
        <w:rPr>
          <w:color w:val="000000"/>
          <w:spacing w:val="-20"/>
        </w:rPr>
        <w:t xml:space="preserve"> OSDn </w:t>
      </w:r>
      <w:r w:rsidR="00E90C18">
        <w:rPr>
          <w:color w:val="000000"/>
        </w:rPr>
        <w:t>do</w:t>
      </w:r>
      <w:r w:rsidR="00E90C18">
        <w:rPr>
          <w:color w:val="000000"/>
          <w:spacing w:val="-17"/>
        </w:rPr>
        <w:t xml:space="preserve"> </w:t>
      </w:r>
      <w:r w:rsidR="00E90C18">
        <w:rPr>
          <w:color w:val="000000"/>
        </w:rPr>
        <w:t>żądania</w:t>
      </w:r>
      <w:r w:rsidR="00E90C18">
        <w:rPr>
          <w:color w:val="000000"/>
          <w:spacing w:val="-8"/>
        </w:rPr>
        <w:t xml:space="preserve"> </w:t>
      </w:r>
      <w:r w:rsidR="00E90C18">
        <w:rPr>
          <w:color w:val="000000"/>
        </w:rPr>
        <w:t>w</w:t>
      </w:r>
      <w:r w:rsidR="00E90C18">
        <w:rPr>
          <w:color w:val="000000"/>
          <w:spacing w:val="-23"/>
        </w:rPr>
        <w:t xml:space="preserve"> </w:t>
      </w:r>
      <w:r w:rsidR="00E90C18">
        <w:rPr>
          <w:color w:val="000000"/>
        </w:rPr>
        <w:t>imieniu</w:t>
      </w:r>
      <w:r w:rsidR="00E90C18">
        <w:rPr>
          <w:color w:val="000000"/>
          <w:spacing w:val="-9"/>
        </w:rPr>
        <w:t xml:space="preserve"> </w:t>
      </w:r>
      <w:r w:rsidR="00E90C18">
        <w:rPr>
          <w:color w:val="000000"/>
        </w:rPr>
        <w:t>tego</w:t>
      </w:r>
      <w:r w:rsidR="00E90C18">
        <w:rPr>
          <w:color w:val="000000"/>
          <w:spacing w:val="-14"/>
        </w:rPr>
        <w:t xml:space="preserve"> </w:t>
      </w:r>
      <w:r w:rsidR="00E90C18">
        <w:rPr>
          <w:color w:val="000000"/>
        </w:rPr>
        <w:t>URD,</w:t>
      </w:r>
      <w:r w:rsidR="00E90C18">
        <w:rPr>
          <w:color w:val="000000"/>
          <w:spacing w:val="-13"/>
        </w:rPr>
        <w:t xml:space="preserve"> </w:t>
      </w:r>
      <w:r w:rsidR="00E90C18">
        <w:rPr>
          <w:color w:val="000000"/>
        </w:rPr>
        <w:t>rozpoczęcia umowy</w:t>
      </w:r>
      <w:r w:rsidR="00E90C18">
        <w:rPr>
          <w:color w:val="000000"/>
          <w:spacing w:val="-8"/>
        </w:rPr>
        <w:t xml:space="preserve"> </w:t>
      </w:r>
      <w:r w:rsidR="00E90C18">
        <w:rPr>
          <w:color w:val="000000"/>
        </w:rPr>
        <w:t>sprzedaży rezerwowej</w:t>
      </w:r>
      <w:r w:rsidR="00E90C18">
        <w:rPr>
          <w:color w:val="000000"/>
          <w:spacing w:val="-7"/>
        </w:rPr>
        <w:t xml:space="preserve"> </w:t>
      </w:r>
      <w:r w:rsidR="00E90C18">
        <w:rPr>
          <w:color w:val="000000"/>
        </w:rPr>
        <w:t>przed</w:t>
      </w:r>
      <w:r w:rsidR="00E90C18">
        <w:rPr>
          <w:color w:val="000000"/>
          <w:spacing w:val="-6"/>
        </w:rPr>
        <w:t xml:space="preserve"> </w:t>
      </w:r>
      <w:r w:rsidR="00E90C18">
        <w:rPr>
          <w:color w:val="000000"/>
        </w:rPr>
        <w:t>upływem</w:t>
      </w:r>
      <w:r w:rsidR="00E90C18">
        <w:rPr>
          <w:color w:val="000000"/>
          <w:spacing w:val="-7"/>
        </w:rPr>
        <w:t xml:space="preserve"> </w:t>
      </w:r>
      <w:r w:rsidR="00E90C18">
        <w:rPr>
          <w:color w:val="000000"/>
        </w:rPr>
        <w:t>14-dniowego</w:t>
      </w:r>
      <w:r w:rsidR="00E90C18">
        <w:rPr>
          <w:color w:val="000000"/>
          <w:spacing w:val="-10"/>
        </w:rPr>
        <w:t xml:space="preserve"> </w:t>
      </w:r>
      <w:r w:rsidR="00E90C18">
        <w:rPr>
          <w:color w:val="000000"/>
        </w:rPr>
        <w:t>okresu</w:t>
      </w:r>
      <w:r w:rsidR="00E90C18">
        <w:rPr>
          <w:color w:val="000000"/>
          <w:spacing w:val="-12"/>
        </w:rPr>
        <w:t xml:space="preserve"> </w:t>
      </w:r>
      <w:r w:rsidR="00E90C18">
        <w:rPr>
          <w:color w:val="000000"/>
        </w:rPr>
        <w:t>odstąpienia</w:t>
      </w:r>
      <w:r w:rsidR="00E90C18">
        <w:rPr>
          <w:color w:val="000000"/>
          <w:spacing w:val="-16"/>
        </w:rPr>
        <w:t xml:space="preserve"> </w:t>
      </w:r>
      <w:r w:rsidR="00E90C18">
        <w:rPr>
          <w:color w:val="000000"/>
        </w:rPr>
        <w:t>od</w:t>
      </w:r>
      <w:r w:rsidR="00E90C18">
        <w:rPr>
          <w:color w:val="000000"/>
          <w:spacing w:val="-7"/>
        </w:rPr>
        <w:t xml:space="preserve"> </w:t>
      </w:r>
      <w:r w:rsidR="00E90C18">
        <w:rPr>
          <w:color w:val="000000"/>
        </w:rPr>
        <w:t>umowy sprzedaży</w:t>
      </w:r>
      <w:r w:rsidR="00E90C18">
        <w:rPr>
          <w:color w:val="000000"/>
          <w:spacing w:val="-3"/>
        </w:rPr>
        <w:t xml:space="preserve"> </w:t>
      </w:r>
      <w:r w:rsidR="00E90C18">
        <w:rPr>
          <w:color w:val="000000"/>
        </w:rPr>
        <w:t>rezerwowej</w:t>
      </w:r>
      <w:r w:rsidR="00E90C18">
        <w:rPr>
          <w:color w:val="000000"/>
          <w:spacing w:val="-2"/>
        </w:rPr>
        <w:t xml:space="preserve"> </w:t>
      </w:r>
      <w:r w:rsidR="00E90C18">
        <w:rPr>
          <w:color w:val="000000"/>
        </w:rPr>
        <w:t>zawartej</w:t>
      </w:r>
      <w:r w:rsidR="00E90C18">
        <w:rPr>
          <w:color w:val="000000"/>
          <w:spacing w:val="-6"/>
        </w:rPr>
        <w:t xml:space="preserve"> </w:t>
      </w:r>
      <w:r w:rsidR="00E90C18">
        <w:rPr>
          <w:color w:val="000000"/>
        </w:rPr>
        <w:t>na</w:t>
      </w:r>
      <w:r w:rsidR="00E90C18">
        <w:rPr>
          <w:color w:val="000000"/>
          <w:spacing w:val="-20"/>
        </w:rPr>
        <w:t xml:space="preserve"> </w:t>
      </w:r>
      <w:r w:rsidR="00E90C18">
        <w:rPr>
          <w:color w:val="000000"/>
        </w:rPr>
        <w:t>odległość</w:t>
      </w:r>
      <w:r w:rsidR="00E90C18">
        <w:rPr>
          <w:color w:val="000000"/>
          <w:spacing w:val="-10"/>
        </w:rPr>
        <w:t xml:space="preserve"> </w:t>
      </w:r>
      <w:r w:rsidR="00E90C18">
        <w:rPr>
          <w:color w:val="000000"/>
        </w:rPr>
        <w:t>lub</w:t>
      </w:r>
      <w:r w:rsidR="00E90C18">
        <w:rPr>
          <w:color w:val="000000"/>
          <w:spacing w:val="-16"/>
        </w:rPr>
        <w:t xml:space="preserve"> </w:t>
      </w:r>
      <w:r w:rsidR="00E90C18">
        <w:rPr>
          <w:color w:val="000000"/>
        </w:rPr>
        <w:t>poza</w:t>
      </w:r>
      <w:r w:rsidR="00E90C18">
        <w:rPr>
          <w:color w:val="000000"/>
          <w:spacing w:val="-12"/>
        </w:rPr>
        <w:t xml:space="preserve"> </w:t>
      </w:r>
      <w:r w:rsidR="00E90C18">
        <w:rPr>
          <w:color w:val="000000"/>
        </w:rPr>
        <w:t>lokalem</w:t>
      </w:r>
      <w:r w:rsidR="00E90C18">
        <w:rPr>
          <w:color w:val="000000"/>
          <w:spacing w:val="-4"/>
        </w:rPr>
        <w:t xml:space="preserve"> </w:t>
      </w:r>
      <w:r w:rsidR="00E90C18">
        <w:rPr>
          <w:color w:val="000000"/>
        </w:rPr>
        <w:t>przedsiębiorstwa,</w:t>
      </w:r>
      <w:r w:rsidR="00E90C18">
        <w:rPr>
          <w:color w:val="000000"/>
          <w:spacing w:val="-12"/>
        </w:rPr>
        <w:t xml:space="preserve"> </w:t>
      </w:r>
      <w:r w:rsidR="00E90C18">
        <w:rPr>
          <w:color w:val="000000"/>
        </w:rPr>
        <w:t xml:space="preserve">liczonego od dnia jej zawarcia, przy czym dla URD </w:t>
      </w:r>
      <w:r w:rsidR="00184363">
        <w:rPr>
          <w:color w:val="000000"/>
        </w:rPr>
        <w:br/>
      </w:r>
      <w:r w:rsidR="00E90C18">
        <w:rPr>
          <w:color w:val="000000"/>
        </w:rPr>
        <w:t>w gospodarstwie domowym powyższe upoważnienie</w:t>
      </w:r>
      <w:r w:rsidR="00E90C18">
        <w:rPr>
          <w:color w:val="000000"/>
          <w:spacing w:val="-6"/>
        </w:rPr>
        <w:t xml:space="preserve"> </w:t>
      </w:r>
      <w:r w:rsidR="00E90C18">
        <w:rPr>
          <w:color w:val="000000"/>
        </w:rPr>
        <w:t>odnosi</w:t>
      </w:r>
      <w:r w:rsidR="00E90C18">
        <w:rPr>
          <w:color w:val="000000"/>
          <w:spacing w:val="-9"/>
        </w:rPr>
        <w:t xml:space="preserve"> </w:t>
      </w:r>
      <w:r w:rsidR="00E90C18">
        <w:rPr>
          <w:color w:val="000000"/>
        </w:rPr>
        <w:t>się</w:t>
      </w:r>
      <w:r w:rsidR="00E90C18">
        <w:rPr>
          <w:color w:val="000000"/>
          <w:spacing w:val="-18"/>
        </w:rPr>
        <w:t xml:space="preserve"> </w:t>
      </w:r>
      <w:r w:rsidR="00E90C18">
        <w:rPr>
          <w:color w:val="000000"/>
        </w:rPr>
        <w:t>jedynie</w:t>
      </w:r>
      <w:r w:rsidR="00E90C18">
        <w:rPr>
          <w:color w:val="000000"/>
          <w:spacing w:val="-13"/>
        </w:rPr>
        <w:t xml:space="preserve"> </w:t>
      </w:r>
      <w:r w:rsidR="00E90C18">
        <w:rPr>
          <w:color w:val="000000"/>
        </w:rPr>
        <w:t>do</w:t>
      </w:r>
      <w:r w:rsidR="00E90C18">
        <w:rPr>
          <w:color w:val="000000"/>
          <w:spacing w:val="-14"/>
        </w:rPr>
        <w:t xml:space="preserve"> </w:t>
      </w:r>
      <w:r w:rsidR="00E90C18">
        <w:rPr>
          <w:color w:val="000000"/>
        </w:rPr>
        <w:t>umowy</w:t>
      </w:r>
      <w:r w:rsidR="00E90C18">
        <w:rPr>
          <w:color w:val="000000"/>
          <w:spacing w:val="-11"/>
        </w:rPr>
        <w:t xml:space="preserve"> </w:t>
      </w:r>
      <w:r w:rsidR="00E90C18">
        <w:rPr>
          <w:color w:val="000000"/>
        </w:rPr>
        <w:t>sprzedaży</w:t>
      </w:r>
      <w:r w:rsidR="00E90C18">
        <w:rPr>
          <w:color w:val="000000"/>
          <w:spacing w:val="-1"/>
        </w:rPr>
        <w:t xml:space="preserve"> </w:t>
      </w:r>
      <w:r w:rsidR="00E90C18">
        <w:rPr>
          <w:color w:val="000000"/>
        </w:rPr>
        <w:t>rezerwowej</w:t>
      </w:r>
      <w:r w:rsidR="00E90C18">
        <w:rPr>
          <w:color w:val="000000"/>
          <w:spacing w:val="-12"/>
        </w:rPr>
        <w:t xml:space="preserve"> </w:t>
      </w:r>
      <w:r w:rsidR="00E90C18">
        <w:rPr>
          <w:color w:val="000000"/>
        </w:rPr>
        <w:t>zawartej</w:t>
      </w:r>
      <w:r w:rsidR="00E90C18">
        <w:rPr>
          <w:color w:val="000000"/>
          <w:spacing w:val="-9"/>
        </w:rPr>
        <w:t xml:space="preserve"> </w:t>
      </w:r>
      <w:r w:rsidR="00E90C18">
        <w:rPr>
          <w:color w:val="000000"/>
        </w:rPr>
        <w:t>na</w:t>
      </w:r>
      <w:r w:rsidR="00E90C18">
        <w:rPr>
          <w:color w:val="000000"/>
          <w:spacing w:val="-21"/>
        </w:rPr>
        <w:t xml:space="preserve"> </w:t>
      </w:r>
      <w:r w:rsidR="00E90C18">
        <w:rPr>
          <w:color w:val="000000"/>
        </w:rPr>
        <w:t>odległość.</w:t>
      </w:r>
    </w:p>
    <w:p w14:paraId="2B172A62" w14:textId="77777777" w:rsidR="00341A93" w:rsidRPr="00956BD9" w:rsidRDefault="00341A93" w:rsidP="00014A7E">
      <w:pPr>
        <w:spacing w:line="20" w:lineRule="exact"/>
        <w:ind w:right="-2"/>
        <w:jc w:val="both"/>
        <w:rPr>
          <w:rFonts w:eastAsia="Times New Roman" w:cs="Times New Roman"/>
          <w:szCs w:val="24"/>
        </w:rPr>
      </w:pPr>
    </w:p>
    <w:p w14:paraId="32C1B56A" w14:textId="77777777" w:rsidR="00341A93" w:rsidRPr="00956BD9" w:rsidRDefault="00341A93" w:rsidP="00014A7E">
      <w:pPr>
        <w:spacing w:line="0" w:lineRule="atLeast"/>
        <w:ind w:left="1140" w:right="-2"/>
        <w:jc w:val="both"/>
        <w:rPr>
          <w:rFonts w:eastAsia="Times New Roman" w:cs="Times New Roman"/>
          <w:szCs w:val="24"/>
        </w:rPr>
      </w:pPr>
      <w:bookmarkStart w:id="81" w:name="page12"/>
      <w:bookmarkEnd w:id="81"/>
      <w:r w:rsidRPr="00956BD9">
        <w:rPr>
          <w:rFonts w:eastAsia="Times New Roman" w:cs="Times New Roman"/>
          <w:szCs w:val="24"/>
        </w:rPr>
        <w:t xml:space="preserve">Dokonując powiadomienia o zawarciu umowy sprzedaży zgodnie z pkt. </w:t>
      </w:r>
      <w:r w:rsidR="00C84928">
        <w:rPr>
          <w:rFonts w:eastAsia="Times New Roman" w:cs="Times New Roman"/>
          <w:szCs w:val="24"/>
        </w:rPr>
        <w:t>D.2.4.</w:t>
      </w:r>
      <w:r w:rsidRPr="00956BD9">
        <w:rPr>
          <w:rFonts w:eastAsia="Times New Roman" w:cs="Times New Roman"/>
          <w:szCs w:val="24"/>
        </w:rPr>
        <w:t>, sprzedawca wskazuje sprzedawcę rezerwowego, co jest równoznaczne ze złożeniem oświadczenia w przedmiocie dokonania przez URD wyboru sprzedawcy rezerwowego.</w:t>
      </w:r>
    </w:p>
    <w:p w14:paraId="4C5965BE" w14:textId="77777777" w:rsidR="00341A93" w:rsidRPr="00956BD9" w:rsidRDefault="00341A93" w:rsidP="00014A7E">
      <w:pPr>
        <w:tabs>
          <w:tab w:val="left" w:pos="1120"/>
        </w:tabs>
        <w:spacing w:line="237" w:lineRule="auto"/>
        <w:ind w:left="1140" w:right="-2" w:hanging="999"/>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2</w:t>
      </w:r>
      <w:r w:rsidRPr="00956BD9">
        <w:rPr>
          <w:rFonts w:eastAsia="Times New Roman" w:cs="Times New Roman"/>
          <w:szCs w:val="24"/>
        </w:rPr>
        <w:t>.</w:t>
      </w:r>
      <w:r w:rsidRPr="00956BD9">
        <w:rPr>
          <w:rFonts w:eastAsia="Times New Roman" w:cs="Times New Roman"/>
          <w:szCs w:val="24"/>
        </w:rPr>
        <w:tab/>
        <w:t>OSDn, z zastrzeżeniem okoliczności wskazanych w pkt. A.</w:t>
      </w:r>
      <w:r w:rsidR="00C84928">
        <w:rPr>
          <w:rFonts w:eastAsia="Times New Roman" w:cs="Times New Roman"/>
          <w:szCs w:val="24"/>
        </w:rPr>
        <w:t>8</w:t>
      </w:r>
      <w:r w:rsidRPr="00956BD9">
        <w:rPr>
          <w:rFonts w:eastAsia="Times New Roman" w:cs="Times New Roman"/>
          <w:szCs w:val="24"/>
        </w:rPr>
        <w:t>.</w:t>
      </w:r>
      <w:r w:rsidR="00493292">
        <w:rPr>
          <w:rFonts w:eastAsia="Times New Roman" w:cs="Times New Roman"/>
          <w:szCs w:val="24"/>
        </w:rPr>
        <w:t>3</w:t>
      </w:r>
      <w:r w:rsidR="00C84928">
        <w:rPr>
          <w:rFonts w:eastAsia="Times New Roman" w:cs="Times New Roman"/>
          <w:szCs w:val="24"/>
        </w:rPr>
        <w:t>.</w:t>
      </w:r>
      <w:r w:rsidRPr="00956BD9">
        <w:rPr>
          <w:rFonts w:eastAsia="Times New Roman" w:cs="Times New Roman"/>
          <w:szCs w:val="24"/>
        </w:rPr>
        <w:t>, zawiera umowę sprzedaży rezerwowej w imieniu i na rzecz URD ze sprzedawcą rezerwowym:</w:t>
      </w:r>
    </w:p>
    <w:p w14:paraId="1CA119BE" w14:textId="77777777" w:rsidR="00341A93" w:rsidRPr="00956BD9" w:rsidRDefault="00341A93">
      <w:pPr>
        <w:numPr>
          <w:ilvl w:val="0"/>
          <w:numId w:val="152"/>
        </w:numPr>
        <w:tabs>
          <w:tab w:val="left" w:pos="1400"/>
        </w:tabs>
        <w:spacing w:line="0" w:lineRule="atLeast"/>
        <w:ind w:left="1400" w:right="-2" w:hanging="268"/>
        <w:jc w:val="both"/>
        <w:rPr>
          <w:rFonts w:eastAsia="Times New Roman" w:cs="Times New Roman"/>
          <w:szCs w:val="24"/>
        </w:rPr>
      </w:pPr>
      <w:r w:rsidRPr="00956BD9">
        <w:rPr>
          <w:rFonts w:eastAsia="Times New Roman" w:cs="Times New Roman"/>
          <w:szCs w:val="24"/>
        </w:rPr>
        <w:t>niezwłocznie po uzyskaniu informacji o konieczności zaprzestania:</w:t>
      </w:r>
    </w:p>
    <w:p w14:paraId="6B656131" w14:textId="77777777" w:rsidR="00341A93" w:rsidRPr="00956BD9" w:rsidRDefault="00341A93">
      <w:pPr>
        <w:numPr>
          <w:ilvl w:val="1"/>
          <w:numId w:val="152"/>
        </w:numPr>
        <w:tabs>
          <w:tab w:val="left" w:pos="1620"/>
        </w:tabs>
        <w:spacing w:line="0" w:lineRule="atLeast"/>
        <w:ind w:left="1620" w:right="-2" w:hanging="275"/>
        <w:jc w:val="both"/>
        <w:rPr>
          <w:rFonts w:eastAsia="Times New Roman" w:cs="Times New Roman"/>
          <w:szCs w:val="24"/>
        </w:rPr>
      </w:pPr>
      <w:r w:rsidRPr="00956BD9">
        <w:rPr>
          <w:rFonts w:eastAsia="Times New Roman" w:cs="Times New Roman"/>
          <w:szCs w:val="24"/>
        </w:rPr>
        <w:t>sprzedaży energii elektrycznej, o której mowa w pkt. A.</w:t>
      </w:r>
      <w:r w:rsidR="004C091D">
        <w:rPr>
          <w:rFonts w:eastAsia="Times New Roman" w:cs="Times New Roman"/>
          <w:szCs w:val="24"/>
        </w:rPr>
        <w:t>3.9.</w:t>
      </w:r>
      <w:r w:rsidRPr="00956BD9">
        <w:rPr>
          <w:rFonts w:eastAsia="Times New Roman" w:cs="Times New Roman"/>
          <w:szCs w:val="24"/>
        </w:rPr>
        <w:t>,</w:t>
      </w:r>
    </w:p>
    <w:p w14:paraId="2B4E8678" w14:textId="77777777" w:rsidR="00341A93" w:rsidRPr="00956BD9" w:rsidRDefault="00341A93">
      <w:pPr>
        <w:numPr>
          <w:ilvl w:val="1"/>
          <w:numId w:val="152"/>
        </w:numPr>
        <w:tabs>
          <w:tab w:val="left" w:pos="1620"/>
        </w:tabs>
        <w:spacing w:line="0" w:lineRule="atLeast"/>
        <w:ind w:left="1620" w:right="-2" w:hanging="275"/>
        <w:jc w:val="both"/>
        <w:rPr>
          <w:rFonts w:eastAsia="Times New Roman" w:cs="Times New Roman"/>
          <w:szCs w:val="24"/>
        </w:rPr>
      </w:pPr>
      <w:r w:rsidRPr="00956BD9">
        <w:rPr>
          <w:rFonts w:eastAsia="Times New Roman" w:cs="Times New Roman"/>
          <w:szCs w:val="24"/>
        </w:rPr>
        <w:t>świadczenia usług dystrybucji lub usług przesyłania, o której mowa w pkt.</w:t>
      </w:r>
    </w:p>
    <w:p w14:paraId="7E897232" w14:textId="77777777" w:rsidR="00341A93" w:rsidRPr="00956BD9" w:rsidRDefault="00341A93" w:rsidP="00341A93">
      <w:pPr>
        <w:spacing w:line="2" w:lineRule="exact"/>
        <w:ind w:right="-2"/>
        <w:jc w:val="both"/>
        <w:rPr>
          <w:rFonts w:eastAsia="Times New Roman" w:cs="Times New Roman"/>
          <w:szCs w:val="24"/>
        </w:rPr>
      </w:pPr>
    </w:p>
    <w:p w14:paraId="79EEE8BD" w14:textId="77777777" w:rsidR="00341A93" w:rsidRPr="00956BD9" w:rsidRDefault="00341A93" w:rsidP="00341A93">
      <w:pPr>
        <w:spacing w:line="0" w:lineRule="atLeast"/>
        <w:ind w:left="1620" w:right="-2"/>
        <w:jc w:val="both"/>
        <w:rPr>
          <w:rFonts w:eastAsia="Times New Roman" w:cs="Times New Roman"/>
          <w:szCs w:val="24"/>
        </w:rPr>
      </w:pPr>
      <w:r w:rsidRPr="00956BD9">
        <w:rPr>
          <w:rFonts w:eastAsia="Times New Roman" w:cs="Times New Roman"/>
          <w:szCs w:val="24"/>
        </w:rPr>
        <w:t>A.</w:t>
      </w:r>
      <w:r w:rsidR="004C091D">
        <w:rPr>
          <w:rFonts w:eastAsia="Times New Roman" w:cs="Times New Roman"/>
          <w:szCs w:val="24"/>
        </w:rPr>
        <w:t>3.11</w:t>
      </w:r>
      <w:r w:rsidRPr="00956BD9">
        <w:rPr>
          <w:rFonts w:eastAsia="Times New Roman" w:cs="Times New Roman"/>
          <w:szCs w:val="24"/>
        </w:rPr>
        <w:t>.,</w:t>
      </w:r>
    </w:p>
    <w:p w14:paraId="5D638F2C" w14:textId="77777777" w:rsidR="00341A93" w:rsidRPr="00956BD9" w:rsidRDefault="00341A93" w:rsidP="00341A93">
      <w:pPr>
        <w:spacing w:line="178" w:lineRule="exact"/>
        <w:ind w:right="-2"/>
        <w:jc w:val="both"/>
        <w:rPr>
          <w:rFonts w:eastAsia="Times New Roman" w:cs="Times New Roman"/>
          <w:szCs w:val="24"/>
        </w:rPr>
      </w:pPr>
    </w:p>
    <w:p w14:paraId="4F787635" w14:textId="4D0B7DCA" w:rsidR="00341A93" w:rsidRDefault="00341A93">
      <w:pPr>
        <w:numPr>
          <w:ilvl w:val="0"/>
          <w:numId w:val="152"/>
        </w:numPr>
        <w:tabs>
          <w:tab w:val="left" w:pos="1480"/>
        </w:tabs>
        <w:spacing w:line="235" w:lineRule="auto"/>
        <w:ind w:left="1480" w:right="-2" w:hanging="348"/>
        <w:jc w:val="both"/>
        <w:rPr>
          <w:rFonts w:eastAsia="Times New Roman" w:cs="Times New Roman"/>
          <w:szCs w:val="24"/>
        </w:rPr>
      </w:pPr>
      <w:r w:rsidRPr="00956BD9">
        <w:rPr>
          <w:rFonts w:eastAsia="Times New Roman" w:cs="Times New Roman"/>
          <w:szCs w:val="24"/>
        </w:rPr>
        <w:t xml:space="preserve">w przypadku wygaśnięcia lub zaprzestania wykonywania umowy sprzedaży </w:t>
      </w:r>
      <w:r>
        <w:rPr>
          <w:rFonts w:eastAsia="Times New Roman" w:cs="Times New Roman"/>
          <w:szCs w:val="24"/>
        </w:rPr>
        <w:br/>
      </w:r>
      <w:r w:rsidRPr="00956BD9">
        <w:rPr>
          <w:rFonts w:eastAsia="Times New Roman" w:cs="Times New Roman"/>
          <w:szCs w:val="24"/>
        </w:rPr>
        <w:t>z dotychczasowym sprzedawcą</w:t>
      </w:r>
      <w:r w:rsidR="006907F6">
        <w:rPr>
          <w:rFonts w:eastAsia="Times New Roman" w:cs="Times New Roman"/>
          <w:szCs w:val="24"/>
        </w:rPr>
        <w:t>,</w:t>
      </w:r>
    </w:p>
    <w:p w14:paraId="4CE58453" w14:textId="4A5E575D" w:rsidR="006907F6" w:rsidRPr="00956BD9" w:rsidRDefault="006907F6">
      <w:pPr>
        <w:numPr>
          <w:ilvl w:val="0"/>
          <w:numId w:val="152"/>
        </w:numPr>
        <w:tabs>
          <w:tab w:val="left" w:pos="1480"/>
        </w:tabs>
        <w:spacing w:line="235" w:lineRule="auto"/>
        <w:ind w:left="1480" w:right="-2" w:hanging="348"/>
        <w:jc w:val="both"/>
        <w:rPr>
          <w:rFonts w:eastAsia="Times New Roman" w:cs="Times New Roman"/>
          <w:szCs w:val="24"/>
        </w:rPr>
      </w:pPr>
      <w:r>
        <w:rPr>
          <w:color w:val="000000"/>
        </w:rPr>
        <w:t>niezwłocznie po uzyskaniu informacji, że realizowana przez OSDn umowa sprzedaży z URD w gospodarstwie domowym, zawarta poza lokalem przedsiębiorstwa, jest nieważna;</w:t>
      </w:r>
    </w:p>
    <w:p w14:paraId="5B5BA652" w14:textId="77777777" w:rsidR="00341A93" w:rsidRPr="00956BD9" w:rsidRDefault="00341A93" w:rsidP="00341A93">
      <w:pPr>
        <w:spacing w:line="180" w:lineRule="exact"/>
        <w:ind w:right="-2"/>
        <w:jc w:val="both"/>
        <w:rPr>
          <w:rFonts w:eastAsia="Times New Roman" w:cs="Times New Roman"/>
          <w:szCs w:val="24"/>
        </w:rPr>
      </w:pPr>
    </w:p>
    <w:p w14:paraId="6608742C" w14:textId="77777777" w:rsidR="00341A93" w:rsidRPr="00CC37AE" w:rsidRDefault="00341A93" w:rsidP="00341A93">
      <w:pPr>
        <w:spacing w:line="238" w:lineRule="auto"/>
        <w:ind w:left="1140" w:right="-2"/>
        <w:jc w:val="both"/>
        <w:rPr>
          <w:rFonts w:eastAsia="Times New Roman" w:cs="Times New Roman"/>
          <w:szCs w:val="24"/>
        </w:rPr>
      </w:pPr>
      <w:r w:rsidRPr="00956BD9">
        <w:rPr>
          <w:rFonts w:eastAsia="Times New Roman" w:cs="Times New Roman"/>
          <w:szCs w:val="24"/>
        </w:rPr>
        <w:t xml:space="preserve">– jeżeli nie dokonano powiadomienia o zawarciu umowy sprzedaży lub umowy kompleksowej </w:t>
      </w:r>
      <w:r w:rsidRPr="00CC37AE">
        <w:rPr>
          <w:rFonts w:eastAsia="Times New Roman" w:cs="Times New Roman"/>
          <w:szCs w:val="24"/>
        </w:rPr>
        <w:t xml:space="preserve">zgodnie z pkt. </w:t>
      </w:r>
      <w:r w:rsidR="00252B7F" w:rsidRPr="00CC37AE">
        <w:rPr>
          <w:rFonts w:eastAsia="Times New Roman" w:cs="Times New Roman"/>
          <w:szCs w:val="24"/>
        </w:rPr>
        <w:t>D.2</w:t>
      </w:r>
      <w:r w:rsidRPr="00CC37AE">
        <w:rPr>
          <w:rFonts w:eastAsia="Times New Roman" w:cs="Times New Roman"/>
          <w:szCs w:val="24"/>
        </w:rPr>
        <w:t>. lub gdy sprzedawca wybrany przez URD nie podjął sprzedaży.</w:t>
      </w:r>
    </w:p>
    <w:p w14:paraId="6D5DBAC3" w14:textId="77777777" w:rsidR="00341A93" w:rsidRPr="00CC37AE" w:rsidRDefault="00341A93" w:rsidP="00341A93">
      <w:pPr>
        <w:spacing w:line="180" w:lineRule="exact"/>
        <w:ind w:right="-2"/>
        <w:jc w:val="both"/>
        <w:rPr>
          <w:rFonts w:eastAsia="Times New Roman" w:cs="Times New Roman"/>
          <w:szCs w:val="24"/>
        </w:rPr>
      </w:pPr>
    </w:p>
    <w:p w14:paraId="3FD2B191" w14:textId="77777777" w:rsidR="00341A93" w:rsidRPr="00956BD9" w:rsidRDefault="00341A93" w:rsidP="00341A93">
      <w:pPr>
        <w:spacing w:line="237" w:lineRule="auto"/>
        <w:ind w:left="1140" w:right="-2"/>
        <w:jc w:val="both"/>
        <w:rPr>
          <w:rFonts w:eastAsia="Times New Roman" w:cs="Times New Roman"/>
          <w:szCs w:val="24"/>
        </w:rPr>
      </w:pPr>
      <w:r w:rsidRPr="00CC37AE">
        <w:rPr>
          <w:rFonts w:eastAsia="Times New Roman" w:cs="Times New Roman"/>
          <w:szCs w:val="24"/>
        </w:rPr>
        <w:t>Zawarcie umowy sprzedaży rezerwowej następuje</w:t>
      </w:r>
      <w:r w:rsidRPr="00956BD9">
        <w:rPr>
          <w:rFonts w:eastAsia="Times New Roman" w:cs="Times New Roman"/>
          <w:szCs w:val="24"/>
        </w:rPr>
        <w:t xml:space="preserve"> poprzez złożenie przez OSDn sprzedawcy rezerwowemu oświadczenia o przyjęciu jego oferty w terminie:</w:t>
      </w:r>
    </w:p>
    <w:p w14:paraId="10F2E2B8" w14:textId="46F88C9E" w:rsidR="00341A93" w:rsidRPr="00956BD9" w:rsidRDefault="00C94EA9">
      <w:pPr>
        <w:numPr>
          <w:ilvl w:val="0"/>
          <w:numId w:val="157"/>
        </w:numPr>
        <w:spacing w:line="239" w:lineRule="auto"/>
        <w:ind w:left="1418" w:right="-2" w:hanging="284"/>
        <w:jc w:val="both"/>
        <w:rPr>
          <w:rFonts w:eastAsia="Times New Roman" w:cs="Times New Roman"/>
          <w:szCs w:val="24"/>
        </w:rPr>
      </w:pPr>
      <w:r>
        <w:rPr>
          <w:rFonts w:cs="Times New Roman"/>
          <w:color w:val="000000"/>
          <w:szCs w:val="24"/>
        </w:rPr>
        <w:t>w przypadkach, o których mowa w ppkt 1) oraz 3) - nie później niż w terminie 3 dni roboczych od stwierdzenia którejkolwiek z przesłanek do zawarcia umowy sprzedaży rezerwowej</w:t>
      </w:r>
      <w:r w:rsidR="00341A93" w:rsidRPr="00956BD9">
        <w:rPr>
          <w:rFonts w:eastAsia="Times New Roman" w:cs="Times New Roman"/>
          <w:szCs w:val="24"/>
        </w:rPr>
        <w:t>;</w:t>
      </w:r>
    </w:p>
    <w:p w14:paraId="50F0548E" w14:textId="77777777" w:rsidR="00341A93" w:rsidRPr="00956BD9" w:rsidRDefault="00341A93" w:rsidP="00341A93">
      <w:pPr>
        <w:spacing w:line="15" w:lineRule="exact"/>
        <w:ind w:right="-2"/>
        <w:jc w:val="both"/>
        <w:rPr>
          <w:rFonts w:eastAsia="Times New Roman" w:cs="Times New Roman"/>
          <w:szCs w:val="24"/>
        </w:rPr>
      </w:pPr>
    </w:p>
    <w:p w14:paraId="2EE8AFC4" w14:textId="77777777" w:rsidR="00341A93" w:rsidRPr="00956BD9" w:rsidRDefault="00341A93">
      <w:pPr>
        <w:numPr>
          <w:ilvl w:val="0"/>
          <w:numId w:val="157"/>
        </w:numPr>
        <w:spacing w:line="239" w:lineRule="auto"/>
        <w:ind w:left="1418" w:right="-2" w:hanging="284"/>
        <w:jc w:val="both"/>
        <w:rPr>
          <w:rFonts w:eastAsia="Times New Roman" w:cs="Times New Roman"/>
          <w:szCs w:val="24"/>
        </w:rPr>
      </w:pPr>
      <w:r w:rsidRPr="00956BD9">
        <w:rPr>
          <w:rFonts w:eastAsia="Times New Roman" w:cs="Times New Roman"/>
          <w:szCs w:val="24"/>
        </w:rPr>
        <w:t>w przypadku, o którym mowa w ppkt. 2) – nie później niż w dniu poprzedzającym dzień rozpoczęcia obowiązywania umowy sprzedaży rezerwowej.</w:t>
      </w:r>
    </w:p>
    <w:p w14:paraId="2FABC66D" w14:textId="77777777" w:rsidR="00341A93" w:rsidRPr="00956BD9" w:rsidRDefault="00341A93" w:rsidP="00341A93">
      <w:pPr>
        <w:spacing w:line="250" w:lineRule="exact"/>
        <w:ind w:right="-2"/>
        <w:jc w:val="both"/>
        <w:rPr>
          <w:rFonts w:eastAsia="Times New Roman" w:cs="Times New Roman"/>
          <w:szCs w:val="24"/>
        </w:rPr>
      </w:pPr>
    </w:p>
    <w:p w14:paraId="6BE7FD5D" w14:textId="3FADA832" w:rsidR="00341A93" w:rsidRPr="00956BD9" w:rsidRDefault="00C94EA9" w:rsidP="00341A93">
      <w:pPr>
        <w:spacing w:line="264" w:lineRule="auto"/>
        <w:ind w:left="1140" w:right="-2"/>
        <w:jc w:val="both"/>
        <w:rPr>
          <w:rFonts w:eastAsia="Times New Roman" w:cs="Times New Roman"/>
          <w:szCs w:val="24"/>
        </w:rPr>
      </w:pPr>
      <w:r>
        <w:rPr>
          <w:color w:val="000000"/>
        </w:rPr>
        <w:t>Sposób składania oferty i oświadczeń o przyjęciu oferty określa umowa, o której mowa w pkt A.4.3.6. oraz IRiESD</w:t>
      </w:r>
      <w:r w:rsidR="00341A93" w:rsidRPr="00956BD9">
        <w:rPr>
          <w:rFonts w:eastAsia="Times New Roman" w:cs="Times New Roman"/>
          <w:szCs w:val="24"/>
        </w:rPr>
        <w:t>.</w:t>
      </w:r>
    </w:p>
    <w:p w14:paraId="3DEFDAB6" w14:textId="77777777" w:rsidR="00341A93" w:rsidRPr="00956BD9" w:rsidRDefault="00341A93" w:rsidP="00341A93">
      <w:pPr>
        <w:tabs>
          <w:tab w:val="left" w:pos="1120"/>
        </w:tabs>
        <w:spacing w:line="0" w:lineRule="atLeast"/>
        <w:ind w:left="140" w:right="-2"/>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3</w:t>
      </w:r>
      <w:r w:rsidRPr="00956BD9">
        <w:rPr>
          <w:rFonts w:eastAsia="Times New Roman" w:cs="Times New Roman"/>
          <w:szCs w:val="24"/>
        </w:rPr>
        <w:t>.</w:t>
      </w:r>
      <w:r w:rsidRPr="00956BD9">
        <w:rPr>
          <w:rFonts w:eastAsia="Times New Roman" w:cs="Times New Roman"/>
          <w:szCs w:val="24"/>
        </w:rPr>
        <w:tab/>
        <w:t>OSDn nie zawrze umowy sprzedaży rezerwowej w sytuacji:</w:t>
      </w:r>
    </w:p>
    <w:p w14:paraId="35A650C2" w14:textId="77777777" w:rsidR="00341A93" w:rsidRPr="00956BD9" w:rsidRDefault="00341A93">
      <w:pPr>
        <w:numPr>
          <w:ilvl w:val="0"/>
          <w:numId w:val="153"/>
        </w:numPr>
        <w:tabs>
          <w:tab w:val="left" w:pos="1480"/>
        </w:tabs>
        <w:spacing w:line="274" w:lineRule="auto"/>
        <w:ind w:left="1480" w:right="-2" w:hanging="348"/>
        <w:jc w:val="both"/>
        <w:rPr>
          <w:rFonts w:eastAsia="Times New Roman" w:cs="Times New Roman"/>
          <w:szCs w:val="24"/>
        </w:rPr>
      </w:pPr>
      <w:r w:rsidRPr="00956BD9">
        <w:rPr>
          <w:rFonts w:eastAsia="Times New Roman" w:cs="Times New Roman"/>
          <w:szCs w:val="24"/>
        </w:rPr>
        <w:t xml:space="preserve">wstrzymania dostarczania energii elektrycznej do URD, w przypadkach </w:t>
      </w:r>
      <w:r w:rsidRPr="00956BD9">
        <w:rPr>
          <w:rFonts w:eastAsia="Times New Roman" w:cs="Times New Roman"/>
          <w:szCs w:val="24"/>
        </w:rPr>
        <w:br/>
        <w:t>o których mowa w art. 6a ust. 3 i art. 6b ust. 1, ust. 2 lub ust. 4 ustawy Prawo energetyczne (w tym także wówczas</w:t>
      </w:r>
      <w:r w:rsidR="00E249F2">
        <w:rPr>
          <w:rFonts w:eastAsia="Times New Roman" w:cs="Times New Roman"/>
          <w:szCs w:val="24"/>
        </w:rPr>
        <w:t>,</w:t>
      </w:r>
      <w:r w:rsidRPr="00956BD9">
        <w:rPr>
          <w:rFonts w:eastAsia="Times New Roman" w:cs="Times New Roman"/>
          <w:szCs w:val="24"/>
        </w:rPr>
        <w:t xml:space="preserve"> gdy w okresie wstrzymania dojdzie do zakończenia umowy sprzedaży zgodnie z pkt. </w:t>
      </w:r>
      <w:r w:rsidR="00427062">
        <w:rPr>
          <w:rFonts w:eastAsia="Times New Roman" w:cs="Times New Roman"/>
          <w:szCs w:val="24"/>
        </w:rPr>
        <w:t>D.</w:t>
      </w:r>
      <w:r w:rsidR="00615E6B">
        <w:rPr>
          <w:rFonts w:eastAsia="Times New Roman" w:cs="Times New Roman"/>
          <w:szCs w:val="24"/>
        </w:rPr>
        <w:t>2.7</w:t>
      </w:r>
      <w:r w:rsidRPr="00956BD9">
        <w:rPr>
          <w:rFonts w:eastAsia="Times New Roman" w:cs="Times New Roman"/>
          <w:szCs w:val="24"/>
        </w:rPr>
        <w:t xml:space="preserve">.), </w:t>
      </w:r>
    </w:p>
    <w:p w14:paraId="4874F7BF" w14:textId="77777777" w:rsidR="00341A93" w:rsidRDefault="00341A93">
      <w:pPr>
        <w:numPr>
          <w:ilvl w:val="0"/>
          <w:numId w:val="153"/>
        </w:numPr>
        <w:tabs>
          <w:tab w:val="left" w:pos="1460"/>
        </w:tabs>
        <w:spacing w:line="0" w:lineRule="atLeast"/>
        <w:ind w:left="1460" w:right="-2" w:hanging="328"/>
        <w:jc w:val="both"/>
        <w:rPr>
          <w:rFonts w:eastAsia="Times New Roman" w:cs="Times New Roman"/>
          <w:szCs w:val="24"/>
        </w:rPr>
      </w:pPr>
      <w:r w:rsidRPr="00956BD9">
        <w:rPr>
          <w:rFonts w:eastAsia="Times New Roman" w:cs="Times New Roman"/>
          <w:szCs w:val="24"/>
        </w:rPr>
        <w:t>wyprowadzenia URD z PPE.</w:t>
      </w:r>
    </w:p>
    <w:p w14:paraId="4A5128FC" w14:textId="77777777" w:rsidR="00341A93" w:rsidRPr="00956BD9" w:rsidRDefault="00341A93" w:rsidP="00341A93">
      <w:pPr>
        <w:spacing w:line="20" w:lineRule="exact"/>
        <w:ind w:right="-2"/>
        <w:jc w:val="both"/>
        <w:rPr>
          <w:rFonts w:eastAsia="Times New Roman" w:cs="Times New Roman"/>
          <w:szCs w:val="24"/>
        </w:rPr>
      </w:pPr>
    </w:p>
    <w:p w14:paraId="269E3A25" w14:textId="77777777" w:rsidR="00341A93" w:rsidRPr="00956BD9" w:rsidRDefault="00341A93" w:rsidP="00AF59C9">
      <w:pPr>
        <w:tabs>
          <w:tab w:val="left" w:pos="1120"/>
        </w:tabs>
        <w:spacing w:line="238" w:lineRule="auto"/>
        <w:ind w:left="1140" w:right="62" w:hanging="999"/>
        <w:jc w:val="both"/>
        <w:rPr>
          <w:rFonts w:eastAsia="Times New Roman" w:cs="Times New Roman"/>
          <w:szCs w:val="24"/>
        </w:rPr>
      </w:pPr>
      <w:bookmarkStart w:id="82" w:name="page13"/>
      <w:bookmarkEnd w:id="82"/>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4</w:t>
      </w:r>
      <w:r w:rsidRPr="00956BD9">
        <w:rPr>
          <w:rFonts w:eastAsia="Times New Roman" w:cs="Times New Roman"/>
          <w:szCs w:val="24"/>
        </w:rPr>
        <w:t>.</w:t>
      </w:r>
      <w:r w:rsidRPr="00956BD9">
        <w:rPr>
          <w:rFonts w:eastAsia="Times New Roman" w:cs="Times New Roman"/>
          <w:szCs w:val="24"/>
        </w:rPr>
        <w:tab/>
        <w:t>Sprzedawca, który zawarł z OSDn GUD, która umożliwia zawieranie umów sprzedaży rezerwowej na obszarze OSDn, składa OSDn ofertę zawarcia umów sprzedaży rezerwowej.</w:t>
      </w:r>
    </w:p>
    <w:p w14:paraId="1F2954D1" w14:textId="77777777" w:rsidR="00341A93" w:rsidRDefault="00341A93" w:rsidP="00AF59C9">
      <w:pPr>
        <w:spacing w:line="0" w:lineRule="atLeast"/>
        <w:ind w:left="1140" w:right="62"/>
        <w:jc w:val="both"/>
        <w:rPr>
          <w:rFonts w:eastAsia="Times New Roman" w:cs="Times New Roman"/>
          <w:szCs w:val="24"/>
        </w:rPr>
      </w:pPr>
      <w:r w:rsidRPr="00956BD9">
        <w:rPr>
          <w:rFonts w:eastAsia="Times New Roman" w:cs="Times New Roman"/>
          <w:szCs w:val="24"/>
        </w:rPr>
        <w:t>Zakończenie pełnienia funkcji sprzedawcy rezerwowego wymaga zmiany GUD.</w:t>
      </w:r>
    </w:p>
    <w:p w14:paraId="0FA79252" w14:textId="77777777" w:rsidR="00341A93" w:rsidRPr="00956BD9" w:rsidRDefault="00341A93" w:rsidP="00AF59C9">
      <w:pPr>
        <w:tabs>
          <w:tab w:val="left" w:pos="1120"/>
        </w:tabs>
        <w:spacing w:line="253" w:lineRule="auto"/>
        <w:ind w:left="1140" w:right="62" w:hanging="999"/>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5</w:t>
      </w:r>
      <w:r w:rsidR="00C84928">
        <w:rPr>
          <w:rFonts w:eastAsia="Times New Roman" w:cs="Times New Roman"/>
          <w:szCs w:val="24"/>
        </w:rPr>
        <w:t>.</w:t>
      </w:r>
      <w:r w:rsidRPr="00956BD9">
        <w:rPr>
          <w:rFonts w:eastAsia="Times New Roman" w:cs="Times New Roman"/>
          <w:szCs w:val="24"/>
        </w:rPr>
        <w:tab/>
        <w:t>Umowa sprzedaży rezerwowej jest zawierana na czas nieokreślony i obowiązuje od dnia zaprzestania wykonywania umowy sprzedaży przez dotychczasowego sprzedawcę.</w:t>
      </w:r>
    </w:p>
    <w:p w14:paraId="2AA516B4" w14:textId="77777777" w:rsidR="00341A93" w:rsidRPr="00956BD9" w:rsidRDefault="00341A93" w:rsidP="00AF59C9">
      <w:pPr>
        <w:spacing w:line="0" w:lineRule="atLeast"/>
        <w:ind w:left="1140" w:right="62"/>
        <w:jc w:val="both"/>
        <w:rPr>
          <w:rFonts w:eastAsia="Times New Roman" w:cs="Times New Roman"/>
          <w:szCs w:val="24"/>
        </w:rPr>
      </w:pPr>
      <w:r w:rsidRPr="00956BD9">
        <w:rPr>
          <w:rFonts w:eastAsia="Times New Roman" w:cs="Times New Roman"/>
          <w:szCs w:val="24"/>
        </w:rPr>
        <w:lastRenderedPageBreak/>
        <w:t>Umowa ta może ulec rozwiązaniu:</w:t>
      </w:r>
    </w:p>
    <w:p w14:paraId="1A64B2BD" w14:textId="77777777" w:rsidR="00341A93" w:rsidRPr="00956BD9" w:rsidRDefault="00341A93">
      <w:pPr>
        <w:numPr>
          <w:ilvl w:val="0"/>
          <w:numId w:val="154"/>
        </w:numPr>
        <w:tabs>
          <w:tab w:val="left" w:pos="1480"/>
        </w:tabs>
        <w:spacing w:line="0" w:lineRule="atLeast"/>
        <w:ind w:left="1480" w:right="62" w:hanging="348"/>
        <w:jc w:val="both"/>
        <w:rPr>
          <w:rFonts w:eastAsia="Times New Roman" w:cs="Times New Roman"/>
          <w:szCs w:val="24"/>
        </w:rPr>
      </w:pPr>
      <w:r w:rsidRPr="00956BD9">
        <w:rPr>
          <w:rFonts w:eastAsia="Times New Roman" w:cs="Times New Roman"/>
          <w:szCs w:val="24"/>
        </w:rPr>
        <w:t>w dowolnym terminie na mocy porozumienia stron; lub</w:t>
      </w:r>
    </w:p>
    <w:p w14:paraId="2429AABE" w14:textId="77777777" w:rsidR="00341A93" w:rsidRPr="00956BD9" w:rsidRDefault="00341A93">
      <w:pPr>
        <w:numPr>
          <w:ilvl w:val="0"/>
          <w:numId w:val="154"/>
        </w:numPr>
        <w:tabs>
          <w:tab w:val="left" w:pos="1480"/>
        </w:tabs>
        <w:spacing w:line="255" w:lineRule="auto"/>
        <w:ind w:left="1480" w:right="62" w:hanging="348"/>
        <w:jc w:val="both"/>
        <w:rPr>
          <w:rFonts w:eastAsia="Times New Roman" w:cs="Times New Roman"/>
          <w:szCs w:val="24"/>
        </w:rPr>
      </w:pPr>
      <w:r w:rsidRPr="00956BD9">
        <w:rPr>
          <w:rFonts w:eastAsia="Times New Roman" w:cs="Times New Roman"/>
          <w:szCs w:val="24"/>
        </w:rPr>
        <w:t>w drodze wypowiedzenia przez URD z zachowaniem miesięcznego okresu wypowiedzenia ze skutkiem na ostatni dzień miesiąca następujący po miesiącu, w którym nastąpiło doręczenie oświadczenia o wypowiedzeniu umowy, przy czym URD może wskazać późniejszy jej termin rozwiązania;</w:t>
      </w:r>
    </w:p>
    <w:p w14:paraId="6D8809B2" w14:textId="77777777" w:rsidR="00341A93" w:rsidRPr="00956BD9" w:rsidRDefault="00341A93" w:rsidP="00AF59C9">
      <w:pPr>
        <w:spacing w:line="184" w:lineRule="exact"/>
        <w:ind w:right="62"/>
        <w:jc w:val="both"/>
        <w:rPr>
          <w:rFonts w:eastAsia="Times New Roman" w:cs="Times New Roman"/>
          <w:szCs w:val="24"/>
        </w:rPr>
      </w:pPr>
    </w:p>
    <w:p w14:paraId="16E8E73B" w14:textId="77777777" w:rsidR="00341A93" w:rsidRPr="00956BD9" w:rsidRDefault="00341A93" w:rsidP="00AF59C9">
      <w:pPr>
        <w:spacing w:line="235" w:lineRule="auto"/>
        <w:ind w:left="1140" w:right="62"/>
        <w:jc w:val="both"/>
        <w:rPr>
          <w:rFonts w:eastAsia="Times New Roman" w:cs="Times New Roman"/>
          <w:szCs w:val="24"/>
        </w:rPr>
      </w:pPr>
      <w:r w:rsidRPr="00956BD9">
        <w:rPr>
          <w:rFonts w:eastAsia="Times New Roman" w:cs="Times New Roman"/>
          <w:szCs w:val="24"/>
        </w:rPr>
        <w:t xml:space="preserve">– a URD nie może zostać obciążony przez sprzedawcę rezerwowego kosztami </w:t>
      </w:r>
      <w:r>
        <w:rPr>
          <w:rFonts w:eastAsia="Times New Roman" w:cs="Times New Roman"/>
          <w:szCs w:val="24"/>
        </w:rPr>
        <w:br/>
      </w:r>
      <w:r w:rsidRPr="00956BD9">
        <w:rPr>
          <w:rFonts w:eastAsia="Times New Roman" w:cs="Times New Roman"/>
          <w:szCs w:val="24"/>
        </w:rPr>
        <w:t>z tytułu wcześniejszego rozwiązania tej umowy.</w:t>
      </w:r>
    </w:p>
    <w:p w14:paraId="7FFB75C2" w14:textId="77777777" w:rsidR="00341A93" w:rsidRPr="00956BD9" w:rsidRDefault="00341A93" w:rsidP="00014AC6">
      <w:pPr>
        <w:tabs>
          <w:tab w:val="left" w:pos="1120"/>
        </w:tabs>
        <w:spacing w:line="248" w:lineRule="auto"/>
        <w:ind w:left="1140" w:right="62" w:hanging="999"/>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6</w:t>
      </w:r>
      <w:r w:rsidR="00C84928">
        <w:rPr>
          <w:rFonts w:eastAsia="Times New Roman" w:cs="Times New Roman"/>
          <w:szCs w:val="24"/>
        </w:rPr>
        <w:t>.</w:t>
      </w:r>
      <w:r w:rsidRPr="00956BD9">
        <w:rPr>
          <w:rFonts w:eastAsia="Times New Roman" w:cs="Times New Roman"/>
          <w:szCs w:val="24"/>
        </w:rPr>
        <w:tab/>
        <w:t>Jeżeli sprzedawca zaprzestał sprzedaży energii elektrycznej URD, w ramach umowy sprzedaży, a:</w:t>
      </w:r>
    </w:p>
    <w:p w14:paraId="6CE17D93" w14:textId="77777777" w:rsidR="00341A93" w:rsidRPr="00956BD9" w:rsidRDefault="00341A93">
      <w:pPr>
        <w:numPr>
          <w:ilvl w:val="1"/>
          <w:numId w:val="155"/>
        </w:numPr>
        <w:tabs>
          <w:tab w:val="left" w:pos="1700"/>
        </w:tabs>
        <w:spacing w:line="272" w:lineRule="auto"/>
        <w:ind w:left="1700" w:right="62" w:hanging="501"/>
        <w:jc w:val="both"/>
        <w:rPr>
          <w:rFonts w:eastAsia="Times New Roman" w:cs="Times New Roman"/>
          <w:szCs w:val="24"/>
        </w:rPr>
      </w:pPr>
      <w:r w:rsidRPr="00956BD9">
        <w:rPr>
          <w:rFonts w:eastAsia="Times New Roman" w:cs="Times New Roman"/>
          <w:szCs w:val="24"/>
        </w:rPr>
        <w:t>w umowie o świadczenie usług dystrybucji zawartej przez tego URD nie został wskazany sprzedawca rezerwowy lub umowa ta nie zawiera upoważnienia OSDn do zawarcia w imieniu i na rzecz URD umowy sprzedaży rezerwowej; albo</w:t>
      </w:r>
    </w:p>
    <w:p w14:paraId="219B5209" w14:textId="77777777" w:rsidR="00341A93" w:rsidRPr="00956BD9" w:rsidRDefault="00341A93" w:rsidP="00AF59C9">
      <w:pPr>
        <w:spacing w:line="18" w:lineRule="exact"/>
        <w:ind w:right="62"/>
        <w:jc w:val="both"/>
        <w:rPr>
          <w:rFonts w:eastAsia="Times New Roman" w:cs="Times New Roman"/>
          <w:szCs w:val="24"/>
        </w:rPr>
      </w:pPr>
    </w:p>
    <w:p w14:paraId="5EA6F0D2" w14:textId="77777777" w:rsidR="00341A93" w:rsidRPr="00031F1E" w:rsidRDefault="00341A93">
      <w:pPr>
        <w:numPr>
          <w:ilvl w:val="1"/>
          <w:numId w:val="155"/>
        </w:numPr>
        <w:tabs>
          <w:tab w:val="left" w:pos="1700"/>
        </w:tabs>
        <w:spacing w:line="0" w:lineRule="atLeast"/>
        <w:ind w:left="1700" w:right="62" w:hanging="501"/>
        <w:jc w:val="both"/>
        <w:rPr>
          <w:rFonts w:eastAsia="Times New Roman" w:cs="Times New Roman"/>
          <w:szCs w:val="24"/>
        </w:rPr>
      </w:pPr>
      <w:r w:rsidRPr="00031F1E">
        <w:rPr>
          <w:rFonts w:eastAsia="Times New Roman" w:cs="Times New Roman"/>
          <w:szCs w:val="24"/>
        </w:rPr>
        <w:t xml:space="preserve">sprzedawca rezerwowy wskazany przez tego URD nie może podjąć, nie podjął lub zaprzestał sprzedaży rezerwowej z przyczyn, o których mowa </w:t>
      </w:r>
      <w:r w:rsidR="00031F1E">
        <w:rPr>
          <w:rFonts w:eastAsia="Times New Roman" w:cs="Times New Roman"/>
          <w:szCs w:val="24"/>
        </w:rPr>
        <w:br/>
      </w:r>
      <w:r w:rsidRPr="00031F1E">
        <w:rPr>
          <w:rFonts w:eastAsia="Times New Roman" w:cs="Times New Roman"/>
          <w:szCs w:val="24"/>
        </w:rPr>
        <w:t>w pkt.</w:t>
      </w:r>
      <w:r w:rsidR="00031F1E">
        <w:rPr>
          <w:rFonts w:eastAsia="Times New Roman" w:cs="Times New Roman"/>
          <w:szCs w:val="24"/>
        </w:rPr>
        <w:t xml:space="preserve"> </w:t>
      </w:r>
      <w:r w:rsidRPr="00031F1E">
        <w:rPr>
          <w:rFonts w:eastAsia="Times New Roman" w:cs="Times New Roman"/>
          <w:szCs w:val="24"/>
        </w:rPr>
        <w:t>A.</w:t>
      </w:r>
      <w:r w:rsidR="000C2B9C" w:rsidRPr="00031F1E">
        <w:rPr>
          <w:rFonts w:eastAsia="Times New Roman" w:cs="Times New Roman"/>
          <w:szCs w:val="24"/>
        </w:rPr>
        <w:t>3.11.</w:t>
      </w:r>
      <w:r w:rsidRPr="00031F1E">
        <w:rPr>
          <w:rFonts w:eastAsia="Times New Roman" w:cs="Times New Roman"/>
          <w:szCs w:val="24"/>
        </w:rPr>
        <w:t>;</w:t>
      </w:r>
    </w:p>
    <w:p w14:paraId="4571820E" w14:textId="77777777" w:rsidR="00341A93" w:rsidRPr="00956BD9" w:rsidRDefault="00341A93" w:rsidP="00AF59C9">
      <w:pPr>
        <w:spacing w:line="53" w:lineRule="exact"/>
        <w:ind w:right="62"/>
        <w:jc w:val="both"/>
        <w:rPr>
          <w:rFonts w:eastAsia="Times New Roman" w:cs="Times New Roman"/>
          <w:szCs w:val="24"/>
        </w:rPr>
      </w:pPr>
    </w:p>
    <w:p w14:paraId="2E971DCA" w14:textId="77777777" w:rsidR="00341A93" w:rsidRPr="00956BD9" w:rsidRDefault="00341A93" w:rsidP="00AF59C9">
      <w:pPr>
        <w:spacing w:line="264" w:lineRule="auto"/>
        <w:ind w:left="1140" w:right="62"/>
        <w:jc w:val="both"/>
        <w:rPr>
          <w:rFonts w:eastAsia="Times New Roman" w:cs="Times New Roman"/>
          <w:szCs w:val="24"/>
        </w:rPr>
      </w:pPr>
      <w:r w:rsidRPr="00956BD9">
        <w:rPr>
          <w:rFonts w:eastAsia="Times New Roman" w:cs="Times New Roman"/>
          <w:szCs w:val="24"/>
        </w:rPr>
        <w:t xml:space="preserve">– OSDn, działając w imieniu i na rzecz tego URD, zawiera ze sprzedawcą </w:t>
      </w:r>
      <w:r w:rsidR="00D657A5">
        <w:rPr>
          <w:rFonts w:eastAsia="Times New Roman" w:cs="Times New Roman"/>
          <w:szCs w:val="24"/>
        </w:rPr>
        <w:br/>
      </w:r>
      <w:r w:rsidRPr="00956BD9">
        <w:rPr>
          <w:rFonts w:eastAsia="Times New Roman" w:cs="Times New Roman"/>
          <w:szCs w:val="24"/>
        </w:rPr>
        <w:t>z urzędu umowę kompleksową.</w:t>
      </w:r>
    </w:p>
    <w:p w14:paraId="765EABE4" w14:textId="77777777" w:rsidR="00341A93" w:rsidRPr="00956BD9" w:rsidRDefault="00341A93" w:rsidP="00AF59C9">
      <w:pPr>
        <w:spacing w:line="194" w:lineRule="exact"/>
        <w:ind w:right="62"/>
        <w:jc w:val="both"/>
        <w:rPr>
          <w:rFonts w:eastAsia="Times New Roman" w:cs="Times New Roman"/>
          <w:szCs w:val="24"/>
        </w:rPr>
      </w:pPr>
    </w:p>
    <w:p w14:paraId="28F53E0B" w14:textId="77777777" w:rsidR="00341A93" w:rsidRPr="00956BD9" w:rsidRDefault="00341A93" w:rsidP="00AF59C9">
      <w:pPr>
        <w:spacing w:line="238" w:lineRule="auto"/>
        <w:ind w:left="1140" w:right="62"/>
        <w:jc w:val="both"/>
        <w:rPr>
          <w:rFonts w:eastAsia="Times New Roman" w:cs="Times New Roman"/>
          <w:szCs w:val="24"/>
        </w:rPr>
      </w:pPr>
      <w:r w:rsidRPr="00956BD9">
        <w:rPr>
          <w:rFonts w:eastAsia="Times New Roman" w:cs="Times New Roman"/>
          <w:szCs w:val="24"/>
        </w:rPr>
        <w:t>Zawarcie umowy kompleksowej następuje poprzez złożenie przez OSDn sprzedawcy z urzędu oświadczenia o przyjęciu jego oferty, na zasadach określonych w umowie, o której mowa w pkt. A.</w:t>
      </w:r>
      <w:r w:rsidR="00D657A5">
        <w:rPr>
          <w:rFonts w:eastAsia="Times New Roman" w:cs="Times New Roman"/>
          <w:szCs w:val="24"/>
        </w:rPr>
        <w:t>4</w:t>
      </w:r>
      <w:r w:rsidRPr="00956BD9">
        <w:rPr>
          <w:rFonts w:eastAsia="Times New Roman" w:cs="Times New Roman"/>
          <w:szCs w:val="24"/>
        </w:rPr>
        <w:t>.3.7.</w:t>
      </w:r>
    </w:p>
    <w:p w14:paraId="6359FB58" w14:textId="77777777" w:rsidR="00341A93" w:rsidRPr="00956BD9" w:rsidRDefault="00341A93" w:rsidP="00AF59C9">
      <w:pPr>
        <w:spacing w:line="180" w:lineRule="exact"/>
        <w:ind w:right="62"/>
        <w:jc w:val="both"/>
        <w:rPr>
          <w:rFonts w:eastAsia="Times New Roman" w:cs="Times New Roman"/>
          <w:szCs w:val="24"/>
        </w:rPr>
      </w:pPr>
    </w:p>
    <w:p w14:paraId="0E0C4686" w14:textId="77777777" w:rsidR="00341A93" w:rsidRPr="00956BD9" w:rsidRDefault="00341A93" w:rsidP="00AF59C9">
      <w:pPr>
        <w:spacing w:line="0" w:lineRule="atLeast"/>
        <w:ind w:left="1140" w:right="62"/>
        <w:jc w:val="both"/>
        <w:rPr>
          <w:rFonts w:eastAsia="Times New Roman" w:cs="Times New Roman"/>
          <w:szCs w:val="24"/>
        </w:rPr>
      </w:pPr>
      <w:r w:rsidRPr="00956BD9">
        <w:rPr>
          <w:rFonts w:eastAsia="Times New Roman" w:cs="Times New Roman"/>
          <w:szCs w:val="24"/>
        </w:rPr>
        <w:t>Umowa kompleksowa jest zawierana na warunkach dotychczasowej umowy dystrybucyjnej w zakresie warunków świadczenia usług dystrybucji, grupy taryfowej oraz okresu rozliczeniowego, na czas nieokreślony i obowiązuje od dnia zaprzestania wykonywania umowy sprzedaży przez dotychczasowego sprzedawcę albo umowy sprzedaży rezerwowej przez sprzedawcę rezerwowego lub niepodjęcia sprzedaży rezerwowej przez takiego sprzedawcę.</w:t>
      </w:r>
    </w:p>
    <w:p w14:paraId="07FA3735" w14:textId="77777777" w:rsidR="00341A93" w:rsidRPr="00956BD9" w:rsidRDefault="00341A93" w:rsidP="00AF59C9">
      <w:pPr>
        <w:spacing w:line="171" w:lineRule="exact"/>
        <w:ind w:right="62"/>
        <w:jc w:val="both"/>
        <w:rPr>
          <w:rFonts w:eastAsia="Times New Roman" w:cs="Times New Roman"/>
          <w:szCs w:val="24"/>
        </w:rPr>
      </w:pPr>
    </w:p>
    <w:p w14:paraId="2524AC65" w14:textId="77777777" w:rsidR="00341A93" w:rsidRPr="00956BD9" w:rsidRDefault="00341A93" w:rsidP="00AF59C9">
      <w:pPr>
        <w:spacing w:line="0" w:lineRule="atLeast"/>
        <w:ind w:left="1140" w:right="62"/>
        <w:jc w:val="both"/>
        <w:rPr>
          <w:rFonts w:eastAsia="Times New Roman" w:cs="Times New Roman"/>
          <w:szCs w:val="24"/>
        </w:rPr>
      </w:pPr>
      <w:r w:rsidRPr="00956BD9">
        <w:rPr>
          <w:rFonts w:eastAsia="Times New Roman" w:cs="Times New Roman"/>
          <w:szCs w:val="24"/>
        </w:rPr>
        <w:t xml:space="preserve">Powyższych zapisów nie stosuje się do URD, o których mowa w art. 6a ust. 3 </w:t>
      </w:r>
      <w:r w:rsidR="00D657A5">
        <w:rPr>
          <w:rFonts w:eastAsia="Times New Roman" w:cs="Times New Roman"/>
          <w:szCs w:val="24"/>
        </w:rPr>
        <w:br/>
      </w:r>
      <w:r w:rsidRPr="00956BD9">
        <w:rPr>
          <w:rFonts w:eastAsia="Times New Roman" w:cs="Times New Roman"/>
          <w:szCs w:val="24"/>
        </w:rPr>
        <w:t>i art.</w:t>
      </w:r>
      <w:r w:rsidR="00D657A5">
        <w:rPr>
          <w:rFonts w:eastAsia="Times New Roman" w:cs="Times New Roman"/>
          <w:szCs w:val="24"/>
        </w:rPr>
        <w:t xml:space="preserve"> </w:t>
      </w:r>
      <w:r w:rsidRPr="00956BD9">
        <w:rPr>
          <w:rFonts w:eastAsia="Times New Roman" w:cs="Times New Roman"/>
          <w:szCs w:val="24"/>
        </w:rPr>
        <w:t>6b. ustawy Prawo energetyczne.</w:t>
      </w:r>
    </w:p>
    <w:p w14:paraId="0AF664C1" w14:textId="77777777" w:rsidR="00341A93" w:rsidRPr="00956BD9" w:rsidRDefault="00341A93" w:rsidP="00AF59C9">
      <w:pPr>
        <w:spacing w:line="166" w:lineRule="exact"/>
        <w:ind w:right="62"/>
        <w:jc w:val="both"/>
        <w:rPr>
          <w:rFonts w:eastAsia="Times New Roman" w:cs="Times New Roman"/>
          <w:szCs w:val="24"/>
        </w:rPr>
      </w:pPr>
    </w:p>
    <w:p w14:paraId="2983ED39" w14:textId="77777777" w:rsidR="00341A93" w:rsidRPr="00956BD9" w:rsidRDefault="00341A93" w:rsidP="00AF59C9">
      <w:pPr>
        <w:spacing w:line="0" w:lineRule="atLeast"/>
        <w:ind w:left="1140" w:right="62"/>
        <w:jc w:val="both"/>
        <w:rPr>
          <w:rFonts w:eastAsia="Times New Roman" w:cs="Times New Roman"/>
          <w:szCs w:val="24"/>
        </w:rPr>
      </w:pPr>
      <w:r w:rsidRPr="00956BD9">
        <w:rPr>
          <w:rFonts w:eastAsia="Times New Roman" w:cs="Times New Roman"/>
          <w:szCs w:val="24"/>
        </w:rPr>
        <w:t>Pkt. B.5. stosuje się odpowiednio.</w:t>
      </w:r>
    </w:p>
    <w:p w14:paraId="45306485" w14:textId="77777777" w:rsidR="00341A93" w:rsidRPr="00956BD9" w:rsidRDefault="00341A93" w:rsidP="00AF59C9">
      <w:pPr>
        <w:spacing w:line="239" w:lineRule="auto"/>
        <w:ind w:left="1140" w:right="62"/>
        <w:jc w:val="both"/>
        <w:rPr>
          <w:rFonts w:eastAsia="Times New Roman" w:cs="Times New Roman"/>
          <w:szCs w:val="24"/>
        </w:rPr>
      </w:pPr>
      <w:bookmarkStart w:id="83" w:name="page14"/>
      <w:bookmarkEnd w:id="83"/>
      <w:r w:rsidRPr="00956BD9">
        <w:rPr>
          <w:rFonts w:eastAsia="Times New Roman" w:cs="Times New Roman"/>
          <w:szCs w:val="24"/>
        </w:rPr>
        <w:t xml:space="preserve">Sprzedawca z urzędu jest zobowiązany do złożenia oferty zawierania umów kompleksowych z URD, na zasadach określonych w umowie, o której mowa </w:t>
      </w:r>
      <w:r w:rsidRPr="00956BD9">
        <w:rPr>
          <w:rFonts w:eastAsia="Times New Roman" w:cs="Times New Roman"/>
          <w:szCs w:val="24"/>
        </w:rPr>
        <w:br/>
        <w:t>w pkt. A.</w:t>
      </w:r>
      <w:r w:rsidR="00D657A5">
        <w:rPr>
          <w:rFonts w:eastAsia="Times New Roman" w:cs="Times New Roman"/>
          <w:szCs w:val="24"/>
        </w:rPr>
        <w:t>4</w:t>
      </w:r>
      <w:r w:rsidRPr="00956BD9">
        <w:rPr>
          <w:rFonts w:eastAsia="Times New Roman" w:cs="Times New Roman"/>
          <w:szCs w:val="24"/>
        </w:rPr>
        <w:t>.3.7. i w okresie, w którym pełni zadania sprzedawcy z urzędu - nie może tej oferty wycofać.</w:t>
      </w:r>
    </w:p>
    <w:p w14:paraId="6C8D20B9" w14:textId="77777777" w:rsidR="00341A93" w:rsidRPr="00956BD9" w:rsidRDefault="00341A93" w:rsidP="00D657A5">
      <w:pPr>
        <w:spacing w:line="180" w:lineRule="exact"/>
        <w:ind w:right="282"/>
        <w:jc w:val="both"/>
        <w:rPr>
          <w:rFonts w:eastAsia="Times New Roman" w:cs="Times New Roman"/>
          <w:szCs w:val="24"/>
        </w:rPr>
      </w:pPr>
    </w:p>
    <w:p w14:paraId="7D2D5450" w14:textId="77777777" w:rsidR="00341A93" w:rsidRPr="00956BD9" w:rsidRDefault="00341A93" w:rsidP="00AF59C9">
      <w:pPr>
        <w:spacing w:line="235" w:lineRule="auto"/>
        <w:ind w:left="1140" w:right="62"/>
        <w:jc w:val="both"/>
        <w:rPr>
          <w:rFonts w:eastAsia="Times New Roman" w:cs="Times New Roman"/>
          <w:szCs w:val="24"/>
        </w:rPr>
      </w:pPr>
      <w:r w:rsidRPr="00956BD9">
        <w:rPr>
          <w:rFonts w:eastAsia="Times New Roman" w:cs="Times New Roman"/>
          <w:szCs w:val="24"/>
        </w:rPr>
        <w:t>Zasady składania oferty oraz wzór oświadczenia o przyjęciu oferty określa umowa, o której mowa w pkt. A.</w:t>
      </w:r>
      <w:r w:rsidR="00D657A5">
        <w:rPr>
          <w:rFonts w:eastAsia="Times New Roman" w:cs="Times New Roman"/>
          <w:szCs w:val="24"/>
        </w:rPr>
        <w:t>4</w:t>
      </w:r>
      <w:r w:rsidRPr="00956BD9">
        <w:rPr>
          <w:rFonts w:eastAsia="Times New Roman" w:cs="Times New Roman"/>
          <w:szCs w:val="24"/>
        </w:rPr>
        <w:t>.3.7.</w:t>
      </w:r>
    </w:p>
    <w:p w14:paraId="4F086BAF" w14:textId="77777777" w:rsidR="00341A93" w:rsidRPr="00956BD9" w:rsidRDefault="00341A93" w:rsidP="00AF59C9">
      <w:pPr>
        <w:tabs>
          <w:tab w:val="left" w:pos="1120"/>
        </w:tabs>
        <w:spacing w:line="0" w:lineRule="atLeast"/>
        <w:ind w:left="140" w:right="62"/>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7</w:t>
      </w:r>
      <w:r w:rsidRPr="00956BD9">
        <w:rPr>
          <w:rFonts w:eastAsia="Times New Roman" w:cs="Times New Roman"/>
          <w:szCs w:val="24"/>
        </w:rPr>
        <w:t>.</w:t>
      </w:r>
      <w:r w:rsidRPr="00956BD9">
        <w:rPr>
          <w:rFonts w:eastAsia="Times New Roman" w:cs="Times New Roman"/>
          <w:szCs w:val="24"/>
        </w:rPr>
        <w:tab/>
        <w:t>OSDn w terminie 5 dni kalendarzowych:</w:t>
      </w:r>
    </w:p>
    <w:p w14:paraId="111804B3" w14:textId="77777777" w:rsidR="00341A93" w:rsidRPr="00956BD9" w:rsidRDefault="00341A93">
      <w:pPr>
        <w:numPr>
          <w:ilvl w:val="0"/>
          <w:numId w:val="156"/>
        </w:numPr>
        <w:tabs>
          <w:tab w:val="left" w:pos="1420"/>
        </w:tabs>
        <w:spacing w:line="274" w:lineRule="auto"/>
        <w:ind w:left="1420" w:right="62" w:hanging="281"/>
        <w:jc w:val="both"/>
        <w:rPr>
          <w:rFonts w:eastAsia="Times New Roman" w:cs="Times New Roman"/>
          <w:szCs w:val="24"/>
        </w:rPr>
      </w:pPr>
      <w:r w:rsidRPr="00956BD9">
        <w:rPr>
          <w:rFonts w:eastAsia="Times New Roman" w:cs="Times New Roman"/>
          <w:szCs w:val="24"/>
        </w:rPr>
        <w:t>od złożenia sprzedawcy przez OSDn oświadczenia, o którym mowa w pkt. A.</w:t>
      </w:r>
      <w:r w:rsidR="00D657A5">
        <w:rPr>
          <w:rFonts w:eastAsia="Times New Roman" w:cs="Times New Roman"/>
          <w:szCs w:val="24"/>
        </w:rPr>
        <w:t>8</w:t>
      </w:r>
      <w:r w:rsidRPr="00956BD9">
        <w:rPr>
          <w:rFonts w:eastAsia="Times New Roman" w:cs="Times New Roman"/>
          <w:szCs w:val="24"/>
        </w:rPr>
        <w:t>.</w:t>
      </w:r>
      <w:r w:rsidR="0040259E">
        <w:rPr>
          <w:rFonts w:eastAsia="Times New Roman" w:cs="Times New Roman"/>
          <w:szCs w:val="24"/>
        </w:rPr>
        <w:t>2</w:t>
      </w:r>
      <w:r w:rsidRPr="00956BD9">
        <w:rPr>
          <w:rFonts w:eastAsia="Times New Roman" w:cs="Times New Roman"/>
          <w:szCs w:val="24"/>
        </w:rPr>
        <w:t xml:space="preserve">., wyśle URD informację o przyczynach zawarcia umowy sprzedaży rezerwowej, osobie sprzedawcy rezerwowego i jego danych teleadresowych, prawie tego URD do wypowiedzenia umowy lub odstąpienia od umowy </w:t>
      </w:r>
      <w:r w:rsidR="00D657A5">
        <w:rPr>
          <w:rFonts w:eastAsia="Times New Roman" w:cs="Times New Roman"/>
          <w:szCs w:val="24"/>
        </w:rPr>
        <w:br/>
      </w:r>
      <w:r w:rsidRPr="00956BD9">
        <w:rPr>
          <w:rFonts w:eastAsia="Times New Roman" w:cs="Times New Roman"/>
          <w:szCs w:val="24"/>
        </w:rPr>
        <w:t xml:space="preserve">(w przypadku URD będących konsumentami) oraz o miejscu opublikowania </w:t>
      </w:r>
      <w:r w:rsidRPr="00956BD9">
        <w:rPr>
          <w:rFonts w:eastAsia="Times New Roman" w:cs="Times New Roman"/>
          <w:szCs w:val="24"/>
        </w:rPr>
        <w:lastRenderedPageBreak/>
        <w:t>przez sprzedawcę rezerwowego innych warunków umowy sprzedaży rezerwowe, w tym ceny, albo</w:t>
      </w:r>
    </w:p>
    <w:p w14:paraId="6178FE9F" w14:textId="77777777" w:rsidR="00341A93" w:rsidRPr="00956BD9" w:rsidRDefault="00341A93" w:rsidP="00AF59C9">
      <w:pPr>
        <w:spacing w:line="15" w:lineRule="exact"/>
        <w:ind w:right="62"/>
        <w:jc w:val="both"/>
        <w:rPr>
          <w:rFonts w:eastAsia="Times New Roman" w:cs="Times New Roman"/>
          <w:szCs w:val="24"/>
        </w:rPr>
      </w:pPr>
    </w:p>
    <w:p w14:paraId="79CD116B" w14:textId="77777777" w:rsidR="00341A93" w:rsidRPr="00956BD9" w:rsidRDefault="00341A93">
      <w:pPr>
        <w:numPr>
          <w:ilvl w:val="0"/>
          <w:numId w:val="156"/>
        </w:numPr>
        <w:tabs>
          <w:tab w:val="left" w:pos="1420"/>
        </w:tabs>
        <w:spacing w:line="273" w:lineRule="auto"/>
        <w:ind w:left="1420" w:right="62" w:hanging="281"/>
        <w:jc w:val="both"/>
        <w:rPr>
          <w:rFonts w:eastAsia="Times New Roman" w:cs="Times New Roman"/>
          <w:szCs w:val="24"/>
        </w:rPr>
      </w:pPr>
      <w:r w:rsidRPr="00956BD9">
        <w:rPr>
          <w:rFonts w:eastAsia="Times New Roman" w:cs="Times New Roman"/>
          <w:szCs w:val="24"/>
        </w:rPr>
        <w:t xml:space="preserve">od złożenia sprzedawcy z urzędu przez OSDn oświadczenia, o którym mowa </w:t>
      </w:r>
      <w:r w:rsidRPr="00956BD9">
        <w:rPr>
          <w:rFonts w:eastAsia="Times New Roman" w:cs="Times New Roman"/>
          <w:szCs w:val="24"/>
        </w:rPr>
        <w:br/>
        <w:t>w pkt. A.</w:t>
      </w:r>
      <w:r w:rsidR="00312D5B">
        <w:rPr>
          <w:rFonts w:eastAsia="Times New Roman" w:cs="Times New Roman"/>
          <w:szCs w:val="24"/>
        </w:rPr>
        <w:t>8.19</w:t>
      </w:r>
      <w:r w:rsidRPr="00956BD9">
        <w:rPr>
          <w:rFonts w:eastAsia="Times New Roman" w:cs="Times New Roman"/>
          <w:szCs w:val="24"/>
        </w:rPr>
        <w:t xml:space="preserve">. wyśle URD informację o przyczynach zawarcia umowy kompleksowej, osobie sprzedawcy z urzędu i jego danych teleadresowych, prawie tego URD do wypowiedzenia umowy lub odstąpienia od umowy </w:t>
      </w:r>
      <w:r w:rsidRPr="00956BD9">
        <w:rPr>
          <w:rFonts w:eastAsia="Times New Roman" w:cs="Times New Roman"/>
          <w:szCs w:val="24"/>
        </w:rPr>
        <w:br/>
        <w:t>(w przypadku URD będących konsumentami).</w:t>
      </w:r>
    </w:p>
    <w:p w14:paraId="4B223925" w14:textId="77777777" w:rsidR="00341A93" w:rsidRPr="00956BD9" w:rsidRDefault="00341A93" w:rsidP="00AF59C9">
      <w:pPr>
        <w:tabs>
          <w:tab w:val="left" w:pos="1120"/>
        </w:tabs>
        <w:spacing w:line="241" w:lineRule="auto"/>
        <w:ind w:left="1140" w:right="62" w:hanging="999"/>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8.</w:t>
      </w:r>
      <w:r w:rsidRPr="00956BD9">
        <w:rPr>
          <w:rFonts w:eastAsia="Times New Roman" w:cs="Times New Roman"/>
          <w:szCs w:val="24"/>
        </w:rPr>
        <w:tab/>
        <w:t xml:space="preserve">Po zawarciu umowy sprzedaży rezerwowej lub umowy kompleksowej z URD będącym konsumentem w trybie określonym w niniejszym rozdziale, realizacja tej umowy oraz spełnienie obowiązków wobec tych URD zgodnie z ustawą </w:t>
      </w:r>
      <w:r w:rsidR="001961D7">
        <w:rPr>
          <w:rFonts w:eastAsia="Times New Roman" w:cs="Times New Roman"/>
          <w:szCs w:val="24"/>
        </w:rPr>
        <w:br/>
      </w:r>
      <w:r w:rsidRPr="00956BD9">
        <w:rPr>
          <w:rFonts w:eastAsia="Times New Roman" w:cs="Times New Roman"/>
          <w:szCs w:val="24"/>
        </w:rPr>
        <w:t>z dnia 30 maja 2014r. o prawach konsumenta, dokonywane są bezpośrednio pomiędzy sprzedawcą rezerwowym lub sprzedawcą z urzędu a tymi URD.</w:t>
      </w:r>
    </w:p>
    <w:p w14:paraId="7AF72345" w14:textId="77777777" w:rsidR="00341A93" w:rsidRPr="00956BD9" w:rsidRDefault="00341A93" w:rsidP="00AF59C9">
      <w:pPr>
        <w:tabs>
          <w:tab w:val="left" w:pos="1120"/>
        </w:tabs>
        <w:spacing w:line="253" w:lineRule="auto"/>
        <w:ind w:left="1140" w:right="62" w:hanging="999"/>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9</w:t>
      </w:r>
      <w:r w:rsidRPr="00956BD9">
        <w:rPr>
          <w:rFonts w:eastAsia="Times New Roman" w:cs="Times New Roman"/>
          <w:szCs w:val="24"/>
        </w:rPr>
        <w:t>.</w:t>
      </w:r>
      <w:r w:rsidRPr="00956BD9">
        <w:rPr>
          <w:rFonts w:eastAsia="Times New Roman" w:cs="Times New Roman"/>
          <w:szCs w:val="24"/>
        </w:rPr>
        <w:tab/>
        <w:t>Sprzedawca zobowiązuje się powiadomić OSDn o zakończeniu umowy sprzedaży rezerwowej lub umowy kompleksowej, o której mowa w pkt. A.</w:t>
      </w:r>
      <w:r w:rsidR="00DC1259">
        <w:rPr>
          <w:rFonts w:eastAsia="Times New Roman" w:cs="Times New Roman"/>
          <w:szCs w:val="24"/>
        </w:rPr>
        <w:t>8.</w:t>
      </w:r>
      <w:r w:rsidR="00FA0189">
        <w:rPr>
          <w:rFonts w:eastAsia="Times New Roman" w:cs="Times New Roman"/>
          <w:szCs w:val="24"/>
        </w:rPr>
        <w:t>6</w:t>
      </w:r>
      <w:r w:rsidR="00DC1259">
        <w:rPr>
          <w:rFonts w:eastAsia="Times New Roman" w:cs="Times New Roman"/>
          <w:szCs w:val="24"/>
        </w:rPr>
        <w:t>.</w:t>
      </w:r>
      <w:r w:rsidRPr="00956BD9">
        <w:rPr>
          <w:rFonts w:eastAsia="Times New Roman" w:cs="Times New Roman"/>
          <w:szCs w:val="24"/>
        </w:rPr>
        <w:t xml:space="preserve">, zgodnie z pkt. </w:t>
      </w:r>
      <w:r w:rsidR="00DC1259">
        <w:rPr>
          <w:rFonts w:eastAsia="Times New Roman" w:cs="Times New Roman"/>
          <w:szCs w:val="24"/>
        </w:rPr>
        <w:t>D.</w:t>
      </w:r>
      <w:r w:rsidR="00922B65">
        <w:rPr>
          <w:rFonts w:eastAsia="Times New Roman" w:cs="Times New Roman"/>
          <w:szCs w:val="24"/>
        </w:rPr>
        <w:t>2</w:t>
      </w:r>
      <w:r w:rsidR="00DC1259">
        <w:rPr>
          <w:rFonts w:eastAsia="Times New Roman" w:cs="Times New Roman"/>
          <w:szCs w:val="24"/>
        </w:rPr>
        <w:t>.7</w:t>
      </w:r>
      <w:r w:rsidRPr="00956BD9">
        <w:rPr>
          <w:rFonts w:eastAsia="Times New Roman" w:cs="Times New Roman"/>
          <w:szCs w:val="24"/>
        </w:rPr>
        <w:t>.</w:t>
      </w:r>
    </w:p>
    <w:p w14:paraId="7610FE4E" w14:textId="77777777" w:rsidR="00341A93" w:rsidRPr="00956BD9" w:rsidRDefault="00341A93" w:rsidP="00AF59C9">
      <w:pPr>
        <w:tabs>
          <w:tab w:val="left" w:pos="1120"/>
          <w:tab w:val="left" w:pos="8789"/>
        </w:tabs>
        <w:spacing w:line="238" w:lineRule="auto"/>
        <w:ind w:left="1140" w:right="62" w:hanging="999"/>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10</w:t>
      </w:r>
      <w:r w:rsidR="00C84928">
        <w:rPr>
          <w:rFonts w:eastAsia="Times New Roman" w:cs="Times New Roman"/>
          <w:szCs w:val="24"/>
        </w:rPr>
        <w:t>.</w:t>
      </w:r>
      <w:r w:rsidRPr="00956BD9">
        <w:rPr>
          <w:rFonts w:eastAsia="Times New Roman" w:cs="Times New Roman"/>
          <w:szCs w:val="24"/>
        </w:rPr>
        <w:tab/>
      </w:r>
      <w:r>
        <w:rPr>
          <w:rFonts w:eastAsia="Times New Roman" w:cs="Times New Roman"/>
          <w:szCs w:val="24"/>
        </w:rPr>
        <w:t>OSDn</w:t>
      </w:r>
      <w:r w:rsidRPr="00956BD9">
        <w:rPr>
          <w:rFonts w:eastAsia="Times New Roman" w:cs="Times New Roman"/>
          <w:szCs w:val="24"/>
        </w:rPr>
        <w:t xml:space="preserve"> udostępnia sprzedawcy rezerwowemu odczyty wskazań układu pomiarowo-rozliczeniowego na dzień rozwiązania umowy sprzedaży rezerwowej.</w:t>
      </w:r>
    </w:p>
    <w:p w14:paraId="04F8FA70" w14:textId="77777777" w:rsidR="00341A93" w:rsidRPr="00956BD9" w:rsidRDefault="00341A93" w:rsidP="00AF59C9">
      <w:pPr>
        <w:tabs>
          <w:tab w:val="left" w:pos="8789"/>
        </w:tabs>
        <w:spacing w:line="185" w:lineRule="exact"/>
        <w:ind w:right="62"/>
        <w:jc w:val="both"/>
        <w:rPr>
          <w:rFonts w:eastAsia="Times New Roman" w:cs="Times New Roman"/>
          <w:szCs w:val="24"/>
        </w:rPr>
      </w:pPr>
    </w:p>
    <w:p w14:paraId="5EAC5727" w14:textId="77777777" w:rsidR="00017A33" w:rsidRDefault="00341A93" w:rsidP="00AF59C9">
      <w:pPr>
        <w:tabs>
          <w:tab w:val="left" w:pos="8789"/>
        </w:tabs>
        <w:spacing w:line="238" w:lineRule="auto"/>
        <w:ind w:left="1140" w:right="62"/>
        <w:jc w:val="both"/>
        <w:rPr>
          <w:rFonts w:eastAsia="Times New Roman" w:cs="Times New Roman"/>
          <w:szCs w:val="24"/>
        </w:rPr>
      </w:pPr>
      <w:r>
        <w:rPr>
          <w:rFonts w:eastAsia="Times New Roman" w:cs="Times New Roman"/>
          <w:szCs w:val="24"/>
        </w:rPr>
        <w:t xml:space="preserve">OSDn </w:t>
      </w:r>
      <w:r w:rsidRPr="00956BD9">
        <w:rPr>
          <w:rFonts w:eastAsia="Times New Roman" w:cs="Times New Roman"/>
          <w:szCs w:val="24"/>
        </w:rPr>
        <w:t>udostępnia dotychczasowemu sprzedawcy i sprzedawcy z urzędu dane dotyczące ilości energii elektrycznej zużytej przez URD, w terminie 14 dni od dnia rozpoczęcia sprzedaży przez sprzedawcę z urzędu temu URD.</w:t>
      </w:r>
    </w:p>
    <w:p w14:paraId="1498636A" w14:textId="77777777" w:rsidR="00341A93" w:rsidRPr="00956BD9" w:rsidRDefault="00341A93" w:rsidP="00AF59C9">
      <w:pPr>
        <w:tabs>
          <w:tab w:val="left" w:pos="8789"/>
        </w:tabs>
        <w:spacing w:line="238" w:lineRule="auto"/>
        <w:ind w:left="1134" w:right="62" w:hanging="992"/>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11</w:t>
      </w:r>
      <w:r w:rsidR="00C84928">
        <w:rPr>
          <w:rFonts w:eastAsia="Times New Roman" w:cs="Times New Roman"/>
          <w:szCs w:val="24"/>
        </w:rPr>
        <w:t>.</w:t>
      </w:r>
      <w:r w:rsidRPr="00956BD9">
        <w:rPr>
          <w:rFonts w:eastAsia="Times New Roman" w:cs="Times New Roman"/>
          <w:szCs w:val="24"/>
        </w:rPr>
        <w:tab/>
        <w:t>W przypadku zakończenia obowiązywania umowy sprzedaży i niezgłoszenia lub nieskutecznego zgłoszenia nowej umowy sprzedaży albo umowy kompleksowej, w przypadku URD, o których mowa w art. 6a ust. 3 i art. 6b. ustawy Prawo energetyczne, OSDn zaprzestaje dostarczania energii elektrycznej URD.</w:t>
      </w:r>
    </w:p>
    <w:p w14:paraId="352A90BB" w14:textId="77777777" w:rsidR="00341A93" w:rsidRPr="00956BD9" w:rsidRDefault="00341A93" w:rsidP="00AF59C9">
      <w:pPr>
        <w:tabs>
          <w:tab w:val="left" w:pos="1120"/>
          <w:tab w:val="left" w:pos="8789"/>
        </w:tabs>
        <w:spacing w:line="255" w:lineRule="auto"/>
        <w:ind w:left="1140" w:right="62" w:hanging="999"/>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12</w:t>
      </w:r>
      <w:r w:rsidRPr="00956BD9">
        <w:rPr>
          <w:rFonts w:eastAsia="Times New Roman" w:cs="Times New Roman"/>
          <w:szCs w:val="24"/>
        </w:rPr>
        <w:t>.</w:t>
      </w:r>
      <w:r w:rsidRPr="00956BD9">
        <w:rPr>
          <w:rFonts w:eastAsia="Times New Roman" w:cs="Times New Roman"/>
          <w:szCs w:val="24"/>
        </w:rPr>
        <w:tab/>
        <w:t xml:space="preserve">W przypadku, gdy umowa sprzedaży rezerwowej przestała obowiązywać lub uległa rozwiązaniu, a OSDn nie otrzymał informacji o zawarciu przez URD umowy kompleksowej lub umowy sprzedaży zgodnie z </w:t>
      </w:r>
      <w:r w:rsidRPr="00CC37AE">
        <w:rPr>
          <w:rFonts w:eastAsia="Times New Roman" w:cs="Times New Roman"/>
          <w:szCs w:val="24"/>
        </w:rPr>
        <w:t xml:space="preserve">pkt. </w:t>
      </w:r>
      <w:r w:rsidR="00107DEA" w:rsidRPr="00CC37AE">
        <w:rPr>
          <w:rFonts w:eastAsia="Times New Roman" w:cs="Times New Roman"/>
          <w:szCs w:val="24"/>
        </w:rPr>
        <w:t>D.2.</w:t>
      </w:r>
      <w:r w:rsidRPr="00CC37AE">
        <w:rPr>
          <w:rFonts w:eastAsia="Times New Roman" w:cs="Times New Roman"/>
          <w:szCs w:val="24"/>
        </w:rPr>
        <w:t>, OSDn zaprzestaje dostarczania energii elektrycznej URD.</w:t>
      </w:r>
    </w:p>
    <w:p w14:paraId="3CFF2AC1" w14:textId="77777777" w:rsidR="00341A93" w:rsidRPr="00956BD9" w:rsidRDefault="00341A93" w:rsidP="00AF59C9">
      <w:pPr>
        <w:tabs>
          <w:tab w:val="left" w:pos="1120"/>
        </w:tabs>
        <w:spacing w:line="255" w:lineRule="auto"/>
        <w:ind w:left="1140" w:right="62" w:hanging="999"/>
        <w:jc w:val="both"/>
        <w:rPr>
          <w:rFonts w:eastAsia="Times New Roman" w:cs="Times New Roman"/>
          <w:szCs w:val="24"/>
        </w:rPr>
      </w:pPr>
      <w:r w:rsidRPr="00956BD9">
        <w:rPr>
          <w:rFonts w:eastAsia="Times New Roman" w:cs="Times New Roman"/>
          <w:szCs w:val="24"/>
        </w:rPr>
        <w:t>A.</w:t>
      </w:r>
      <w:r w:rsidR="00C84928">
        <w:rPr>
          <w:rFonts w:eastAsia="Times New Roman" w:cs="Times New Roman"/>
          <w:szCs w:val="24"/>
        </w:rPr>
        <w:t>8.</w:t>
      </w:r>
      <w:r w:rsidR="00215C57">
        <w:rPr>
          <w:rFonts w:eastAsia="Times New Roman" w:cs="Times New Roman"/>
          <w:szCs w:val="24"/>
        </w:rPr>
        <w:t>13</w:t>
      </w:r>
      <w:r w:rsidR="00C84928">
        <w:rPr>
          <w:rFonts w:eastAsia="Times New Roman" w:cs="Times New Roman"/>
          <w:szCs w:val="24"/>
        </w:rPr>
        <w:t>.</w:t>
      </w:r>
      <w:r w:rsidRPr="00956BD9">
        <w:rPr>
          <w:rFonts w:eastAsia="Times New Roman" w:cs="Times New Roman"/>
          <w:szCs w:val="24"/>
        </w:rPr>
        <w:tab/>
        <w:t>Umowa kompleksowa, o której mowa w pkt. A.</w:t>
      </w:r>
      <w:r w:rsidR="00107DEA">
        <w:rPr>
          <w:rFonts w:eastAsia="Times New Roman" w:cs="Times New Roman"/>
          <w:szCs w:val="24"/>
        </w:rPr>
        <w:t>8</w:t>
      </w:r>
      <w:r w:rsidRPr="00956BD9">
        <w:rPr>
          <w:rFonts w:eastAsia="Times New Roman" w:cs="Times New Roman"/>
          <w:szCs w:val="24"/>
        </w:rPr>
        <w:t>.</w:t>
      </w:r>
      <w:r w:rsidR="00D94FC0">
        <w:rPr>
          <w:rFonts w:eastAsia="Times New Roman" w:cs="Times New Roman"/>
          <w:szCs w:val="24"/>
        </w:rPr>
        <w:t>6</w:t>
      </w:r>
      <w:r w:rsidRPr="00956BD9">
        <w:rPr>
          <w:rFonts w:eastAsia="Times New Roman" w:cs="Times New Roman"/>
          <w:szCs w:val="24"/>
        </w:rPr>
        <w:t>. albo umowa sprzedaży rezerwowej, o której mowa w pkt. A.</w:t>
      </w:r>
      <w:r w:rsidR="00107DEA">
        <w:rPr>
          <w:rFonts w:eastAsia="Times New Roman" w:cs="Times New Roman"/>
          <w:szCs w:val="24"/>
        </w:rPr>
        <w:t>8</w:t>
      </w:r>
      <w:r w:rsidRPr="00956BD9">
        <w:rPr>
          <w:rFonts w:eastAsia="Times New Roman" w:cs="Times New Roman"/>
          <w:szCs w:val="24"/>
        </w:rPr>
        <w:t>.</w:t>
      </w:r>
      <w:r w:rsidR="00D94FC0">
        <w:rPr>
          <w:rFonts w:eastAsia="Times New Roman" w:cs="Times New Roman"/>
          <w:szCs w:val="24"/>
        </w:rPr>
        <w:t>2</w:t>
      </w:r>
      <w:r w:rsidRPr="00956BD9">
        <w:rPr>
          <w:rFonts w:eastAsia="Times New Roman" w:cs="Times New Roman"/>
          <w:szCs w:val="24"/>
        </w:rPr>
        <w:t>., ulega rozwiązaniu z dniem rozpoczęcia, zgodnie z IRiESD, świadczenia usługi kompleksowej albo sprzedaży energii elektrycznej, na podstawie umowy zawartej z wybranym przez URD sprzedawcą.</w:t>
      </w:r>
    </w:p>
    <w:p w14:paraId="2417F945" w14:textId="77777777" w:rsidR="00572BA3" w:rsidRDefault="00572BA3">
      <w:pPr>
        <w:spacing w:line="324" w:lineRule="exact"/>
        <w:rPr>
          <w:rFonts w:eastAsia="Times New Roman"/>
        </w:rPr>
      </w:pPr>
    </w:p>
    <w:p w14:paraId="46C286A9" w14:textId="77777777" w:rsidR="00572BA3" w:rsidRDefault="00572BA3" w:rsidP="00E93D25">
      <w:pPr>
        <w:pStyle w:val="Nagwek2"/>
      </w:pPr>
      <w:bookmarkStart w:id="84" w:name="_Toc141963916"/>
      <w:r>
        <w:t>A.9.</w:t>
      </w:r>
      <w:r>
        <w:tab/>
        <w:t>ZASADY WYMIANY INFORMACJI</w:t>
      </w:r>
      <w:bookmarkEnd w:id="84"/>
    </w:p>
    <w:p w14:paraId="2FB4DCE2" w14:textId="77777777" w:rsidR="00572BA3" w:rsidRDefault="00572BA3">
      <w:pPr>
        <w:spacing w:line="200" w:lineRule="exact"/>
        <w:rPr>
          <w:rFonts w:eastAsia="Times New Roman"/>
        </w:rPr>
      </w:pPr>
    </w:p>
    <w:tbl>
      <w:tblPr>
        <w:tblW w:w="0" w:type="auto"/>
        <w:tblLayout w:type="fixed"/>
        <w:tblCellMar>
          <w:left w:w="70" w:type="dxa"/>
          <w:right w:w="70" w:type="dxa"/>
        </w:tblCellMar>
        <w:tblLook w:val="0000" w:firstRow="0" w:lastRow="0" w:firstColumn="0" w:lastColumn="0" w:noHBand="0" w:noVBand="0"/>
      </w:tblPr>
      <w:tblGrid>
        <w:gridCol w:w="1063"/>
        <w:gridCol w:w="8079"/>
      </w:tblGrid>
      <w:tr w:rsidR="00E70AF6" w:rsidRPr="00C3032C" w14:paraId="5AFF483B" w14:textId="77777777" w:rsidTr="00C45184">
        <w:tc>
          <w:tcPr>
            <w:tcW w:w="1063" w:type="dxa"/>
            <w:shd w:val="clear" w:color="auto" w:fill="auto"/>
          </w:tcPr>
          <w:p w14:paraId="488A9BA0" w14:textId="77777777" w:rsidR="00E70AF6" w:rsidRPr="00C3032C" w:rsidRDefault="00E70AF6" w:rsidP="00273E8A">
            <w:bookmarkStart w:id="85" w:name="_Toc459192672"/>
            <w:bookmarkStart w:id="86" w:name="_Toc481136147"/>
            <w:r w:rsidRPr="00C3032C">
              <w:t>A.</w:t>
            </w:r>
            <w:r>
              <w:t>9</w:t>
            </w:r>
            <w:r w:rsidRPr="00C3032C">
              <w:t>.1.</w:t>
            </w:r>
            <w:bookmarkEnd w:id="85"/>
            <w:bookmarkEnd w:id="86"/>
          </w:p>
        </w:tc>
        <w:tc>
          <w:tcPr>
            <w:tcW w:w="8079" w:type="dxa"/>
            <w:shd w:val="clear" w:color="auto" w:fill="auto"/>
          </w:tcPr>
          <w:p w14:paraId="08811495" w14:textId="77777777" w:rsidR="00E70AF6" w:rsidRPr="00C3032C" w:rsidRDefault="00E70AF6" w:rsidP="0037635E">
            <w:pPr>
              <w:pStyle w:val="Default"/>
              <w:jc w:val="both"/>
              <w:rPr>
                <w:color w:val="auto"/>
              </w:rPr>
            </w:pPr>
            <w:r w:rsidRPr="00C3032C">
              <w:rPr>
                <w:color w:val="auto"/>
              </w:rPr>
              <w:t xml:space="preserve">Wymiana informacji między OSDn i sprzedawcami odbywa się pisemnie lub o ile </w:t>
            </w:r>
            <w:r w:rsidRPr="00DA4631">
              <w:rPr>
                <w:color w:val="auto"/>
              </w:rPr>
              <w:t xml:space="preserve">generalna umowa dystrybucyjna tak stanowi - pocztą elektroniczną na wskazane </w:t>
            </w:r>
            <w:r>
              <w:rPr>
                <w:color w:val="auto"/>
              </w:rPr>
              <w:br/>
            </w:r>
            <w:r w:rsidRPr="00DA4631">
              <w:rPr>
                <w:color w:val="auto"/>
              </w:rPr>
              <w:t>w tej umowie adresy e-mail lub w inny sposób wskazany w tej umowie.</w:t>
            </w:r>
          </w:p>
        </w:tc>
      </w:tr>
      <w:tr w:rsidR="0037635E" w:rsidRPr="00C3032C" w14:paraId="2510936F" w14:textId="77777777" w:rsidTr="00C45184">
        <w:tc>
          <w:tcPr>
            <w:tcW w:w="1063" w:type="dxa"/>
            <w:shd w:val="clear" w:color="auto" w:fill="auto"/>
          </w:tcPr>
          <w:p w14:paraId="6AFF5CE7" w14:textId="77777777" w:rsidR="0037635E" w:rsidRDefault="0037635E" w:rsidP="00273E8A">
            <w:r>
              <w:t>A.9.2.</w:t>
            </w:r>
          </w:p>
          <w:p w14:paraId="35F30A69" w14:textId="77777777" w:rsidR="000F4307" w:rsidRDefault="000F4307" w:rsidP="00273E8A"/>
          <w:p w14:paraId="741562A3" w14:textId="77777777" w:rsidR="000F4307" w:rsidRDefault="000F4307" w:rsidP="00273E8A"/>
          <w:p w14:paraId="105B18F7" w14:textId="77777777" w:rsidR="000F4307" w:rsidRDefault="000F4307" w:rsidP="00273E8A"/>
          <w:p w14:paraId="5F9CFE21" w14:textId="77777777" w:rsidR="000F4307" w:rsidRDefault="000F4307" w:rsidP="00273E8A"/>
          <w:p w14:paraId="11D674F3" w14:textId="47EBB183" w:rsidR="000F4307" w:rsidRDefault="000F4307" w:rsidP="000F4307">
            <w:r>
              <w:t>A.9.3.</w:t>
            </w:r>
          </w:p>
          <w:p w14:paraId="41290E0F" w14:textId="77777777" w:rsidR="00F745EF" w:rsidRDefault="00F745EF" w:rsidP="000F4307"/>
          <w:p w14:paraId="198E0807" w14:textId="77777777" w:rsidR="00F745EF" w:rsidRDefault="00F745EF" w:rsidP="000F4307"/>
          <w:p w14:paraId="626246A9" w14:textId="77777777" w:rsidR="00F745EF" w:rsidRDefault="00F745EF" w:rsidP="000F4307"/>
          <w:p w14:paraId="2DEB6B42" w14:textId="77777777" w:rsidR="00F745EF" w:rsidRDefault="00F745EF" w:rsidP="000F4307"/>
          <w:p w14:paraId="002DF3D0" w14:textId="77777777" w:rsidR="00F745EF" w:rsidRDefault="00F745EF" w:rsidP="000F4307"/>
          <w:p w14:paraId="5AF4DAE8" w14:textId="50A3F885" w:rsidR="00F745EF" w:rsidRDefault="00F745EF" w:rsidP="000F4307">
            <w:r>
              <w:t>A.9.4.</w:t>
            </w:r>
          </w:p>
          <w:p w14:paraId="661957DB" w14:textId="77777777" w:rsidR="00F745EF" w:rsidRDefault="00F745EF" w:rsidP="000F4307"/>
          <w:p w14:paraId="0E82F0CE" w14:textId="77777777" w:rsidR="000F4307" w:rsidRPr="00C3032C" w:rsidRDefault="000F4307" w:rsidP="00273E8A"/>
        </w:tc>
        <w:tc>
          <w:tcPr>
            <w:tcW w:w="8079" w:type="dxa"/>
            <w:shd w:val="clear" w:color="auto" w:fill="auto"/>
          </w:tcPr>
          <w:p w14:paraId="505CBB7E" w14:textId="77777777" w:rsidR="0037635E" w:rsidRPr="000F4307" w:rsidRDefault="0037635E" w:rsidP="0037635E">
            <w:pPr>
              <w:spacing w:line="0" w:lineRule="atLeast"/>
              <w:ind w:left="-75" w:right="2"/>
              <w:jc w:val="both"/>
              <w:rPr>
                <w:rFonts w:cs="Times New Roman"/>
                <w:color w:val="000000" w:themeColor="text1"/>
                <w:szCs w:val="24"/>
              </w:rPr>
            </w:pPr>
            <w:r w:rsidRPr="000F4307">
              <w:rPr>
                <w:rFonts w:cs="Times New Roman"/>
                <w:color w:val="000000" w:themeColor="text1"/>
                <w:szCs w:val="24"/>
              </w:rPr>
              <w:lastRenderedPageBreak/>
              <w:t>Do wymiany danych strukturalnych i planistycznych pomiędzy OSP a podmiotami określonymi w TCM oraz OSDn, służy dedykowany system IT OSP składający się z:</w:t>
            </w:r>
          </w:p>
          <w:p w14:paraId="1091B482" w14:textId="77777777" w:rsidR="0037635E" w:rsidRPr="000F4307" w:rsidRDefault="0037635E" w:rsidP="0037635E">
            <w:pPr>
              <w:spacing w:line="0" w:lineRule="atLeast"/>
              <w:ind w:left="-75" w:right="2" w:firstLine="75"/>
              <w:jc w:val="both"/>
              <w:rPr>
                <w:rFonts w:cs="Times New Roman"/>
                <w:color w:val="000000" w:themeColor="text1"/>
                <w:szCs w:val="24"/>
              </w:rPr>
            </w:pPr>
            <w:r w:rsidRPr="000F4307">
              <w:rPr>
                <w:rFonts w:cs="Times New Roman"/>
                <w:color w:val="000000" w:themeColor="text1"/>
                <w:szCs w:val="24"/>
              </w:rPr>
              <w:t>a) Portalu Wymiany Danych Strukturalnych – PWDS,</w:t>
            </w:r>
          </w:p>
          <w:p w14:paraId="40C689A3" w14:textId="77777777" w:rsidR="0037635E" w:rsidRPr="000F4307" w:rsidRDefault="0037635E" w:rsidP="00C45184">
            <w:pPr>
              <w:spacing w:line="0" w:lineRule="atLeast"/>
              <w:ind w:left="-75" w:right="2" w:firstLine="75"/>
              <w:jc w:val="both"/>
              <w:rPr>
                <w:rFonts w:cs="Times New Roman"/>
                <w:color w:val="000000" w:themeColor="text1"/>
                <w:szCs w:val="24"/>
              </w:rPr>
            </w:pPr>
            <w:r w:rsidRPr="000F4307">
              <w:rPr>
                <w:rFonts w:cs="Times New Roman"/>
                <w:color w:val="000000" w:themeColor="text1"/>
                <w:szCs w:val="24"/>
              </w:rPr>
              <w:t>b) Portalu Wymiany Danych Planistycznych – PWDP.</w:t>
            </w:r>
          </w:p>
          <w:p w14:paraId="737B8B64" w14:textId="4DA16FA8" w:rsidR="000F4307" w:rsidRPr="000F4307" w:rsidRDefault="000F4307" w:rsidP="000F4307">
            <w:pPr>
              <w:widowControl w:val="0"/>
              <w:tabs>
                <w:tab w:val="left" w:pos="2860"/>
              </w:tabs>
              <w:autoSpaceDE w:val="0"/>
              <w:autoSpaceDN w:val="0"/>
              <w:jc w:val="both"/>
              <w:rPr>
                <w:color w:val="000000" w:themeColor="text1"/>
                <w:szCs w:val="24"/>
              </w:rPr>
            </w:pPr>
            <w:r w:rsidRPr="000F4307">
              <w:rPr>
                <w:color w:val="000000" w:themeColor="text1"/>
                <w:w w:val="105"/>
                <w:szCs w:val="24"/>
              </w:rPr>
              <w:t xml:space="preserve">Wymiana informacji pomiędzy </w:t>
            </w:r>
            <w:r>
              <w:rPr>
                <w:color w:val="000000" w:themeColor="text1"/>
                <w:w w:val="105"/>
                <w:szCs w:val="24"/>
              </w:rPr>
              <w:t xml:space="preserve">OSDn </w:t>
            </w:r>
            <w:r w:rsidRPr="000F4307">
              <w:rPr>
                <w:color w:val="000000" w:themeColor="text1"/>
                <w:w w:val="105"/>
                <w:szCs w:val="24"/>
              </w:rPr>
              <w:t xml:space="preserve">a sprzedawcami, o której mowa </w:t>
            </w:r>
            <w:r>
              <w:rPr>
                <w:color w:val="000000" w:themeColor="text1"/>
                <w:w w:val="105"/>
                <w:szCs w:val="24"/>
              </w:rPr>
              <w:br/>
            </w:r>
            <w:r w:rsidRPr="000F4307">
              <w:rPr>
                <w:color w:val="000000" w:themeColor="text1"/>
                <w:w w:val="105"/>
                <w:szCs w:val="24"/>
              </w:rPr>
              <w:t xml:space="preserve">w pkt A.9.1. dotycząca zgłoszeń i powiadomień planowanych do realizacji na datę nie wcześniejszą niż jeden dzień kalendarzowy po uruchomieniu </w:t>
            </w:r>
            <w:r w:rsidRPr="000F4307">
              <w:rPr>
                <w:color w:val="000000" w:themeColor="text1"/>
                <w:w w:val="105"/>
                <w:szCs w:val="24"/>
              </w:rPr>
              <w:lastRenderedPageBreak/>
              <w:t>produkcyjnym CSIRE, nie będą przyjmowane przez</w:t>
            </w:r>
            <w:r>
              <w:rPr>
                <w:color w:val="000000" w:themeColor="text1"/>
                <w:w w:val="105"/>
                <w:szCs w:val="24"/>
              </w:rPr>
              <w:t xml:space="preserve"> OSDn</w:t>
            </w:r>
            <w:r w:rsidRPr="000F4307">
              <w:rPr>
                <w:color w:val="000000" w:themeColor="text1"/>
                <w:w w:val="105"/>
                <w:szCs w:val="24"/>
              </w:rPr>
              <w:t xml:space="preserve"> do realizacji.</w:t>
            </w:r>
          </w:p>
          <w:p w14:paraId="659F6340" w14:textId="77777777" w:rsidR="000F4307" w:rsidRPr="000F4307" w:rsidRDefault="000F4307" w:rsidP="000F4307">
            <w:pPr>
              <w:pStyle w:val="Tekstpodstawowy"/>
              <w:spacing w:before="3"/>
              <w:rPr>
                <w:color w:val="000000" w:themeColor="text1"/>
                <w:szCs w:val="24"/>
              </w:rPr>
            </w:pPr>
          </w:p>
          <w:p w14:paraId="2EAF8C0E" w14:textId="226BEDFD" w:rsidR="000F4307" w:rsidRPr="00F745EF" w:rsidRDefault="000F4307" w:rsidP="00F745EF">
            <w:pPr>
              <w:widowControl w:val="0"/>
              <w:autoSpaceDE w:val="0"/>
              <w:autoSpaceDN w:val="0"/>
              <w:jc w:val="both"/>
              <w:rPr>
                <w:color w:val="000000" w:themeColor="text1"/>
                <w:szCs w:val="24"/>
              </w:rPr>
            </w:pPr>
            <w:r w:rsidRPr="00F745EF">
              <w:rPr>
                <w:color w:val="000000" w:themeColor="text1"/>
                <w:w w:val="105"/>
                <w:szCs w:val="24"/>
              </w:rPr>
              <w:t xml:space="preserve">Sprzedawca jest zobowiązany do aktualizacji danych przekazanych do </w:t>
            </w:r>
            <w:r w:rsidR="00F745EF">
              <w:rPr>
                <w:color w:val="000000" w:themeColor="text1"/>
                <w:w w:val="105"/>
                <w:szCs w:val="24"/>
              </w:rPr>
              <w:t>OSDn</w:t>
            </w:r>
            <w:r w:rsidRPr="00F745EF">
              <w:rPr>
                <w:color w:val="000000" w:themeColor="text1"/>
                <w:w w:val="105"/>
                <w:szCs w:val="24"/>
              </w:rPr>
              <w:t xml:space="preserve"> w powiadomieniu, o którym mowa w pkt D.2.4., związanych</w:t>
            </w:r>
            <w:r w:rsidR="00F745EF">
              <w:rPr>
                <w:color w:val="000000" w:themeColor="text1"/>
                <w:w w:val="105"/>
                <w:szCs w:val="24"/>
              </w:rPr>
              <w:t xml:space="preserve"> </w:t>
            </w:r>
            <w:r w:rsidRPr="00F745EF">
              <w:rPr>
                <w:color w:val="000000" w:themeColor="text1"/>
                <w:w w:val="105"/>
                <w:szCs w:val="24"/>
              </w:rPr>
              <w:t>z</w:t>
            </w:r>
            <w:r w:rsidRPr="00F745EF">
              <w:rPr>
                <w:color w:val="000000" w:themeColor="text1"/>
                <w:spacing w:val="-26"/>
                <w:w w:val="105"/>
                <w:szCs w:val="24"/>
              </w:rPr>
              <w:t xml:space="preserve"> </w:t>
            </w:r>
            <w:r w:rsidRPr="00F745EF">
              <w:rPr>
                <w:color w:val="000000" w:themeColor="text1"/>
                <w:w w:val="105"/>
                <w:szCs w:val="24"/>
              </w:rPr>
              <w:t>realizowanymi</w:t>
            </w:r>
            <w:r w:rsidRPr="00F745EF">
              <w:rPr>
                <w:color w:val="000000" w:themeColor="text1"/>
                <w:spacing w:val="-4"/>
                <w:w w:val="105"/>
                <w:szCs w:val="24"/>
              </w:rPr>
              <w:t xml:space="preserve"> </w:t>
            </w:r>
            <w:r w:rsidRPr="00F745EF">
              <w:rPr>
                <w:color w:val="000000" w:themeColor="text1"/>
                <w:w w:val="105"/>
                <w:szCs w:val="24"/>
              </w:rPr>
              <w:t>umowami</w:t>
            </w:r>
            <w:r w:rsidRPr="00F745EF">
              <w:rPr>
                <w:color w:val="000000" w:themeColor="text1"/>
                <w:spacing w:val="-16"/>
                <w:w w:val="105"/>
                <w:szCs w:val="24"/>
              </w:rPr>
              <w:t xml:space="preserve"> </w:t>
            </w:r>
            <w:r w:rsidRPr="00F745EF">
              <w:rPr>
                <w:color w:val="000000" w:themeColor="text1"/>
                <w:w w:val="105"/>
                <w:szCs w:val="24"/>
              </w:rPr>
              <w:t>kompleksowymi</w:t>
            </w:r>
            <w:r w:rsidRPr="00F745EF">
              <w:rPr>
                <w:color w:val="000000" w:themeColor="text1"/>
                <w:spacing w:val="-2"/>
                <w:w w:val="105"/>
                <w:szCs w:val="24"/>
              </w:rPr>
              <w:t xml:space="preserve"> </w:t>
            </w:r>
            <w:r w:rsidRPr="00F745EF">
              <w:rPr>
                <w:color w:val="000000" w:themeColor="text1"/>
                <w:w w:val="105"/>
                <w:szCs w:val="24"/>
              </w:rPr>
              <w:t>lub</w:t>
            </w:r>
            <w:r w:rsidRPr="00F745EF">
              <w:rPr>
                <w:color w:val="000000" w:themeColor="text1"/>
                <w:spacing w:val="-22"/>
                <w:w w:val="105"/>
                <w:szCs w:val="24"/>
              </w:rPr>
              <w:t xml:space="preserve"> </w:t>
            </w:r>
            <w:r w:rsidRPr="00F745EF">
              <w:rPr>
                <w:color w:val="000000" w:themeColor="text1"/>
                <w:w w:val="105"/>
                <w:szCs w:val="24"/>
              </w:rPr>
              <w:t>umowami</w:t>
            </w:r>
            <w:r w:rsidRPr="00F745EF">
              <w:rPr>
                <w:color w:val="000000" w:themeColor="text1"/>
                <w:spacing w:val="-13"/>
                <w:w w:val="105"/>
                <w:szCs w:val="24"/>
              </w:rPr>
              <w:t xml:space="preserve"> </w:t>
            </w:r>
            <w:r w:rsidRPr="00F745EF">
              <w:rPr>
                <w:color w:val="000000" w:themeColor="text1"/>
                <w:w w:val="105"/>
                <w:szCs w:val="24"/>
              </w:rPr>
              <w:t>sprzedaży.</w:t>
            </w:r>
            <w:r w:rsidRPr="00F745EF">
              <w:rPr>
                <w:color w:val="000000" w:themeColor="text1"/>
                <w:spacing w:val="-17"/>
                <w:w w:val="105"/>
                <w:szCs w:val="24"/>
              </w:rPr>
              <w:t xml:space="preserve"> </w:t>
            </w:r>
            <w:r w:rsidRPr="00F745EF">
              <w:rPr>
                <w:color w:val="000000" w:themeColor="text1"/>
                <w:w w:val="105"/>
                <w:szCs w:val="24"/>
              </w:rPr>
              <w:t>Aktualizacja tych danych odbywa się poprzez system, o którym mowa w pkt A.9.1., zgodnie z</w:t>
            </w:r>
            <w:r w:rsidRPr="00F745EF">
              <w:rPr>
                <w:color w:val="000000" w:themeColor="text1"/>
                <w:spacing w:val="4"/>
                <w:w w:val="105"/>
                <w:szCs w:val="24"/>
              </w:rPr>
              <w:t xml:space="preserve"> </w:t>
            </w:r>
            <w:r w:rsidRPr="00F745EF">
              <w:rPr>
                <w:color w:val="000000" w:themeColor="text1"/>
                <w:w w:val="105"/>
                <w:szCs w:val="24"/>
              </w:rPr>
              <w:t>SWI.</w:t>
            </w:r>
          </w:p>
          <w:p w14:paraId="1F9CCDF4" w14:textId="1BA27C5E" w:rsidR="000F4307" w:rsidRPr="000F4307" w:rsidRDefault="00285C89" w:rsidP="00F745EF">
            <w:pPr>
              <w:pStyle w:val="Tekstpodstawowy"/>
              <w:tabs>
                <w:tab w:val="clear" w:pos="4536"/>
              </w:tabs>
              <w:spacing w:before="118" w:line="240" w:lineRule="auto"/>
              <w:ind w:left="6" w:hanging="3"/>
              <w:rPr>
                <w:color w:val="000000" w:themeColor="text1"/>
                <w:szCs w:val="24"/>
              </w:rPr>
            </w:pPr>
            <w:r>
              <w:rPr>
                <w:color w:val="000000" w:themeColor="text1"/>
                <w:w w:val="105"/>
                <w:szCs w:val="24"/>
                <w:lang w:val="pl-PL"/>
              </w:rPr>
              <w:t xml:space="preserve">OSDn </w:t>
            </w:r>
            <w:r w:rsidR="000F4307" w:rsidRPr="000F4307">
              <w:rPr>
                <w:color w:val="000000" w:themeColor="text1"/>
                <w:w w:val="105"/>
                <w:szCs w:val="24"/>
              </w:rPr>
              <w:t>na dzień uruchomienia produkcyjnego CSIRE, będzie realizował umowy kompleksowe lub umowy sprzedaży, zgodnie z danymi posiadanymi na ten dzień w systemie, o którym mowa w pkt A.9.1.</w:t>
            </w:r>
          </w:p>
          <w:p w14:paraId="5A48F9F9" w14:textId="77777777" w:rsidR="000F4307" w:rsidRPr="000F4307" w:rsidRDefault="000F4307" w:rsidP="00C45184">
            <w:pPr>
              <w:spacing w:line="0" w:lineRule="atLeast"/>
              <w:ind w:left="-75" w:right="2" w:firstLine="75"/>
              <w:jc w:val="both"/>
              <w:rPr>
                <w:rFonts w:cs="Times New Roman"/>
                <w:color w:val="000000" w:themeColor="text1"/>
                <w:szCs w:val="24"/>
              </w:rPr>
            </w:pPr>
          </w:p>
          <w:p w14:paraId="1B9B04B7" w14:textId="6519CFD1" w:rsidR="001F7B66" w:rsidRPr="000F4307" w:rsidRDefault="001F7B66" w:rsidP="00C45184">
            <w:pPr>
              <w:spacing w:line="0" w:lineRule="atLeast"/>
              <w:ind w:left="-75" w:right="2" w:firstLine="75"/>
              <w:jc w:val="both"/>
              <w:rPr>
                <w:color w:val="000000" w:themeColor="text1"/>
                <w:szCs w:val="24"/>
              </w:rPr>
            </w:pPr>
          </w:p>
        </w:tc>
      </w:tr>
    </w:tbl>
    <w:p w14:paraId="07F4D096" w14:textId="54468ACD" w:rsidR="00572BA3" w:rsidRDefault="00C031B2" w:rsidP="00E93D25">
      <w:pPr>
        <w:pStyle w:val="Nagwek2"/>
        <w:ind w:left="709" w:hanging="709"/>
        <w:jc w:val="both"/>
      </w:pPr>
      <w:bookmarkStart w:id="87" w:name="page133"/>
      <w:bookmarkStart w:id="88" w:name="_Toc141963917"/>
      <w:bookmarkEnd w:id="87"/>
      <w:r>
        <w:lastRenderedPageBreak/>
        <w:t>A</w:t>
      </w:r>
      <w:r w:rsidR="00572BA3">
        <w:t>.10.</w:t>
      </w:r>
      <w:r w:rsidR="00572BA3">
        <w:tab/>
        <w:t>ZASADY WSPÓŁPRACY DOTYCZĄCE REGULACYJNYCH USŁUG SYSTEMOWYCH W ZAKRESIE REZERWY INTERWENCYJNEJ</w:t>
      </w:r>
      <w:bookmarkEnd w:id="88"/>
    </w:p>
    <w:p w14:paraId="55F2B400" w14:textId="77777777" w:rsidR="00572BA3" w:rsidRDefault="00572BA3">
      <w:pPr>
        <w:spacing w:line="200" w:lineRule="exact"/>
        <w:rPr>
          <w:rFonts w:eastAsia="Times New Roman"/>
        </w:rPr>
      </w:pPr>
    </w:p>
    <w:tbl>
      <w:tblPr>
        <w:tblW w:w="9210" w:type="dxa"/>
        <w:tblLayout w:type="fixed"/>
        <w:tblCellMar>
          <w:left w:w="70" w:type="dxa"/>
          <w:right w:w="70" w:type="dxa"/>
        </w:tblCellMar>
        <w:tblLook w:val="0000" w:firstRow="0" w:lastRow="0" w:firstColumn="0" w:lastColumn="0" w:noHBand="0" w:noVBand="0"/>
      </w:tblPr>
      <w:tblGrid>
        <w:gridCol w:w="1063"/>
        <w:gridCol w:w="8147"/>
      </w:tblGrid>
      <w:tr w:rsidR="00E70AF6" w:rsidRPr="00EF12CB" w14:paraId="511EC922" w14:textId="77777777" w:rsidTr="00431378">
        <w:tc>
          <w:tcPr>
            <w:tcW w:w="9210" w:type="dxa"/>
            <w:gridSpan w:val="2"/>
            <w:shd w:val="clear" w:color="auto" w:fill="auto"/>
          </w:tcPr>
          <w:p w14:paraId="5AF055F7" w14:textId="77777777" w:rsidR="00E70AF6" w:rsidRPr="00EF12CB" w:rsidRDefault="00E70AF6" w:rsidP="00273E8A">
            <w:pPr>
              <w:rPr>
                <w:b/>
              </w:rPr>
            </w:pPr>
            <w:r w:rsidRPr="00EF12CB">
              <w:rPr>
                <w:b/>
              </w:rPr>
              <w:t>A.</w:t>
            </w:r>
            <w:r>
              <w:rPr>
                <w:b/>
              </w:rPr>
              <w:t>10</w:t>
            </w:r>
            <w:r w:rsidRPr="00EF12CB">
              <w:rPr>
                <w:b/>
              </w:rPr>
              <w:t xml:space="preserve">.1. </w:t>
            </w:r>
            <w:r w:rsidRPr="000B09B4">
              <w:rPr>
                <w:b/>
              </w:rPr>
              <w:t>Certyfikacja ORed</w:t>
            </w:r>
          </w:p>
        </w:tc>
      </w:tr>
      <w:tr w:rsidR="00E70AF6" w:rsidRPr="00EF12CB" w14:paraId="2C07310B" w14:textId="77777777" w:rsidTr="00431378">
        <w:tc>
          <w:tcPr>
            <w:tcW w:w="1063" w:type="dxa"/>
            <w:shd w:val="clear" w:color="auto" w:fill="auto"/>
          </w:tcPr>
          <w:p w14:paraId="2517067A" w14:textId="77777777" w:rsidR="00E70AF6" w:rsidRPr="00896452" w:rsidRDefault="00E70AF6">
            <w:pPr>
              <w:numPr>
                <w:ilvl w:val="0"/>
                <w:numId w:val="205"/>
              </w:numPr>
              <w:ind w:left="0" w:firstLine="0"/>
            </w:pPr>
          </w:p>
        </w:tc>
        <w:tc>
          <w:tcPr>
            <w:tcW w:w="8147" w:type="dxa"/>
            <w:shd w:val="clear" w:color="auto" w:fill="auto"/>
          </w:tcPr>
          <w:p w14:paraId="7F604A16" w14:textId="7175724A" w:rsidR="00E70AF6" w:rsidRPr="00EF12CB" w:rsidRDefault="005D6240" w:rsidP="00014AC6">
            <w:pPr>
              <w:jc w:val="both"/>
            </w:pPr>
            <w:r w:rsidRPr="005D6240">
              <w:rPr>
                <w:rFonts w:eastAsia="Times New Roman" w:cs="Times New Roman"/>
                <w:szCs w:val="24"/>
                <w:lang w:bidi="pl-PL"/>
              </w:rPr>
              <w:t>ORed, aby mógł uczestniczyć w świadczeniu usługi interwencyjnej ofertowej redukcji poboru mocy przez odbiorców na polecenie OSP musi posiadać Certyfikat dla ORed oraz status „ORed aktywny”, uzyskane na zasadach określonych poniżej. Zasady certyfikowania ORed przyłączonych do sieci przesyłowej albo jednocześnie do sieci przesyłowej i dystrybucyjnej określa WDB</w:t>
            </w:r>
            <w:r w:rsidRPr="00600BF5">
              <w:rPr>
                <w:rFonts w:ascii="Arial" w:eastAsia="Times New Roman" w:hAnsi="Arial"/>
                <w:sz w:val="22"/>
                <w:szCs w:val="22"/>
                <w:lang w:bidi="pl-PL"/>
              </w:rPr>
              <w:t>.</w:t>
            </w:r>
          </w:p>
        </w:tc>
      </w:tr>
      <w:tr w:rsidR="00E70AF6" w:rsidRPr="00EF12CB" w14:paraId="2538842D" w14:textId="77777777" w:rsidTr="00431378">
        <w:tc>
          <w:tcPr>
            <w:tcW w:w="1063" w:type="dxa"/>
            <w:shd w:val="clear" w:color="auto" w:fill="auto"/>
          </w:tcPr>
          <w:p w14:paraId="2AF14100" w14:textId="77777777" w:rsidR="00E70AF6" w:rsidRPr="00896452" w:rsidRDefault="00E70AF6">
            <w:pPr>
              <w:numPr>
                <w:ilvl w:val="0"/>
                <w:numId w:val="205"/>
              </w:numPr>
              <w:ind w:left="0" w:firstLine="0"/>
            </w:pPr>
          </w:p>
        </w:tc>
        <w:tc>
          <w:tcPr>
            <w:tcW w:w="8147" w:type="dxa"/>
            <w:shd w:val="clear" w:color="auto" w:fill="auto"/>
          </w:tcPr>
          <w:p w14:paraId="045753DA" w14:textId="77777777" w:rsidR="00E70AF6" w:rsidRPr="00EF12CB" w:rsidRDefault="00E70AF6" w:rsidP="00014AC6">
            <w:pPr>
              <w:jc w:val="both"/>
            </w:pPr>
            <w:r w:rsidRPr="00DD061B">
              <w:t xml:space="preserve">Certyfikowaniu nie podlegają ORed odbiorców energii elektrycznej </w:t>
            </w:r>
            <w:r>
              <w:br/>
            </w:r>
            <w:r w:rsidRPr="00DD061B">
              <w:t>w gospodarstwach domowych.</w:t>
            </w:r>
          </w:p>
        </w:tc>
      </w:tr>
      <w:tr w:rsidR="00E70AF6" w:rsidRPr="00450FA2" w14:paraId="6CEA01A3" w14:textId="77777777" w:rsidTr="00431378">
        <w:tc>
          <w:tcPr>
            <w:tcW w:w="1063" w:type="dxa"/>
            <w:shd w:val="clear" w:color="auto" w:fill="auto"/>
          </w:tcPr>
          <w:p w14:paraId="04336BBF" w14:textId="77777777" w:rsidR="00E70AF6" w:rsidRPr="00896452" w:rsidRDefault="00E70AF6">
            <w:pPr>
              <w:numPr>
                <w:ilvl w:val="0"/>
                <w:numId w:val="205"/>
              </w:numPr>
              <w:spacing w:line="276" w:lineRule="auto"/>
              <w:ind w:left="0" w:firstLine="0"/>
            </w:pPr>
          </w:p>
        </w:tc>
        <w:tc>
          <w:tcPr>
            <w:tcW w:w="8147" w:type="dxa"/>
            <w:shd w:val="clear" w:color="auto" w:fill="auto"/>
          </w:tcPr>
          <w:p w14:paraId="43B9371C" w14:textId="77777777" w:rsidR="00E70AF6" w:rsidRPr="00E3609F" w:rsidRDefault="00E70AF6" w:rsidP="00014AC6">
            <w:pPr>
              <w:pStyle w:val="TableParagraph"/>
              <w:spacing w:line="276" w:lineRule="auto"/>
              <w:ind w:left="0" w:right="28"/>
              <w:rPr>
                <w:sz w:val="24"/>
                <w:szCs w:val="24"/>
              </w:rPr>
            </w:pPr>
            <w:r w:rsidRPr="00E3609F">
              <w:rPr>
                <w:sz w:val="24"/>
                <w:szCs w:val="24"/>
              </w:rPr>
              <w:t>ORed to obiekt przyłączony do sieci dystrybucyjnej, będący w posiadaniu jednego Odbiorcy w ORed, który składa się z jednego lub więcej PPE spełniających kryteria:</w:t>
            </w:r>
          </w:p>
          <w:p w14:paraId="3383F3E8" w14:textId="77777777" w:rsidR="00E70AF6" w:rsidRPr="00E3609F" w:rsidRDefault="00E70AF6">
            <w:pPr>
              <w:pStyle w:val="TableParagraph"/>
              <w:numPr>
                <w:ilvl w:val="0"/>
                <w:numId w:val="208"/>
              </w:numPr>
              <w:spacing w:line="276" w:lineRule="auto"/>
              <w:ind w:left="208" w:hanging="208"/>
              <w:rPr>
                <w:sz w:val="24"/>
                <w:szCs w:val="24"/>
              </w:rPr>
            </w:pPr>
            <w:r w:rsidRPr="00E3609F">
              <w:rPr>
                <w:sz w:val="24"/>
                <w:szCs w:val="24"/>
              </w:rPr>
              <w:t xml:space="preserve">stanowią kompletny układ zasilania danego ORed pod jednym adresem </w:t>
            </w:r>
            <w:r>
              <w:rPr>
                <w:sz w:val="24"/>
                <w:szCs w:val="24"/>
              </w:rPr>
              <w:br/>
            </w:r>
            <w:r w:rsidRPr="00E3609F">
              <w:rPr>
                <w:sz w:val="24"/>
                <w:szCs w:val="24"/>
              </w:rPr>
              <w:t>(w jednej lokalizacji), obejmujący wszystkie miejsca przyłączenia ORed do</w:t>
            </w:r>
            <w:r w:rsidRPr="00E3609F">
              <w:rPr>
                <w:spacing w:val="-11"/>
                <w:sz w:val="24"/>
                <w:szCs w:val="24"/>
              </w:rPr>
              <w:t xml:space="preserve"> </w:t>
            </w:r>
            <w:r w:rsidRPr="00E3609F">
              <w:rPr>
                <w:sz w:val="24"/>
                <w:szCs w:val="24"/>
              </w:rPr>
              <w:t>sieci;</w:t>
            </w:r>
          </w:p>
          <w:p w14:paraId="6830D0BD" w14:textId="77777777" w:rsidR="00E70AF6" w:rsidRPr="00E3609F" w:rsidRDefault="00E70AF6">
            <w:pPr>
              <w:pStyle w:val="TableParagraph"/>
              <w:numPr>
                <w:ilvl w:val="0"/>
                <w:numId w:val="208"/>
              </w:numPr>
              <w:tabs>
                <w:tab w:val="left" w:pos="208"/>
              </w:tabs>
              <w:spacing w:line="276" w:lineRule="auto"/>
              <w:ind w:hanging="662"/>
              <w:rPr>
                <w:sz w:val="24"/>
                <w:szCs w:val="24"/>
              </w:rPr>
            </w:pPr>
            <w:r w:rsidRPr="00E3609F">
              <w:rPr>
                <w:sz w:val="24"/>
                <w:szCs w:val="24"/>
              </w:rPr>
              <w:t>posiadają zainstalowane układy</w:t>
            </w:r>
            <w:r w:rsidRPr="00E3609F">
              <w:rPr>
                <w:spacing w:val="-5"/>
                <w:sz w:val="24"/>
                <w:szCs w:val="24"/>
              </w:rPr>
              <w:t xml:space="preserve"> </w:t>
            </w:r>
            <w:r w:rsidRPr="00E3609F">
              <w:rPr>
                <w:sz w:val="24"/>
                <w:szCs w:val="24"/>
              </w:rPr>
              <w:t>pomiarowo-rozliczeniowe:</w:t>
            </w:r>
          </w:p>
          <w:p w14:paraId="33C4CB1C" w14:textId="77777777" w:rsidR="00E70AF6" w:rsidRDefault="00E70AF6">
            <w:pPr>
              <w:pStyle w:val="TableParagraph"/>
              <w:numPr>
                <w:ilvl w:val="1"/>
                <w:numId w:val="208"/>
              </w:numPr>
              <w:spacing w:line="276" w:lineRule="auto"/>
              <w:ind w:left="492" w:hanging="204"/>
              <w:rPr>
                <w:sz w:val="24"/>
                <w:szCs w:val="24"/>
              </w:rPr>
            </w:pPr>
            <w:r w:rsidRPr="00E3609F">
              <w:rPr>
                <w:sz w:val="24"/>
                <w:szCs w:val="24"/>
              </w:rPr>
              <w:t>spełniające wymagania techniczne określone w IRiESD OSDn, jak dla układów pomiarowo-rozliczeniowych instalowanych u URD będących odbiorcami, którzy korzystają z prawa wyboru</w:t>
            </w:r>
            <w:r w:rsidRPr="00E3609F">
              <w:rPr>
                <w:spacing w:val="-11"/>
                <w:sz w:val="24"/>
                <w:szCs w:val="24"/>
              </w:rPr>
              <w:t xml:space="preserve"> </w:t>
            </w:r>
            <w:r w:rsidRPr="00E3609F">
              <w:rPr>
                <w:sz w:val="24"/>
                <w:szCs w:val="24"/>
              </w:rPr>
              <w:t>sprzedawcy,</w:t>
            </w:r>
          </w:p>
          <w:p w14:paraId="1FB0D2F5" w14:textId="77777777" w:rsidR="00E70AF6" w:rsidRDefault="00E70AF6">
            <w:pPr>
              <w:pStyle w:val="TableParagraph"/>
              <w:numPr>
                <w:ilvl w:val="1"/>
                <w:numId w:val="208"/>
              </w:numPr>
              <w:spacing w:line="276" w:lineRule="auto"/>
              <w:ind w:left="492" w:hanging="204"/>
              <w:rPr>
                <w:sz w:val="24"/>
              </w:rPr>
            </w:pPr>
            <w:r>
              <w:rPr>
                <w:sz w:val="24"/>
              </w:rPr>
              <w:t>które posiadają funkcję automatycznej rejestracji godzinowych danych pomiarowych i umożliwiają ich pozyskanie poprzez system zdalnego odczytu danych pomiarowych do Lokalnego Systemu Pomiarowo-Rozliczeniowego (LSPR) OSDp oraz umożliwiają ich przekazywanie do OSP w trybie dobowym poprzez system WIRE (dla ORed przyłączonych do sieci OSDp),</w:t>
            </w:r>
          </w:p>
          <w:p w14:paraId="5D99B60D" w14:textId="77777777" w:rsidR="00E70AF6" w:rsidRPr="00450FA2" w:rsidRDefault="00E70AF6">
            <w:pPr>
              <w:numPr>
                <w:ilvl w:val="1"/>
                <w:numId w:val="208"/>
              </w:numPr>
              <w:spacing w:line="276" w:lineRule="auto"/>
              <w:ind w:left="492" w:hanging="204"/>
              <w:jc w:val="both"/>
              <w:rPr>
                <w:i/>
              </w:rPr>
            </w:pPr>
            <w:r w:rsidRPr="00450FA2">
              <w:t xml:space="preserve">które posiadają funkcję automatycznej rejestracji godzinowych danych pomiarowych i umożliwiają ich przekazywanie do </w:t>
            </w:r>
            <w:r>
              <w:t>OSDn</w:t>
            </w:r>
            <w:r w:rsidRPr="00450FA2">
              <w:t xml:space="preserve"> w trybie dobowym poprzez system wskazany przez </w:t>
            </w:r>
            <w:r>
              <w:t xml:space="preserve">OSDn </w:t>
            </w:r>
            <w:r w:rsidRPr="00450FA2">
              <w:t>oraz umożliwiają ich przekazywanie do OSP w trybie dobowym poprzez system WIRE (dla ORed przyłączonych do sieci</w:t>
            </w:r>
            <w:r w:rsidRPr="00450FA2">
              <w:rPr>
                <w:spacing w:val="-3"/>
              </w:rPr>
              <w:t xml:space="preserve"> </w:t>
            </w:r>
            <w:r w:rsidRPr="00450FA2">
              <w:t>OSDn).</w:t>
            </w:r>
          </w:p>
        </w:tc>
      </w:tr>
      <w:tr w:rsidR="00E70AF6" w:rsidRPr="00EF12CB" w14:paraId="18BCAFB2" w14:textId="77777777" w:rsidTr="00431378">
        <w:tc>
          <w:tcPr>
            <w:tcW w:w="1063" w:type="dxa"/>
            <w:shd w:val="clear" w:color="auto" w:fill="auto"/>
          </w:tcPr>
          <w:p w14:paraId="684DC026" w14:textId="77777777" w:rsidR="00E70AF6" w:rsidRPr="00896452" w:rsidRDefault="00E70AF6">
            <w:pPr>
              <w:numPr>
                <w:ilvl w:val="0"/>
                <w:numId w:val="205"/>
              </w:numPr>
              <w:spacing w:line="276" w:lineRule="auto"/>
              <w:ind w:left="0" w:firstLine="0"/>
            </w:pPr>
          </w:p>
        </w:tc>
        <w:tc>
          <w:tcPr>
            <w:tcW w:w="8147" w:type="dxa"/>
            <w:shd w:val="clear" w:color="auto" w:fill="auto"/>
            <w:vAlign w:val="center"/>
          </w:tcPr>
          <w:p w14:paraId="09D16E6A" w14:textId="77777777" w:rsidR="00E70AF6" w:rsidRPr="00E3609F" w:rsidRDefault="00E70AF6" w:rsidP="00AE3CAB">
            <w:pPr>
              <w:pStyle w:val="TableParagraph"/>
              <w:spacing w:line="276" w:lineRule="auto"/>
              <w:ind w:left="33" w:right="28"/>
              <w:rPr>
                <w:sz w:val="24"/>
                <w:szCs w:val="24"/>
              </w:rPr>
            </w:pPr>
            <w:r w:rsidRPr="00E3609F">
              <w:rPr>
                <w:sz w:val="24"/>
                <w:szCs w:val="24"/>
              </w:rPr>
              <w:t>W przypadku, gdy układ zasilania ORed składa się z wielu PPE, wówczas ilość dostaw energii elektrycznej do ORed jest wyznaczana jako suma dostaw energii elektrycznej dla tych</w:t>
            </w:r>
            <w:r w:rsidRPr="00E3609F">
              <w:rPr>
                <w:spacing w:val="-2"/>
                <w:sz w:val="24"/>
                <w:szCs w:val="24"/>
              </w:rPr>
              <w:t xml:space="preserve"> </w:t>
            </w:r>
            <w:r w:rsidRPr="00E3609F">
              <w:rPr>
                <w:sz w:val="24"/>
                <w:szCs w:val="24"/>
              </w:rPr>
              <w:t>PPE.</w:t>
            </w:r>
          </w:p>
          <w:p w14:paraId="42858E9B" w14:textId="6F8D400B" w:rsidR="00E70AF6" w:rsidRPr="00EF12CB" w:rsidRDefault="00E70AF6" w:rsidP="00AE3CAB">
            <w:pPr>
              <w:spacing w:line="276" w:lineRule="auto"/>
              <w:jc w:val="both"/>
            </w:pPr>
            <w:r w:rsidRPr="00E3609F">
              <w:t xml:space="preserve">Powyższe nie dotyczy przypadku, gdy do sieci OSDn będącego odbiorcą świadczącym usługę redukcji </w:t>
            </w:r>
            <w:r w:rsidR="00DC5873">
              <w:t xml:space="preserve">interwencyjnej ofertowej redukcji poboru mocy przez </w:t>
            </w:r>
            <w:r w:rsidR="00DC5873">
              <w:lastRenderedPageBreak/>
              <w:t xml:space="preserve">odbiorów </w:t>
            </w:r>
            <w:r w:rsidRPr="00E3609F">
              <w:t xml:space="preserve">na polecenie OSP przyłączone są inne podmioty świadczące tę usługę. </w:t>
            </w:r>
            <w:r w:rsidR="00DC5873">
              <w:br/>
            </w:r>
            <w:r w:rsidRPr="00E3609F">
              <w:t>W takim przypadku ilość dostaw energii elektrycznej dla ORed odbiorcy będącego OSDn jest pomniejszana</w:t>
            </w:r>
            <w:r w:rsidR="00DC5873">
              <w:t xml:space="preserve"> </w:t>
            </w:r>
            <w:r w:rsidRPr="00E3609F">
              <w:t>o sumę ilości dostaw energii elektrycznej dla ORed innych podmiotów przyłączonych do sieci tego</w:t>
            </w:r>
            <w:r w:rsidRPr="00E3609F">
              <w:rPr>
                <w:spacing w:val="-9"/>
              </w:rPr>
              <w:t xml:space="preserve"> </w:t>
            </w:r>
            <w:r w:rsidRPr="00E3609F">
              <w:t>OSDn.</w:t>
            </w:r>
          </w:p>
        </w:tc>
      </w:tr>
      <w:tr w:rsidR="00E70AF6" w:rsidRPr="00EF12CB" w14:paraId="017F2816" w14:textId="77777777" w:rsidTr="00431378">
        <w:tc>
          <w:tcPr>
            <w:tcW w:w="1063" w:type="dxa"/>
            <w:shd w:val="clear" w:color="auto" w:fill="auto"/>
          </w:tcPr>
          <w:p w14:paraId="19ACFBE9" w14:textId="77777777" w:rsidR="00E70AF6" w:rsidRPr="00896452" w:rsidRDefault="00E70AF6">
            <w:pPr>
              <w:numPr>
                <w:ilvl w:val="0"/>
                <w:numId w:val="205"/>
              </w:numPr>
              <w:spacing w:line="276" w:lineRule="auto"/>
              <w:ind w:left="0" w:firstLine="0"/>
            </w:pPr>
          </w:p>
        </w:tc>
        <w:tc>
          <w:tcPr>
            <w:tcW w:w="8147" w:type="dxa"/>
            <w:shd w:val="clear" w:color="auto" w:fill="auto"/>
          </w:tcPr>
          <w:p w14:paraId="1C48CE9F" w14:textId="77777777" w:rsidR="00E70AF6" w:rsidRPr="00E3609F" w:rsidRDefault="00E70AF6" w:rsidP="00AE3CAB">
            <w:pPr>
              <w:pStyle w:val="TableParagraph"/>
              <w:spacing w:line="276" w:lineRule="auto"/>
              <w:ind w:left="33"/>
              <w:jc w:val="left"/>
              <w:rPr>
                <w:sz w:val="24"/>
                <w:szCs w:val="24"/>
              </w:rPr>
            </w:pPr>
            <w:r w:rsidRPr="00E3609F">
              <w:rPr>
                <w:sz w:val="24"/>
                <w:szCs w:val="24"/>
              </w:rPr>
              <w:t>Proces certyfikacji przeprowadza i Certyfikat dla ORed wydaje:</w:t>
            </w:r>
          </w:p>
          <w:p w14:paraId="302B6D59" w14:textId="77777777" w:rsidR="00E70AF6" w:rsidRPr="00E3609F" w:rsidRDefault="00E70AF6">
            <w:pPr>
              <w:pStyle w:val="TableParagraph"/>
              <w:numPr>
                <w:ilvl w:val="0"/>
                <w:numId w:val="209"/>
              </w:numPr>
              <w:spacing w:line="276" w:lineRule="auto"/>
              <w:ind w:left="350" w:right="28" w:hanging="284"/>
              <w:rPr>
                <w:sz w:val="24"/>
                <w:szCs w:val="24"/>
              </w:rPr>
            </w:pPr>
            <w:r>
              <w:rPr>
                <w:sz w:val="24"/>
                <w:szCs w:val="24"/>
              </w:rPr>
              <w:t>OSP we współpracy z OSDn – jeśli ORed jest przyłączony do sieci przesyłowej i sieci dystrybucyjnej OSDn</w:t>
            </w:r>
            <w:r w:rsidRPr="00E3609F">
              <w:rPr>
                <w:sz w:val="24"/>
                <w:szCs w:val="24"/>
              </w:rPr>
              <w:t>;</w:t>
            </w:r>
          </w:p>
          <w:p w14:paraId="0D0EC308" w14:textId="77777777" w:rsidR="00E70AF6" w:rsidRPr="00E3609F" w:rsidRDefault="00E70AF6">
            <w:pPr>
              <w:pStyle w:val="TableParagraph"/>
              <w:numPr>
                <w:ilvl w:val="0"/>
                <w:numId w:val="209"/>
              </w:numPr>
              <w:spacing w:line="276" w:lineRule="auto"/>
              <w:ind w:left="350" w:right="28" w:hanging="284"/>
              <w:rPr>
                <w:sz w:val="24"/>
                <w:szCs w:val="24"/>
              </w:rPr>
            </w:pPr>
            <w:r>
              <w:rPr>
                <w:sz w:val="24"/>
                <w:szCs w:val="24"/>
              </w:rPr>
              <w:t>OSDp</w:t>
            </w:r>
            <w:r w:rsidRPr="00E3609F">
              <w:rPr>
                <w:sz w:val="24"/>
                <w:szCs w:val="24"/>
              </w:rPr>
              <w:t xml:space="preserve"> we współpracy z OSDn - jeśli ORed jest przyłączony do sieci </w:t>
            </w:r>
            <w:r>
              <w:rPr>
                <w:sz w:val="24"/>
                <w:szCs w:val="24"/>
              </w:rPr>
              <w:t>OSDp</w:t>
            </w:r>
            <w:r w:rsidRPr="00E3609F">
              <w:rPr>
                <w:sz w:val="24"/>
                <w:szCs w:val="24"/>
              </w:rPr>
              <w:t xml:space="preserve"> </w:t>
            </w:r>
            <w:r w:rsidR="00B458EB">
              <w:rPr>
                <w:sz w:val="24"/>
                <w:szCs w:val="24"/>
              </w:rPr>
              <w:br/>
            </w:r>
            <w:r w:rsidRPr="00E3609F">
              <w:rPr>
                <w:sz w:val="24"/>
                <w:szCs w:val="24"/>
              </w:rPr>
              <w:t xml:space="preserve">i OSDn, którego sieć jest połączona z siecią </w:t>
            </w:r>
            <w:r>
              <w:rPr>
                <w:sz w:val="24"/>
                <w:szCs w:val="24"/>
              </w:rPr>
              <w:t>OSDp</w:t>
            </w:r>
            <w:r w:rsidRPr="00E3609F">
              <w:rPr>
                <w:sz w:val="24"/>
                <w:szCs w:val="24"/>
              </w:rPr>
              <w:t>;</w:t>
            </w:r>
          </w:p>
          <w:p w14:paraId="0A5CB944" w14:textId="77777777" w:rsidR="00E70AF6" w:rsidRDefault="00E70AF6" w:rsidP="00B458EB">
            <w:pPr>
              <w:spacing w:line="276" w:lineRule="auto"/>
              <w:ind w:left="350"/>
              <w:jc w:val="both"/>
            </w:pPr>
            <w:r>
              <w:t>OSDp</w:t>
            </w:r>
            <w:r w:rsidRPr="00E3609F">
              <w:t xml:space="preserve"> wydaje Certyfikat dla ORed w oparciu o dane </w:t>
            </w:r>
            <w:r>
              <w:br/>
            </w:r>
            <w:r w:rsidRPr="00E3609F">
              <w:t xml:space="preserve">i informacje będące w jego posiadaniu. W przypadku, gdy </w:t>
            </w:r>
            <w:r>
              <w:t xml:space="preserve">OSDp </w:t>
            </w:r>
            <w:r w:rsidRPr="00E3609F">
              <w:t>otrzyma</w:t>
            </w:r>
            <w:r>
              <w:t xml:space="preserve"> </w:t>
            </w:r>
            <w:r w:rsidRPr="00E3609F">
              <w:t>od Odbiorcy w ORed informację w zakresie przyłączenia ORed również do sieci innego operatora systemu (OSDp lub OSDn), wówczas Certyfikat dla ORed wydaje jeden z tych OSDp, we współpracy z pozostałymi operatorami systemu.</w:t>
            </w:r>
          </w:p>
          <w:p w14:paraId="223C1163" w14:textId="77777777" w:rsidR="00E70AF6" w:rsidRPr="00E3609F" w:rsidRDefault="00E70AF6">
            <w:pPr>
              <w:pStyle w:val="TableParagraph"/>
              <w:numPr>
                <w:ilvl w:val="0"/>
                <w:numId w:val="209"/>
              </w:numPr>
              <w:spacing w:line="276" w:lineRule="auto"/>
              <w:ind w:left="350" w:right="28" w:hanging="284"/>
              <w:rPr>
                <w:sz w:val="24"/>
                <w:szCs w:val="24"/>
              </w:rPr>
            </w:pPr>
            <w:r w:rsidRPr="00E3609F">
              <w:rPr>
                <w:sz w:val="24"/>
                <w:szCs w:val="24"/>
              </w:rPr>
              <w:t xml:space="preserve">OSDn we współpracy z </w:t>
            </w:r>
            <w:r>
              <w:rPr>
                <w:sz w:val="24"/>
                <w:szCs w:val="24"/>
              </w:rPr>
              <w:t>OSDp</w:t>
            </w:r>
            <w:r w:rsidRPr="00E3609F">
              <w:rPr>
                <w:sz w:val="24"/>
                <w:szCs w:val="24"/>
              </w:rPr>
              <w:t xml:space="preserve"> - jeśli ORed jest przyłączony wyłącznie do   sieci OSDn, którego sieć jest połączona z siecią </w:t>
            </w:r>
            <w:r>
              <w:rPr>
                <w:sz w:val="24"/>
                <w:szCs w:val="24"/>
              </w:rPr>
              <w:t>OSDp</w:t>
            </w:r>
            <w:r w:rsidRPr="00E3609F">
              <w:rPr>
                <w:sz w:val="24"/>
                <w:szCs w:val="24"/>
              </w:rPr>
              <w:t>;</w:t>
            </w:r>
          </w:p>
          <w:p w14:paraId="7573D8D4" w14:textId="1427F157" w:rsidR="00E70AF6" w:rsidRPr="00E3609F" w:rsidRDefault="00E70AF6" w:rsidP="00766B1F">
            <w:pPr>
              <w:pStyle w:val="TableParagraph"/>
              <w:spacing w:line="276" w:lineRule="auto"/>
              <w:ind w:left="290" w:right="28"/>
              <w:rPr>
                <w:sz w:val="24"/>
                <w:szCs w:val="24"/>
              </w:rPr>
            </w:pPr>
            <w:r w:rsidRPr="00D31E28">
              <w:rPr>
                <w:sz w:val="24"/>
                <w:szCs w:val="24"/>
              </w:rPr>
              <w:t>Certyfikat dla ORed, wzorowany na wzorze Certyfikatu dla ORed, zgodnie</w:t>
            </w:r>
            <w:r w:rsidRPr="00D31E28">
              <w:t xml:space="preserve"> </w:t>
            </w:r>
            <w:r w:rsidRPr="00D31E28">
              <w:br/>
            </w:r>
            <w:r w:rsidRPr="00D31E28">
              <w:rPr>
                <w:sz w:val="24"/>
                <w:szCs w:val="24"/>
              </w:rPr>
              <w:t>z pkt A.</w:t>
            </w:r>
            <w:r w:rsidR="00DB0D2F">
              <w:rPr>
                <w:sz w:val="24"/>
                <w:szCs w:val="24"/>
              </w:rPr>
              <w:t>10</w:t>
            </w:r>
            <w:r w:rsidRPr="00D31E28">
              <w:rPr>
                <w:sz w:val="24"/>
                <w:szCs w:val="24"/>
              </w:rPr>
              <w:t>.1.17.</w:t>
            </w:r>
            <w:r w:rsidRPr="00E3609F">
              <w:rPr>
                <w:sz w:val="24"/>
                <w:szCs w:val="24"/>
              </w:rPr>
              <w:t xml:space="preserve"> wystawia OSDn i przekazuje do upoważnionego przez OSDn </w:t>
            </w:r>
            <w:r>
              <w:rPr>
                <w:sz w:val="24"/>
                <w:szCs w:val="24"/>
              </w:rPr>
              <w:t>OSDp</w:t>
            </w:r>
            <w:r w:rsidRPr="00E3609F">
              <w:rPr>
                <w:sz w:val="24"/>
                <w:szCs w:val="24"/>
              </w:rPr>
              <w:t xml:space="preserve">, celem rejestracji w systemie informatycznym OSP, dedykowanym usłudze </w:t>
            </w:r>
            <w:r w:rsidR="003F63CA">
              <w:rPr>
                <w:sz w:val="24"/>
                <w:szCs w:val="24"/>
              </w:rPr>
              <w:t>interwencyjnej ofertowej redukcji</w:t>
            </w:r>
            <w:r w:rsidRPr="00E3609F">
              <w:rPr>
                <w:sz w:val="24"/>
                <w:szCs w:val="24"/>
              </w:rPr>
              <w:t xml:space="preserve"> </w:t>
            </w:r>
            <w:r w:rsidR="001D6795">
              <w:rPr>
                <w:sz w:val="24"/>
                <w:szCs w:val="24"/>
              </w:rPr>
              <w:t>poboru mocy przez odbiorców na</w:t>
            </w:r>
            <w:r w:rsidRPr="00E3609F">
              <w:rPr>
                <w:sz w:val="24"/>
                <w:szCs w:val="24"/>
              </w:rPr>
              <w:t xml:space="preserve"> polecenie OSP (dalej „system</w:t>
            </w:r>
            <w:r>
              <w:rPr>
                <w:sz w:val="24"/>
                <w:szCs w:val="24"/>
              </w:rPr>
              <w:t xml:space="preserve"> </w:t>
            </w:r>
            <w:r w:rsidRPr="00E3609F">
              <w:rPr>
                <w:sz w:val="24"/>
                <w:szCs w:val="24"/>
              </w:rPr>
              <w:t>IP DSR”) i nadania numeru Certyfikatu dla ORed</w:t>
            </w:r>
            <w:r>
              <w:rPr>
                <w:sz w:val="24"/>
                <w:szCs w:val="24"/>
              </w:rPr>
              <w:t xml:space="preserve"> </w:t>
            </w:r>
            <w:r w:rsidRPr="00E3609F">
              <w:rPr>
                <w:sz w:val="24"/>
                <w:szCs w:val="24"/>
              </w:rPr>
              <w:t xml:space="preserve">i identyfikatora ORed. W tym przypadku OSDn przekazuje do </w:t>
            </w:r>
            <w:r>
              <w:rPr>
                <w:sz w:val="24"/>
                <w:szCs w:val="24"/>
              </w:rPr>
              <w:t>OSDp</w:t>
            </w:r>
            <w:r w:rsidRPr="00E3609F">
              <w:rPr>
                <w:sz w:val="24"/>
                <w:szCs w:val="24"/>
              </w:rPr>
              <w:t xml:space="preserve"> również oświadczenia Odbiorcy w ORed złożone w procesie certyfikacji i zarządzania ORed oraz pełnomocnictwo zawierające umocowanie dla </w:t>
            </w:r>
            <w:r>
              <w:rPr>
                <w:sz w:val="24"/>
                <w:szCs w:val="24"/>
              </w:rPr>
              <w:t>OSDp</w:t>
            </w:r>
            <w:r w:rsidRPr="00E3609F">
              <w:rPr>
                <w:sz w:val="24"/>
                <w:szCs w:val="24"/>
              </w:rPr>
              <w:t xml:space="preserve"> do rejestracji lub wygaszenia</w:t>
            </w:r>
            <w:r>
              <w:rPr>
                <w:sz w:val="24"/>
                <w:szCs w:val="24"/>
              </w:rPr>
              <w:t xml:space="preserve"> </w:t>
            </w:r>
            <w:r w:rsidRPr="00E3609F">
              <w:rPr>
                <w:sz w:val="24"/>
                <w:szCs w:val="24"/>
              </w:rPr>
              <w:t xml:space="preserve">w systemie </w:t>
            </w:r>
            <w:r w:rsidRPr="00E3609F">
              <w:rPr>
                <w:spacing w:val="-3"/>
                <w:sz w:val="24"/>
                <w:szCs w:val="24"/>
              </w:rPr>
              <w:t xml:space="preserve">IP </w:t>
            </w:r>
            <w:r w:rsidRPr="00E3609F">
              <w:rPr>
                <w:sz w:val="24"/>
                <w:szCs w:val="24"/>
              </w:rPr>
              <w:t>DSR Certyfikatu dla ORed wystawionego przez OSDn</w:t>
            </w:r>
            <w:r>
              <w:rPr>
                <w:sz w:val="24"/>
                <w:szCs w:val="24"/>
              </w:rPr>
              <w:t xml:space="preserve"> </w:t>
            </w:r>
            <w:r w:rsidRPr="00E3609F">
              <w:rPr>
                <w:sz w:val="24"/>
                <w:szCs w:val="24"/>
              </w:rPr>
              <w:t>i zmiany statusu tego ORed w systemie IP</w:t>
            </w:r>
            <w:r w:rsidRPr="00E3609F">
              <w:rPr>
                <w:spacing w:val="-6"/>
                <w:sz w:val="24"/>
                <w:szCs w:val="24"/>
              </w:rPr>
              <w:t xml:space="preserve"> </w:t>
            </w:r>
            <w:r w:rsidRPr="00E3609F">
              <w:rPr>
                <w:sz w:val="24"/>
                <w:szCs w:val="24"/>
              </w:rPr>
              <w:t>DSR.</w:t>
            </w:r>
          </w:p>
          <w:p w14:paraId="7852435C" w14:textId="77777777" w:rsidR="00E70AF6" w:rsidRPr="00D31E28" w:rsidRDefault="00E70AF6" w:rsidP="00766B1F">
            <w:pPr>
              <w:pStyle w:val="TableParagraph"/>
              <w:spacing w:line="276" w:lineRule="auto"/>
              <w:ind w:left="290" w:right="28"/>
              <w:rPr>
                <w:sz w:val="24"/>
                <w:szCs w:val="24"/>
              </w:rPr>
            </w:pPr>
            <w:r w:rsidRPr="00E3609F">
              <w:rPr>
                <w:sz w:val="24"/>
                <w:szCs w:val="24"/>
              </w:rPr>
              <w:t xml:space="preserve">OSDn odpowiada za dokonaną </w:t>
            </w:r>
            <w:r w:rsidRPr="00D31E28">
              <w:rPr>
                <w:sz w:val="24"/>
                <w:szCs w:val="24"/>
              </w:rPr>
              <w:t>weryfikację i potwierdzenie spełniania przez ORed kryteriów określonych w pkt A.</w:t>
            </w:r>
            <w:r w:rsidR="00DB0D2F">
              <w:rPr>
                <w:sz w:val="24"/>
                <w:szCs w:val="24"/>
              </w:rPr>
              <w:t>10</w:t>
            </w:r>
            <w:r w:rsidRPr="00D31E28">
              <w:rPr>
                <w:sz w:val="24"/>
                <w:szCs w:val="24"/>
              </w:rPr>
              <w:t>.1.3.</w:t>
            </w:r>
          </w:p>
          <w:p w14:paraId="06EF147D" w14:textId="77777777" w:rsidR="00E70AF6" w:rsidRPr="00E3609F" w:rsidRDefault="00E70AF6" w:rsidP="00766B1F">
            <w:pPr>
              <w:pStyle w:val="TableParagraph"/>
              <w:spacing w:line="276" w:lineRule="auto"/>
              <w:ind w:left="290" w:right="28"/>
              <w:rPr>
                <w:sz w:val="24"/>
                <w:szCs w:val="24"/>
              </w:rPr>
            </w:pPr>
            <w:r w:rsidRPr="00D31E28">
              <w:rPr>
                <w:sz w:val="24"/>
                <w:szCs w:val="24"/>
              </w:rPr>
              <w:t>OSDn wydaje Certyfikat dla ORed w oparciu</w:t>
            </w:r>
            <w:r w:rsidRPr="00E3609F">
              <w:rPr>
                <w:sz w:val="24"/>
                <w:szCs w:val="24"/>
              </w:rPr>
              <w:t xml:space="preserve"> o dane i informacje będące </w:t>
            </w:r>
            <w:r>
              <w:rPr>
                <w:sz w:val="24"/>
                <w:szCs w:val="24"/>
              </w:rPr>
              <w:br/>
            </w:r>
            <w:r w:rsidRPr="00E3609F">
              <w:rPr>
                <w:sz w:val="24"/>
                <w:szCs w:val="24"/>
              </w:rPr>
              <w:t>w jego posiadaniu. W przypadku, gdy</w:t>
            </w:r>
            <w:r w:rsidR="008011C0">
              <w:rPr>
                <w:sz w:val="24"/>
                <w:szCs w:val="24"/>
              </w:rPr>
              <w:t xml:space="preserve"> </w:t>
            </w:r>
            <w:r w:rsidRPr="00E3609F">
              <w:rPr>
                <w:sz w:val="24"/>
                <w:szCs w:val="24"/>
              </w:rPr>
              <w:t xml:space="preserve">OSDn otrzyma od Odbiorcy  </w:t>
            </w:r>
            <w:r>
              <w:rPr>
                <w:sz w:val="24"/>
                <w:szCs w:val="24"/>
              </w:rPr>
              <w:br/>
            </w:r>
            <w:r w:rsidRPr="00E3609F">
              <w:rPr>
                <w:sz w:val="24"/>
                <w:szCs w:val="24"/>
              </w:rPr>
              <w:t>w ORed informację w zakresie przyłączenia ORed również do sieci innego operatora systemu (OSDp lub OSDn), wówczas Certyfikat dla ORed wystawia jeden z tych OSDn, we współpracy z pozostałymi operatorami systemu.</w:t>
            </w:r>
          </w:p>
          <w:p w14:paraId="1CF1C0D3" w14:textId="77777777" w:rsidR="00E70AF6" w:rsidRPr="00EF12CB" w:rsidRDefault="00E70AF6" w:rsidP="00766B1F">
            <w:pPr>
              <w:spacing w:line="276" w:lineRule="auto"/>
              <w:ind w:left="290"/>
              <w:jc w:val="both"/>
            </w:pPr>
            <w:r w:rsidRPr="00213FC5">
              <w:t xml:space="preserve">Jeśli ORed jest zlokalizowany na obszarze sieci OSDn połączonego przynajmniej z dwoma OSDp, Certyfikat dla ORed rejestruje, we współpracy </w:t>
            </w:r>
            <w:r>
              <w:br/>
            </w:r>
            <w:r w:rsidRPr="00213FC5">
              <w:t>z pozostałymi OSDp, ten OSDp, do którego OSDn przekaże wystawiony przez siebie Certyfikat dla</w:t>
            </w:r>
            <w:r w:rsidRPr="00213FC5">
              <w:rPr>
                <w:spacing w:val="-26"/>
              </w:rPr>
              <w:t xml:space="preserve"> </w:t>
            </w:r>
            <w:r w:rsidRPr="00213FC5">
              <w:t>ORed.</w:t>
            </w:r>
          </w:p>
        </w:tc>
      </w:tr>
      <w:tr w:rsidR="00E70AF6" w:rsidRPr="00E3609F" w14:paraId="4A9EC1F6" w14:textId="77777777" w:rsidTr="00431378">
        <w:tc>
          <w:tcPr>
            <w:tcW w:w="1063" w:type="dxa"/>
            <w:shd w:val="clear" w:color="auto" w:fill="auto"/>
          </w:tcPr>
          <w:p w14:paraId="063187C6" w14:textId="77777777" w:rsidR="00E70AF6" w:rsidRPr="00896452" w:rsidRDefault="00E70AF6">
            <w:pPr>
              <w:numPr>
                <w:ilvl w:val="0"/>
                <w:numId w:val="205"/>
              </w:numPr>
              <w:spacing w:line="276" w:lineRule="auto"/>
              <w:ind w:left="0" w:firstLine="0"/>
            </w:pPr>
          </w:p>
        </w:tc>
        <w:tc>
          <w:tcPr>
            <w:tcW w:w="8147" w:type="dxa"/>
            <w:shd w:val="clear" w:color="auto" w:fill="auto"/>
          </w:tcPr>
          <w:p w14:paraId="353257C0" w14:textId="77777777" w:rsidR="00E70AF6" w:rsidRPr="00E3609F" w:rsidRDefault="00E70AF6" w:rsidP="00AE3CAB">
            <w:pPr>
              <w:pStyle w:val="TableParagraph"/>
              <w:spacing w:line="276" w:lineRule="auto"/>
              <w:ind w:left="0"/>
              <w:jc w:val="left"/>
              <w:rPr>
                <w:sz w:val="24"/>
                <w:szCs w:val="24"/>
              </w:rPr>
            </w:pPr>
            <w:r w:rsidRPr="00E3609F">
              <w:rPr>
                <w:sz w:val="24"/>
                <w:szCs w:val="24"/>
              </w:rPr>
              <w:t>Procesem certyfikacji, przeprowadzanym przez właściwego operatora systemu:</w:t>
            </w:r>
          </w:p>
          <w:p w14:paraId="675D3526" w14:textId="77777777" w:rsidR="00E70AF6" w:rsidRPr="00E3609F" w:rsidRDefault="00E70AF6">
            <w:pPr>
              <w:pStyle w:val="TableParagraph"/>
              <w:numPr>
                <w:ilvl w:val="0"/>
                <w:numId w:val="210"/>
              </w:numPr>
              <w:spacing w:line="276" w:lineRule="auto"/>
              <w:ind w:left="350" w:right="28" w:hanging="284"/>
              <w:rPr>
                <w:sz w:val="24"/>
                <w:szCs w:val="24"/>
              </w:rPr>
            </w:pPr>
            <w:r w:rsidRPr="00E3609F">
              <w:rPr>
                <w:sz w:val="24"/>
                <w:szCs w:val="24"/>
              </w:rPr>
              <w:t xml:space="preserve">Objęte są ORed odbiorców podlegających ograniczeniom w dostarczaniu </w:t>
            </w:r>
            <w:r>
              <w:rPr>
                <w:sz w:val="24"/>
                <w:szCs w:val="24"/>
              </w:rPr>
              <w:br/>
            </w:r>
            <w:r w:rsidRPr="00E3609F">
              <w:rPr>
                <w:sz w:val="24"/>
                <w:szCs w:val="24"/>
              </w:rPr>
              <w:t xml:space="preserve">i poborze energii elektrycznej, zgodnie z rozporządzeniem Rady Ministrów określającym szczegółowe zasady i tryb wprowadzania ograniczeń </w:t>
            </w:r>
            <w:r>
              <w:rPr>
                <w:sz w:val="24"/>
                <w:szCs w:val="24"/>
              </w:rPr>
              <w:br/>
            </w:r>
            <w:r w:rsidRPr="00E3609F">
              <w:rPr>
                <w:sz w:val="24"/>
                <w:szCs w:val="24"/>
              </w:rPr>
              <w:t>w sprzedaży paliw stałych oraz w dostarczaniu i poborze energii elektrycznej lub ciepła, wydanym na podstawie art. 11 ustawy Prawo</w:t>
            </w:r>
            <w:r w:rsidRPr="00E3609F">
              <w:rPr>
                <w:spacing w:val="-5"/>
                <w:sz w:val="24"/>
                <w:szCs w:val="24"/>
              </w:rPr>
              <w:t xml:space="preserve"> </w:t>
            </w:r>
            <w:r w:rsidRPr="00E3609F">
              <w:rPr>
                <w:sz w:val="24"/>
                <w:szCs w:val="24"/>
              </w:rPr>
              <w:t>energetyczne.</w:t>
            </w:r>
          </w:p>
          <w:p w14:paraId="7DCCEFE5" w14:textId="77777777" w:rsidR="00E70AF6" w:rsidRPr="00E3609F" w:rsidRDefault="00E70AF6" w:rsidP="00492344">
            <w:pPr>
              <w:pStyle w:val="TableParagraph"/>
              <w:spacing w:line="276" w:lineRule="auto"/>
              <w:ind w:left="583" w:right="28" w:hanging="233"/>
              <w:jc w:val="left"/>
              <w:rPr>
                <w:sz w:val="24"/>
                <w:szCs w:val="24"/>
              </w:rPr>
            </w:pPr>
            <w:r w:rsidRPr="00E3609F">
              <w:rPr>
                <w:sz w:val="24"/>
                <w:szCs w:val="24"/>
              </w:rPr>
              <w:lastRenderedPageBreak/>
              <w:t>W tym przypadku proces certyfikacji przeprowadzany jest:</w:t>
            </w:r>
          </w:p>
          <w:p w14:paraId="3A1C1ABB" w14:textId="77777777" w:rsidR="00E70AF6" w:rsidRPr="00E3609F" w:rsidRDefault="00E70AF6">
            <w:pPr>
              <w:pStyle w:val="TableParagraph"/>
              <w:numPr>
                <w:ilvl w:val="1"/>
                <w:numId w:val="210"/>
              </w:numPr>
              <w:spacing w:line="276" w:lineRule="auto"/>
              <w:ind w:left="775" w:right="28" w:hanging="342"/>
              <w:rPr>
                <w:sz w:val="24"/>
                <w:szCs w:val="24"/>
              </w:rPr>
            </w:pPr>
            <w:r w:rsidRPr="00E3609F">
              <w:rPr>
                <w:sz w:val="24"/>
                <w:szCs w:val="24"/>
              </w:rPr>
              <w:t>w trybie podstawowym, tj. w oparciu o będące w posiadaniu tego operatora zasoby danych i informacje dotyczące odbiorców przyłączonych do jego sieci, lub</w:t>
            </w:r>
          </w:p>
          <w:p w14:paraId="633A3932" w14:textId="77777777" w:rsidR="00E70AF6" w:rsidRPr="00E3609F" w:rsidRDefault="00E70AF6">
            <w:pPr>
              <w:pStyle w:val="TableParagraph"/>
              <w:numPr>
                <w:ilvl w:val="1"/>
                <w:numId w:val="210"/>
              </w:numPr>
              <w:spacing w:line="276" w:lineRule="auto"/>
              <w:ind w:left="775" w:right="28" w:hanging="342"/>
              <w:rPr>
                <w:sz w:val="24"/>
                <w:szCs w:val="24"/>
              </w:rPr>
            </w:pPr>
            <w:r w:rsidRPr="00E3609F">
              <w:rPr>
                <w:sz w:val="24"/>
                <w:szCs w:val="24"/>
              </w:rPr>
              <w:t>w trybie dodatkowym, na wniosek Odbiorcy w ORed lub podmiotu przez niego</w:t>
            </w:r>
            <w:r w:rsidRPr="00E3609F">
              <w:rPr>
                <w:spacing w:val="-1"/>
                <w:sz w:val="24"/>
                <w:szCs w:val="24"/>
              </w:rPr>
              <w:t xml:space="preserve"> </w:t>
            </w:r>
            <w:r w:rsidRPr="00E3609F">
              <w:rPr>
                <w:sz w:val="24"/>
                <w:szCs w:val="24"/>
              </w:rPr>
              <w:t>upoważnionego;</w:t>
            </w:r>
          </w:p>
          <w:p w14:paraId="4BB11505" w14:textId="77777777" w:rsidR="00E70AF6" w:rsidRPr="00A005BF" w:rsidRDefault="00E70AF6">
            <w:pPr>
              <w:pStyle w:val="TableParagraph"/>
              <w:numPr>
                <w:ilvl w:val="0"/>
                <w:numId w:val="210"/>
              </w:numPr>
              <w:tabs>
                <w:tab w:val="left" w:pos="350"/>
              </w:tabs>
              <w:spacing w:line="276" w:lineRule="auto"/>
              <w:ind w:right="28" w:hanging="517"/>
              <w:rPr>
                <w:sz w:val="24"/>
                <w:szCs w:val="24"/>
              </w:rPr>
            </w:pPr>
            <w:r w:rsidRPr="00A005BF">
              <w:rPr>
                <w:sz w:val="24"/>
                <w:szCs w:val="24"/>
              </w:rPr>
              <w:t xml:space="preserve">Mogą być objęte również ORed odbiorców niepodlegających ograniczeniom </w:t>
            </w:r>
            <w:r w:rsidR="00492344">
              <w:rPr>
                <w:sz w:val="24"/>
                <w:szCs w:val="24"/>
              </w:rPr>
              <w:br/>
            </w:r>
            <w:r w:rsidRPr="00A005BF">
              <w:rPr>
                <w:sz w:val="24"/>
                <w:szCs w:val="24"/>
              </w:rPr>
              <w:t>w dostarczaniu i poborze energii elektrycznej, zgodnie z</w:t>
            </w:r>
            <w:r w:rsidRPr="00A005BF">
              <w:rPr>
                <w:spacing w:val="32"/>
                <w:sz w:val="24"/>
                <w:szCs w:val="24"/>
              </w:rPr>
              <w:t xml:space="preserve"> </w:t>
            </w:r>
            <w:r w:rsidRPr="00A005BF">
              <w:rPr>
                <w:sz w:val="24"/>
                <w:szCs w:val="24"/>
              </w:rPr>
              <w:t>rozporządzeniem,</w:t>
            </w:r>
            <w:r>
              <w:rPr>
                <w:sz w:val="24"/>
                <w:szCs w:val="24"/>
              </w:rPr>
              <w:t xml:space="preserve"> </w:t>
            </w:r>
            <w:r w:rsidR="00492344">
              <w:rPr>
                <w:sz w:val="24"/>
                <w:szCs w:val="24"/>
              </w:rPr>
              <w:br/>
            </w:r>
            <w:r w:rsidRPr="00A005BF">
              <w:rPr>
                <w:sz w:val="24"/>
                <w:szCs w:val="24"/>
              </w:rPr>
              <w:t xml:space="preserve">o którym mowa w pkt 1), z wyłączeniem odbiorców energii elektrycznej </w:t>
            </w:r>
            <w:r w:rsidR="0066680B">
              <w:rPr>
                <w:sz w:val="24"/>
                <w:szCs w:val="24"/>
              </w:rPr>
              <w:br/>
            </w:r>
            <w:r w:rsidRPr="00A005BF">
              <w:rPr>
                <w:sz w:val="24"/>
                <w:szCs w:val="24"/>
              </w:rPr>
              <w:t>w gospodarstwach</w:t>
            </w:r>
            <w:r w:rsidRPr="00A005BF">
              <w:rPr>
                <w:spacing w:val="-2"/>
                <w:sz w:val="24"/>
                <w:szCs w:val="24"/>
              </w:rPr>
              <w:t xml:space="preserve"> </w:t>
            </w:r>
            <w:r w:rsidRPr="00A005BF">
              <w:rPr>
                <w:sz w:val="24"/>
                <w:szCs w:val="24"/>
              </w:rPr>
              <w:t>domowych.</w:t>
            </w:r>
          </w:p>
          <w:p w14:paraId="63804332" w14:textId="77777777" w:rsidR="00E70AF6" w:rsidRPr="00E3609F" w:rsidRDefault="00E70AF6" w:rsidP="0066680B">
            <w:pPr>
              <w:pStyle w:val="TableParagraph"/>
              <w:spacing w:line="276" w:lineRule="auto"/>
              <w:ind w:left="66" w:right="28"/>
              <w:rPr>
                <w:sz w:val="24"/>
                <w:szCs w:val="24"/>
              </w:rPr>
            </w:pPr>
            <w:r w:rsidRPr="00E3609F">
              <w:rPr>
                <w:sz w:val="24"/>
                <w:szCs w:val="24"/>
              </w:rPr>
              <w:t xml:space="preserve">W tym przypadku proces certyfikacji przeprowadzany jest wyłącznie </w:t>
            </w:r>
            <w:r>
              <w:rPr>
                <w:sz w:val="24"/>
                <w:szCs w:val="24"/>
              </w:rPr>
              <w:br/>
            </w:r>
            <w:r w:rsidRPr="00E3609F">
              <w:rPr>
                <w:sz w:val="24"/>
                <w:szCs w:val="24"/>
              </w:rPr>
              <w:t>w trybie dodatkowym (na wniosek Odbiorcy w ORed lub podmiotu przez niego upoważnionego).</w:t>
            </w:r>
          </w:p>
        </w:tc>
      </w:tr>
      <w:tr w:rsidR="00E70AF6" w:rsidRPr="00EF12CB" w14:paraId="752DFBCC" w14:textId="77777777" w:rsidTr="00431378">
        <w:tc>
          <w:tcPr>
            <w:tcW w:w="1063" w:type="dxa"/>
            <w:shd w:val="clear" w:color="auto" w:fill="auto"/>
          </w:tcPr>
          <w:p w14:paraId="4783CA51" w14:textId="77777777" w:rsidR="00E70AF6" w:rsidRPr="00896452" w:rsidRDefault="00E70AF6">
            <w:pPr>
              <w:numPr>
                <w:ilvl w:val="0"/>
                <w:numId w:val="205"/>
              </w:numPr>
              <w:spacing w:line="276" w:lineRule="auto"/>
              <w:ind w:left="0" w:firstLine="0"/>
            </w:pPr>
          </w:p>
        </w:tc>
        <w:tc>
          <w:tcPr>
            <w:tcW w:w="8147" w:type="dxa"/>
            <w:shd w:val="clear" w:color="auto" w:fill="auto"/>
          </w:tcPr>
          <w:p w14:paraId="25F55800" w14:textId="77777777" w:rsidR="00E70AF6" w:rsidRPr="00E3609F" w:rsidRDefault="00E70AF6" w:rsidP="00AE3CAB">
            <w:pPr>
              <w:pStyle w:val="TableParagraph"/>
              <w:spacing w:line="276" w:lineRule="auto"/>
              <w:ind w:left="33"/>
              <w:rPr>
                <w:sz w:val="24"/>
                <w:szCs w:val="24"/>
              </w:rPr>
            </w:pPr>
            <w:r w:rsidRPr="00E3609F">
              <w:rPr>
                <w:sz w:val="24"/>
                <w:szCs w:val="24"/>
              </w:rPr>
              <w:t>Certyfikacja w trybie podstawowym, o której mowa w pkt. A.</w:t>
            </w:r>
            <w:r w:rsidR="00DB0D2F">
              <w:rPr>
                <w:sz w:val="24"/>
                <w:szCs w:val="24"/>
              </w:rPr>
              <w:t>10</w:t>
            </w:r>
            <w:r w:rsidRPr="00E3609F">
              <w:rPr>
                <w:sz w:val="24"/>
                <w:szCs w:val="24"/>
              </w:rPr>
              <w:t xml:space="preserve">.1.6. ppkt. 1) </w:t>
            </w:r>
            <w:r w:rsidR="00DB0D2F">
              <w:rPr>
                <w:sz w:val="24"/>
                <w:szCs w:val="24"/>
              </w:rPr>
              <w:br/>
            </w:r>
            <w:r w:rsidRPr="00E3609F">
              <w:rPr>
                <w:sz w:val="24"/>
                <w:szCs w:val="24"/>
              </w:rPr>
              <w:t>lit. a) dokonywana jest na poniższych zasadach.</w:t>
            </w:r>
          </w:p>
          <w:p w14:paraId="503DB1EB" w14:textId="77777777" w:rsidR="00E70AF6" w:rsidRPr="00E3609F" w:rsidRDefault="00E70AF6" w:rsidP="00AE3CAB">
            <w:pPr>
              <w:pStyle w:val="TableParagraph"/>
              <w:spacing w:line="276" w:lineRule="auto"/>
              <w:ind w:left="33"/>
              <w:rPr>
                <w:sz w:val="24"/>
                <w:szCs w:val="24"/>
              </w:rPr>
            </w:pPr>
            <w:r w:rsidRPr="00E3609F">
              <w:rPr>
                <w:sz w:val="24"/>
                <w:szCs w:val="24"/>
              </w:rPr>
              <w:t xml:space="preserve">OSD jako podmioty zobowiązane do przeprowadzenia procesu certyfikacji wszystkich ORed odbiorców podlegających ograniczeniom w dostarczaniu </w:t>
            </w:r>
            <w:r>
              <w:rPr>
                <w:sz w:val="24"/>
                <w:szCs w:val="24"/>
              </w:rPr>
              <w:br/>
            </w:r>
            <w:r w:rsidRPr="00E3609F">
              <w:rPr>
                <w:sz w:val="24"/>
                <w:szCs w:val="24"/>
              </w:rPr>
              <w:t>i poborze energii elektrycznej, realizują ten proces w następujących terminach:</w:t>
            </w:r>
          </w:p>
          <w:p w14:paraId="69DF6DDE" w14:textId="77777777" w:rsidR="00E70AF6" w:rsidRDefault="00E70AF6">
            <w:pPr>
              <w:pStyle w:val="TableParagraph"/>
              <w:numPr>
                <w:ilvl w:val="0"/>
                <w:numId w:val="211"/>
              </w:numPr>
              <w:spacing w:line="276" w:lineRule="auto"/>
              <w:ind w:left="350" w:hanging="284"/>
              <w:rPr>
                <w:sz w:val="24"/>
                <w:szCs w:val="24"/>
              </w:rPr>
            </w:pPr>
            <w:r w:rsidRPr="00E3609F">
              <w:rPr>
                <w:sz w:val="24"/>
                <w:szCs w:val="24"/>
              </w:rPr>
              <w:t>W terminie 4 miesięcy od daty wejścia w życie zmian IRiESP wprowadzających certyfikację ORed w trybie podstawowym - dotyczy przypadku certyfikacji obejmującej wszystkie ORed, jako procesu dokonywanego po raz pierwszy;</w:t>
            </w:r>
          </w:p>
          <w:p w14:paraId="3B86D443" w14:textId="77777777" w:rsidR="00E70AF6" w:rsidRPr="00E3609F" w:rsidRDefault="00E70AF6">
            <w:pPr>
              <w:pStyle w:val="TableParagraph"/>
              <w:numPr>
                <w:ilvl w:val="0"/>
                <w:numId w:val="211"/>
              </w:numPr>
              <w:spacing w:line="276" w:lineRule="auto"/>
              <w:ind w:left="350" w:hanging="284"/>
              <w:rPr>
                <w:sz w:val="24"/>
                <w:szCs w:val="24"/>
              </w:rPr>
            </w:pPr>
            <w:r w:rsidRPr="00E3609F">
              <w:rPr>
                <w:sz w:val="24"/>
                <w:szCs w:val="24"/>
              </w:rPr>
              <w:t>W terminie 30 dni od dnia, od którego:</w:t>
            </w:r>
          </w:p>
          <w:p w14:paraId="3E89D66C" w14:textId="77777777" w:rsidR="00E70AF6" w:rsidRPr="00E3609F" w:rsidRDefault="00E70AF6">
            <w:pPr>
              <w:pStyle w:val="TableParagraph"/>
              <w:numPr>
                <w:ilvl w:val="1"/>
                <w:numId w:val="211"/>
              </w:numPr>
              <w:spacing w:line="276" w:lineRule="auto"/>
              <w:ind w:left="775" w:hanging="283"/>
              <w:rPr>
                <w:sz w:val="24"/>
                <w:szCs w:val="24"/>
              </w:rPr>
            </w:pPr>
            <w:r w:rsidRPr="00E3609F">
              <w:rPr>
                <w:sz w:val="24"/>
                <w:szCs w:val="24"/>
              </w:rPr>
              <w:t xml:space="preserve">Odbiorca w ORed zaczyna podlegać ograniczeniom </w:t>
            </w:r>
            <w:r>
              <w:rPr>
                <w:sz w:val="24"/>
                <w:szCs w:val="24"/>
              </w:rPr>
              <w:br/>
            </w:r>
            <w:r w:rsidRPr="00E3609F">
              <w:rPr>
                <w:sz w:val="24"/>
                <w:szCs w:val="24"/>
              </w:rPr>
              <w:t xml:space="preserve">w dostarczaniu i poborze energii elektrycznej, zgodnie </w:t>
            </w:r>
            <w:r>
              <w:rPr>
                <w:sz w:val="24"/>
                <w:szCs w:val="24"/>
              </w:rPr>
              <w:br/>
            </w:r>
            <w:r w:rsidRPr="00E3609F">
              <w:rPr>
                <w:sz w:val="24"/>
                <w:szCs w:val="24"/>
              </w:rPr>
              <w:t>z przepisami rozporządzenia, o którym mowa w pkt A.</w:t>
            </w:r>
            <w:r w:rsidR="00DB0D2F">
              <w:rPr>
                <w:sz w:val="24"/>
                <w:szCs w:val="24"/>
              </w:rPr>
              <w:t>10</w:t>
            </w:r>
            <w:r w:rsidRPr="00E3609F">
              <w:rPr>
                <w:sz w:val="24"/>
                <w:szCs w:val="24"/>
              </w:rPr>
              <w:t xml:space="preserve">.1.6 </w:t>
            </w:r>
            <w:r>
              <w:rPr>
                <w:sz w:val="24"/>
                <w:szCs w:val="24"/>
              </w:rPr>
              <w:br/>
            </w:r>
            <w:r w:rsidRPr="00E3609F">
              <w:rPr>
                <w:sz w:val="24"/>
                <w:szCs w:val="24"/>
              </w:rPr>
              <w:t>ppkt 1),</w:t>
            </w:r>
            <w:r w:rsidRPr="00E3609F">
              <w:rPr>
                <w:spacing w:val="-1"/>
                <w:sz w:val="24"/>
                <w:szCs w:val="24"/>
              </w:rPr>
              <w:t xml:space="preserve"> </w:t>
            </w:r>
            <w:r w:rsidRPr="00E3609F">
              <w:rPr>
                <w:sz w:val="24"/>
                <w:szCs w:val="24"/>
              </w:rPr>
              <w:t>lub</w:t>
            </w:r>
          </w:p>
          <w:p w14:paraId="48F3BD08" w14:textId="77777777" w:rsidR="00E70AF6" w:rsidRPr="00E3609F" w:rsidRDefault="00E70AF6">
            <w:pPr>
              <w:pStyle w:val="TableParagraph"/>
              <w:numPr>
                <w:ilvl w:val="1"/>
                <w:numId w:val="211"/>
              </w:numPr>
              <w:spacing w:line="276" w:lineRule="auto"/>
              <w:ind w:left="775" w:hanging="283"/>
              <w:rPr>
                <w:sz w:val="24"/>
                <w:szCs w:val="24"/>
              </w:rPr>
            </w:pPr>
            <w:r w:rsidRPr="00E3609F">
              <w:rPr>
                <w:sz w:val="24"/>
                <w:szCs w:val="24"/>
              </w:rPr>
              <w:t xml:space="preserve">odpowiednio </w:t>
            </w:r>
            <w:r>
              <w:rPr>
                <w:sz w:val="24"/>
                <w:szCs w:val="24"/>
              </w:rPr>
              <w:t>OSDp</w:t>
            </w:r>
            <w:r w:rsidRPr="00E3609F">
              <w:rPr>
                <w:sz w:val="24"/>
                <w:szCs w:val="24"/>
              </w:rPr>
              <w:t xml:space="preserve"> albo OSDn pozyska informację wskazującą, że przyczyna niewydania</w:t>
            </w:r>
            <w:r w:rsidR="00725C23">
              <w:rPr>
                <w:sz w:val="24"/>
                <w:szCs w:val="24"/>
              </w:rPr>
              <w:t xml:space="preserve"> </w:t>
            </w:r>
            <w:r w:rsidRPr="00E3609F">
              <w:rPr>
                <w:sz w:val="24"/>
                <w:szCs w:val="24"/>
              </w:rPr>
              <w:t xml:space="preserve">Certyfikatu dla ORed została usunięta </w:t>
            </w:r>
            <w:r>
              <w:rPr>
                <w:sz w:val="24"/>
                <w:szCs w:val="24"/>
              </w:rPr>
              <w:br/>
            </w:r>
            <w:r w:rsidRPr="00E3609F">
              <w:rPr>
                <w:sz w:val="24"/>
                <w:szCs w:val="24"/>
              </w:rPr>
              <w:t>(w takim przypadku właściwy operator systemu ponawia proces certyfikacji w trybie</w:t>
            </w:r>
            <w:r w:rsidRPr="00E3609F">
              <w:rPr>
                <w:spacing w:val="-1"/>
                <w:sz w:val="24"/>
                <w:szCs w:val="24"/>
              </w:rPr>
              <w:t xml:space="preserve"> </w:t>
            </w:r>
            <w:r w:rsidRPr="00E3609F">
              <w:rPr>
                <w:sz w:val="24"/>
                <w:szCs w:val="24"/>
              </w:rPr>
              <w:t>podstawowym),</w:t>
            </w:r>
          </w:p>
          <w:p w14:paraId="49A7C6E7" w14:textId="77777777" w:rsidR="00E70AF6" w:rsidRPr="00E3609F" w:rsidRDefault="00E70AF6" w:rsidP="001A3755">
            <w:pPr>
              <w:pStyle w:val="TableParagraph"/>
              <w:spacing w:line="276" w:lineRule="auto"/>
              <w:ind w:left="775" w:hanging="283"/>
              <w:rPr>
                <w:sz w:val="24"/>
                <w:szCs w:val="24"/>
              </w:rPr>
            </w:pPr>
            <w:r w:rsidRPr="00E3609F">
              <w:rPr>
                <w:sz w:val="24"/>
                <w:szCs w:val="24"/>
              </w:rPr>
              <w:t>- dotyczy przypadku certyfikacji, obejmującej pojedyncze ORed, dokonywanej po upływie terminu wskazanego w pkt 1).</w:t>
            </w:r>
          </w:p>
          <w:p w14:paraId="44867471" w14:textId="77777777" w:rsidR="00E70AF6" w:rsidRPr="00EF12CB" w:rsidRDefault="00E70AF6" w:rsidP="00AE3CAB">
            <w:pPr>
              <w:spacing w:line="276" w:lineRule="auto"/>
              <w:jc w:val="both"/>
            </w:pPr>
            <w:r w:rsidRPr="00E3609F">
              <w:t>Certyfikacji, zgodnie z pkt 2), poddawane są wyłącznie ORed tych odbiorców, dla których to ORed nie został wydany uprzednio Certyfikat dla ORed.</w:t>
            </w:r>
          </w:p>
        </w:tc>
      </w:tr>
      <w:tr w:rsidR="00E70AF6" w:rsidRPr="00E3609F" w14:paraId="01663448" w14:textId="77777777" w:rsidTr="00431378">
        <w:tc>
          <w:tcPr>
            <w:tcW w:w="1063" w:type="dxa"/>
            <w:shd w:val="clear" w:color="auto" w:fill="auto"/>
          </w:tcPr>
          <w:p w14:paraId="0021BEC5" w14:textId="77777777" w:rsidR="00E70AF6" w:rsidRPr="00896452" w:rsidRDefault="00E70AF6" w:rsidP="00AE3CAB">
            <w:pPr>
              <w:spacing w:line="276" w:lineRule="auto"/>
              <w:ind w:right="-69"/>
            </w:pPr>
            <w:r w:rsidRPr="00D96564">
              <w:rPr>
                <w:sz w:val="22"/>
                <w:szCs w:val="22"/>
              </w:rPr>
              <w:t>A.</w:t>
            </w:r>
            <w:r w:rsidR="00D96564" w:rsidRPr="00D96564">
              <w:rPr>
                <w:sz w:val="22"/>
                <w:szCs w:val="22"/>
              </w:rPr>
              <w:t>10</w:t>
            </w:r>
            <w:r w:rsidRPr="00D96564">
              <w:rPr>
                <w:sz w:val="22"/>
                <w:szCs w:val="22"/>
              </w:rPr>
              <w:t>.1.7.1</w:t>
            </w:r>
            <w:r>
              <w:t>.</w:t>
            </w:r>
          </w:p>
        </w:tc>
        <w:tc>
          <w:tcPr>
            <w:tcW w:w="8147" w:type="dxa"/>
            <w:shd w:val="clear" w:color="auto" w:fill="auto"/>
          </w:tcPr>
          <w:p w14:paraId="29A03035" w14:textId="77777777" w:rsidR="00E70AF6" w:rsidRPr="00E3609F" w:rsidRDefault="00E70AF6" w:rsidP="00AE3CAB">
            <w:pPr>
              <w:pStyle w:val="TableParagraph"/>
              <w:spacing w:line="276" w:lineRule="auto"/>
              <w:ind w:left="33"/>
              <w:rPr>
                <w:sz w:val="24"/>
                <w:szCs w:val="24"/>
              </w:rPr>
            </w:pPr>
            <w:r w:rsidRPr="00E3609F">
              <w:rPr>
                <w:sz w:val="24"/>
                <w:szCs w:val="24"/>
              </w:rPr>
              <w:t>Certyfikacja obejmuje weryfikację kryteriów określonych w pkt. A.</w:t>
            </w:r>
            <w:r w:rsidR="00D96564">
              <w:rPr>
                <w:sz w:val="24"/>
                <w:szCs w:val="24"/>
              </w:rPr>
              <w:t>10</w:t>
            </w:r>
            <w:r w:rsidRPr="00E3609F">
              <w:rPr>
                <w:sz w:val="24"/>
                <w:szCs w:val="24"/>
              </w:rPr>
              <w:t>.1.3.</w:t>
            </w:r>
          </w:p>
        </w:tc>
      </w:tr>
      <w:tr w:rsidR="00E70AF6" w:rsidRPr="00E3609F" w14:paraId="18CE1717" w14:textId="77777777" w:rsidTr="00431378">
        <w:tc>
          <w:tcPr>
            <w:tcW w:w="1063" w:type="dxa"/>
            <w:shd w:val="clear" w:color="auto" w:fill="auto"/>
          </w:tcPr>
          <w:p w14:paraId="48F0538C" w14:textId="77777777" w:rsidR="00E70AF6" w:rsidRPr="00D96564" w:rsidRDefault="00E70AF6" w:rsidP="00AE3CAB">
            <w:pPr>
              <w:spacing w:line="276" w:lineRule="auto"/>
              <w:ind w:right="-69"/>
              <w:rPr>
                <w:sz w:val="22"/>
                <w:szCs w:val="22"/>
              </w:rPr>
            </w:pPr>
            <w:r w:rsidRPr="00D96564">
              <w:rPr>
                <w:sz w:val="22"/>
                <w:szCs w:val="22"/>
              </w:rPr>
              <w:t>A.</w:t>
            </w:r>
            <w:r w:rsidR="00D96564" w:rsidRPr="00D96564">
              <w:rPr>
                <w:sz w:val="22"/>
                <w:szCs w:val="22"/>
              </w:rPr>
              <w:t>10</w:t>
            </w:r>
            <w:r w:rsidRPr="00D96564">
              <w:rPr>
                <w:sz w:val="22"/>
                <w:szCs w:val="22"/>
              </w:rPr>
              <w:t>.1.7.2.</w:t>
            </w:r>
          </w:p>
        </w:tc>
        <w:tc>
          <w:tcPr>
            <w:tcW w:w="8147" w:type="dxa"/>
            <w:shd w:val="clear" w:color="auto" w:fill="auto"/>
          </w:tcPr>
          <w:p w14:paraId="46C1EDD6" w14:textId="77777777" w:rsidR="00E70AF6" w:rsidRPr="00E3609F" w:rsidRDefault="00E70AF6" w:rsidP="00AE3CAB">
            <w:pPr>
              <w:pStyle w:val="TableParagraph"/>
              <w:spacing w:line="276" w:lineRule="auto"/>
              <w:ind w:left="0"/>
              <w:rPr>
                <w:sz w:val="24"/>
                <w:szCs w:val="24"/>
              </w:rPr>
            </w:pPr>
            <w:r w:rsidRPr="00E3609F">
              <w:rPr>
                <w:sz w:val="24"/>
                <w:szCs w:val="24"/>
              </w:rPr>
              <w:t>Jeżeli wynik weryfikacji, o której mowa w pkt. A.</w:t>
            </w:r>
            <w:r w:rsidR="00D96564">
              <w:rPr>
                <w:sz w:val="24"/>
                <w:szCs w:val="24"/>
              </w:rPr>
              <w:t>10</w:t>
            </w:r>
            <w:r w:rsidRPr="00E3609F">
              <w:rPr>
                <w:sz w:val="24"/>
                <w:szCs w:val="24"/>
              </w:rPr>
              <w:t xml:space="preserve">.1.7.1., jest pozytywny, wówczas odpowiednio </w:t>
            </w:r>
            <w:r>
              <w:rPr>
                <w:sz w:val="24"/>
                <w:szCs w:val="24"/>
              </w:rPr>
              <w:t>OSDp</w:t>
            </w:r>
            <w:r w:rsidRPr="00E3609F">
              <w:rPr>
                <w:sz w:val="24"/>
                <w:szCs w:val="24"/>
              </w:rPr>
              <w:t xml:space="preserve"> albo OSDn wydaje Certyfikat dla ORed,  </w:t>
            </w:r>
            <w:r>
              <w:rPr>
                <w:sz w:val="24"/>
                <w:szCs w:val="24"/>
              </w:rPr>
              <w:br/>
            </w:r>
            <w:r w:rsidRPr="00E3609F">
              <w:rPr>
                <w:sz w:val="24"/>
                <w:szCs w:val="24"/>
              </w:rPr>
              <w:t xml:space="preserve">w przeciwnym wypadku Certyfikat dla ORed nie jest wydawany i odpowiednio </w:t>
            </w:r>
            <w:r>
              <w:rPr>
                <w:sz w:val="24"/>
                <w:szCs w:val="24"/>
              </w:rPr>
              <w:t>OSDp</w:t>
            </w:r>
            <w:r w:rsidRPr="00E3609F">
              <w:rPr>
                <w:sz w:val="24"/>
                <w:szCs w:val="24"/>
              </w:rPr>
              <w:t xml:space="preserve"> albo OSDn informuje Odbiorcę w ORed</w:t>
            </w:r>
            <w:r>
              <w:rPr>
                <w:sz w:val="24"/>
                <w:szCs w:val="24"/>
              </w:rPr>
              <w:t xml:space="preserve"> </w:t>
            </w:r>
            <w:r w:rsidRPr="00E3609F">
              <w:rPr>
                <w:sz w:val="24"/>
                <w:szCs w:val="24"/>
              </w:rPr>
              <w:t>o przyczynie nie wydania tego</w:t>
            </w:r>
            <w:r w:rsidRPr="00E3609F">
              <w:rPr>
                <w:spacing w:val="-1"/>
                <w:sz w:val="24"/>
                <w:szCs w:val="24"/>
              </w:rPr>
              <w:t xml:space="preserve"> </w:t>
            </w:r>
            <w:r w:rsidRPr="00E3609F">
              <w:rPr>
                <w:sz w:val="24"/>
                <w:szCs w:val="24"/>
              </w:rPr>
              <w:t>certyfikatu.</w:t>
            </w:r>
          </w:p>
        </w:tc>
      </w:tr>
      <w:tr w:rsidR="00E70AF6" w:rsidRPr="00E3609F" w14:paraId="37381C98" w14:textId="77777777" w:rsidTr="00431378">
        <w:tc>
          <w:tcPr>
            <w:tcW w:w="1063" w:type="dxa"/>
            <w:shd w:val="clear" w:color="auto" w:fill="auto"/>
          </w:tcPr>
          <w:p w14:paraId="355899DC" w14:textId="77777777" w:rsidR="00E70AF6" w:rsidRPr="00D96564" w:rsidRDefault="00E70AF6" w:rsidP="00AE3CAB">
            <w:pPr>
              <w:spacing w:line="276" w:lineRule="auto"/>
              <w:ind w:right="-69"/>
              <w:rPr>
                <w:sz w:val="22"/>
                <w:szCs w:val="22"/>
              </w:rPr>
            </w:pPr>
            <w:r w:rsidRPr="00D96564">
              <w:rPr>
                <w:sz w:val="22"/>
                <w:szCs w:val="22"/>
              </w:rPr>
              <w:t>A.</w:t>
            </w:r>
            <w:r w:rsidR="00D96564" w:rsidRPr="00D96564">
              <w:rPr>
                <w:sz w:val="22"/>
                <w:szCs w:val="22"/>
              </w:rPr>
              <w:t>10</w:t>
            </w:r>
            <w:r w:rsidRPr="00D96564">
              <w:rPr>
                <w:sz w:val="22"/>
                <w:szCs w:val="22"/>
              </w:rPr>
              <w:t>.1.7.3.</w:t>
            </w:r>
          </w:p>
        </w:tc>
        <w:tc>
          <w:tcPr>
            <w:tcW w:w="8147" w:type="dxa"/>
            <w:shd w:val="clear" w:color="auto" w:fill="auto"/>
          </w:tcPr>
          <w:p w14:paraId="231351DC" w14:textId="77777777" w:rsidR="00E70AF6" w:rsidRPr="00E3609F" w:rsidRDefault="00E70AF6" w:rsidP="00AE3CAB">
            <w:pPr>
              <w:pStyle w:val="TableParagraph"/>
              <w:spacing w:line="276" w:lineRule="auto"/>
              <w:ind w:left="33"/>
              <w:rPr>
                <w:sz w:val="24"/>
                <w:szCs w:val="24"/>
              </w:rPr>
            </w:pPr>
            <w:r w:rsidRPr="00E3609F">
              <w:rPr>
                <w:sz w:val="24"/>
                <w:szCs w:val="24"/>
              </w:rPr>
              <w:t>Jeżeli przyczyną nie wydania Certyfikatu dla ORed jest negatywny wynik weryfikacji kryteriów określonych w pkt A.</w:t>
            </w:r>
            <w:r w:rsidR="00D96564">
              <w:rPr>
                <w:sz w:val="24"/>
                <w:szCs w:val="24"/>
              </w:rPr>
              <w:t>10</w:t>
            </w:r>
            <w:r w:rsidRPr="00E3609F">
              <w:rPr>
                <w:sz w:val="24"/>
                <w:szCs w:val="24"/>
              </w:rPr>
              <w:t xml:space="preserve">.1.3. pkt 2) nie powoduje to obowiązku dostosowania odpowiednio przez </w:t>
            </w:r>
            <w:r>
              <w:rPr>
                <w:sz w:val="24"/>
                <w:szCs w:val="24"/>
              </w:rPr>
              <w:t xml:space="preserve">OSDp </w:t>
            </w:r>
            <w:r w:rsidRPr="00E3609F">
              <w:rPr>
                <w:sz w:val="24"/>
                <w:szCs w:val="24"/>
              </w:rPr>
              <w:t xml:space="preserve">albo OSDn układów </w:t>
            </w:r>
            <w:r w:rsidRPr="00E3609F">
              <w:rPr>
                <w:sz w:val="24"/>
                <w:szCs w:val="24"/>
              </w:rPr>
              <w:lastRenderedPageBreak/>
              <w:t>pomiarowo-rozliczeniowych do wymagań określonych w tym punkcie.</w:t>
            </w:r>
          </w:p>
        </w:tc>
      </w:tr>
      <w:tr w:rsidR="00E70AF6" w:rsidRPr="00E3609F" w14:paraId="5A18F105" w14:textId="77777777" w:rsidTr="00431378">
        <w:tc>
          <w:tcPr>
            <w:tcW w:w="1063" w:type="dxa"/>
            <w:shd w:val="clear" w:color="auto" w:fill="auto"/>
          </w:tcPr>
          <w:p w14:paraId="7EADCB7B" w14:textId="77777777" w:rsidR="00E70AF6" w:rsidRPr="00D96564" w:rsidRDefault="00E70AF6" w:rsidP="00AE3CAB">
            <w:pPr>
              <w:spacing w:line="276" w:lineRule="auto"/>
              <w:ind w:right="-69"/>
              <w:rPr>
                <w:sz w:val="22"/>
                <w:szCs w:val="22"/>
              </w:rPr>
            </w:pPr>
            <w:r w:rsidRPr="00D96564">
              <w:rPr>
                <w:sz w:val="22"/>
                <w:szCs w:val="22"/>
              </w:rPr>
              <w:lastRenderedPageBreak/>
              <w:t>A.</w:t>
            </w:r>
            <w:r w:rsidR="00D96564" w:rsidRPr="00D96564">
              <w:rPr>
                <w:sz w:val="22"/>
                <w:szCs w:val="22"/>
              </w:rPr>
              <w:t>10</w:t>
            </w:r>
            <w:r w:rsidRPr="00D96564">
              <w:rPr>
                <w:sz w:val="22"/>
                <w:szCs w:val="22"/>
              </w:rPr>
              <w:t>.1.7.4.</w:t>
            </w:r>
          </w:p>
        </w:tc>
        <w:tc>
          <w:tcPr>
            <w:tcW w:w="8147" w:type="dxa"/>
            <w:shd w:val="clear" w:color="auto" w:fill="auto"/>
          </w:tcPr>
          <w:p w14:paraId="6C642CD6" w14:textId="77777777" w:rsidR="00E70AF6" w:rsidRPr="00E3609F" w:rsidRDefault="00E70AF6" w:rsidP="00AE3CAB">
            <w:pPr>
              <w:pStyle w:val="TableParagraph"/>
              <w:spacing w:line="276" w:lineRule="auto"/>
              <w:ind w:left="33"/>
              <w:rPr>
                <w:sz w:val="24"/>
                <w:szCs w:val="24"/>
              </w:rPr>
            </w:pPr>
            <w:r w:rsidRPr="00E3609F">
              <w:rPr>
                <w:sz w:val="24"/>
                <w:szCs w:val="24"/>
              </w:rPr>
              <w:t xml:space="preserve">Nie skutkuje wygaszeniem Certyfikatu dla ORed sytuacja, w której odbiorca, któremu wydano taki certyfikat przestaje, niezależnie od przyczyny, podlegać ograniczeniom w dostarczaniu i poborze energii elektrycznej, zgodnie </w:t>
            </w:r>
            <w:r>
              <w:rPr>
                <w:sz w:val="24"/>
                <w:szCs w:val="24"/>
              </w:rPr>
              <w:br/>
            </w:r>
            <w:r w:rsidRPr="00E3609F">
              <w:rPr>
                <w:sz w:val="24"/>
                <w:szCs w:val="24"/>
              </w:rPr>
              <w:t>z przepisami rozporządzenia, o którym mowa w pkt A.</w:t>
            </w:r>
            <w:r w:rsidR="00D96564">
              <w:rPr>
                <w:sz w:val="24"/>
                <w:szCs w:val="24"/>
              </w:rPr>
              <w:t>10</w:t>
            </w:r>
            <w:r w:rsidRPr="00E3609F">
              <w:rPr>
                <w:sz w:val="24"/>
                <w:szCs w:val="24"/>
              </w:rPr>
              <w:t>.1.6. pkt</w:t>
            </w:r>
            <w:r w:rsidRPr="00E3609F">
              <w:rPr>
                <w:spacing w:val="-1"/>
                <w:sz w:val="24"/>
                <w:szCs w:val="24"/>
              </w:rPr>
              <w:t xml:space="preserve"> </w:t>
            </w:r>
            <w:r w:rsidRPr="00E3609F">
              <w:rPr>
                <w:sz w:val="24"/>
                <w:szCs w:val="24"/>
              </w:rPr>
              <w:t>1).</w:t>
            </w:r>
          </w:p>
        </w:tc>
      </w:tr>
      <w:tr w:rsidR="00E70AF6" w:rsidRPr="00EF12CB" w14:paraId="773B0CF2" w14:textId="77777777" w:rsidTr="00431378">
        <w:tc>
          <w:tcPr>
            <w:tcW w:w="1063" w:type="dxa"/>
            <w:shd w:val="clear" w:color="auto" w:fill="auto"/>
          </w:tcPr>
          <w:p w14:paraId="09E34096" w14:textId="77777777" w:rsidR="00E70AF6" w:rsidRPr="00896452" w:rsidRDefault="00E70AF6">
            <w:pPr>
              <w:numPr>
                <w:ilvl w:val="0"/>
                <w:numId w:val="205"/>
              </w:numPr>
              <w:spacing w:line="276" w:lineRule="auto"/>
              <w:ind w:left="0" w:firstLine="0"/>
            </w:pPr>
          </w:p>
        </w:tc>
        <w:tc>
          <w:tcPr>
            <w:tcW w:w="8147" w:type="dxa"/>
            <w:shd w:val="clear" w:color="auto" w:fill="auto"/>
          </w:tcPr>
          <w:p w14:paraId="6E315FF4" w14:textId="77777777" w:rsidR="00E70AF6" w:rsidRPr="00EF12CB" w:rsidRDefault="00E70AF6" w:rsidP="00AE3CAB">
            <w:pPr>
              <w:spacing w:line="276" w:lineRule="auto"/>
              <w:jc w:val="both"/>
            </w:pPr>
            <w:r w:rsidRPr="001C6845">
              <w:t>Certyfikacja w trybie dodatkowym, o której mowa w pkt A.</w:t>
            </w:r>
            <w:r w:rsidR="00D96564">
              <w:t>10</w:t>
            </w:r>
            <w:r w:rsidRPr="001C6845">
              <w:t>.1.6. pkt 1) i 2) dokonywana jest na poniższych zasadach.</w:t>
            </w:r>
          </w:p>
        </w:tc>
      </w:tr>
      <w:tr w:rsidR="00E70AF6" w:rsidRPr="001C6845" w14:paraId="300E5856" w14:textId="77777777" w:rsidTr="00431378">
        <w:tc>
          <w:tcPr>
            <w:tcW w:w="1063" w:type="dxa"/>
            <w:shd w:val="clear" w:color="auto" w:fill="auto"/>
          </w:tcPr>
          <w:p w14:paraId="2F6CA31D" w14:textId="77777777" w:rsidR="00E70AF6" w:rsidRPr="00D96564" w:rsidRDefault="00E70AF6" w:rsidP="00AE3CAB">
            <w:pPr>
              <w:spacing w:line="276" w:lineRule="auto"/>
              <w:ind w:right="-69"/>
              <w:rPr>
                <w:sz w:val="22"/>
                <w:szCs w:val="22"/>
              </w:rPr>
            </w:pPr>
            <w:r w:rsidRPr="00D96564">
              <w:rPr>
                <w:sz w:val="22"/>
                <w:szCs w:val="22"/>
              </w:rPr>
              <w:t>A.</w:t>
            </w:r>
            <w:r w:rsidR="00D96564" w:rsidRPr="00D96564">
              <w:rPr>
                <w:sz w:val="22"/>
                <w:szCs w:val="22"/>
              </w:rPr>
              <w:t>10</w:t>
            </w:r>
            <w:r w:rsidRPr="00D96564">
              <w:rPr>
                <w:sz w:val="22"/>
                <w:szCs w:val="22"/>
              </w:rPr>
              <w:t>.1.8.1.</w:t>
            </w:r>
          </w:p>
        </w:tc>
        <w:tc>
          <w:tcPr>
            <w:tcW w:w="8147" w:type="dxa"/>
            <w:shd w:val="clear" w:color="auto" w:fill="auto"/>
          </w:tcPr>
          <w:p w14:paraId="75BA6B78" w14:textId="77777777" w:rsidR="00E70AF6" w:rsidRPr="00E3609F" w:rsidRDefault="00E70AF6" w:rsidP="00AE3CAB">
            <w:pPr>
              <w:pStyle w:val="TableParagraph"/>
              <w:spacing w:line="276" w:lineRule="auto"/>
              <w:ind w:left="33" w:right="208"/>
              <w:rPr>
                <w:sz w:val="24"/>
                <w:szCs w:val="24"/>
              </w:rPr>
            </w:pPr>
            <w:r w:rsidRPr="00E3609F">
              <w:rPr>
                <w:sz w:val="24"/>
                <w:szCs w:val="24"/>
              </w:rPr>
              <w:t xml:space="preserve">Odbiorca w ORed lub upoważniony przez niego podmiot składa wniosek </w:t>
            </w:r>
            <w:r>
              <w:rPr>
                <w:sz w:val="24"/>
                <w:szCs w:val="24"/>
              </w:rPr>
              <w:br/>
            </w:r>
            <w:r w:rsidRPr="00E3609F">
              <w:rPr>
                <w:sz w:val="24"/>
                <w:szCs w:val="24"/>
              </w:rPr>
              <w:t>o wydanie Certyfikatu dla ORed do:</w:t>
            </w:r>
          </w:p>
          <w:p w14:paraId="0BB9D5EE" w14:textId="77777777" w:rsidR="00E70AF6" w:rsidRPr="00E3609F" w:rsidRDefault="00E70AF6">
            <w:pPr>
              <w:pStyle w:val="TableParagraph"/>
              <w:numPr>
                <w:ilvl w:val="0"/>
                <w:numId w:val="212"/>
              </w:numPr>
              <w:spacing w:line="276" w:lineRule="auto"/>
              <w:ind w:left="492" w:right="206" w:hanging="426"/>
              <w:rPr>
                <w:sz w:val="24"/>
                <w:szCs w:val="24"/>
              </w:rPr>
            </w:pPr>
            <w:r>
              <w:rPr>
                <w:sz w:val="24"/>
                <w:szCs w:val="24"/>
              </w:rPr>
              <w:t>OSDp</w:t>
            </w:r>
            <w:r w:rsidRPr="00E3609F">
              <w:rPr>
                <w:sz w:val="24"/>
                <w:szCs w:val="24"/>
              </w:rPr>
              <w:t xml:space="preserve"> – jeśli ORed posiada przynajmniej jedno PPE</w:t>
            </w:r>
            <w:r>
              <w:rPr>
                <w:sz w:val="24"/>
                <w:szCs w:val="24"/>
              </w:rPr>
              <w:t xml:space="preserve"> </w:t>
            </w:r>
            <w:r w:rsidRPr="00E3609F">
              <w:rPr>
                <w:sz w:val="24"/>
                <w:szCs w:val="24"/>
              </w:rPr>
              <w:t>w sieci dystrybucyjnej</w:t>
            </w:r>
            <w:r>
              <w:rPr>
                <w:sz w:val="24"/>
                <w:szCs w:val="24"/>
              </w:rPr>
              <w:t xml:space="preserve"> OSDp</w:t>
            </w:r>
            <w:r w:rsidRPr="00E3609F">
              <w:rPr>
                <w:sz w:val="24"/>
                <w:szCs w:val="24"/>
              </w:rPr>
              <w:t>;</w:t>
            </w:r>
          </w:p>
          <w:p w14:paraId="7350BE56" w14:textId="77777777" w:rsidR="00E70AF6" w:rsidRPr="00E3609F" w:rsidRDefault="00E70AF6">
            <w:pPr>
              <w:pStyle w:val="TableParagraph"/>
              <w:numPr>
                <w:ilvl w:val="0"/>
                <w:numId w:val="212"/>
              </w:numPr>
              <w:spacing w:line="276" w:lineRule="auto"/>
              <w:ind w:left="492" w:hanging="426"/>
              <w:rPr>
                <w:sz w:val="24"/>
                <w:szCs w:val="24"/>
              </w:rPr>
            </w:pPr>
            <w:r w:rsidRPr="00E3609F">
              <w:rPr>
                <w:sz w:val="24"/>
                <w:szCs w:val="24"/>
              </w:rPr>
              <w:t>OSDn – jeśli ORed posiada wyłącznie PPE w sieci dystrybucyjnej</w:t>
            </w:r>
            <w:r w:rsidRPr="00E3609F">
              <w:rPr>
                <w:spacing w:val="-12"/>
                <w:sz w:val="24"/>
                <w:szCs w:val="24"/>
              </w:rPr>
              <w:t xml:space="preserve"> </w:t>
            </w:r>
            <w:r w:rsidRPr="00E3609F">
              <w:rPr>
                <w:sz w:val="24"/>
                <w:szCs w:val="24"/>
              </w:rPr>
              <w:t>OSDn.</w:t>
            </w:r>
          </w:p>
          <w:p w14:paraId="7BA2CFE4" w14:textId="77777777" w:rsidR="00E70AF6" w:rsidRPr="001C6845" w:rsidRDefault="00E70AF6" w:rsidP="00AE3CAB">
            <w:pPr>
              <w:spacing w:line="276" w:lineRule="auto"/>
              <w:jc w:val="both"/>
            </w:pPr>
            <w:r w:rsidRPr="00E3609F">
              <w:t>Jeśli ORed jest przyłączony do sieci dystrybucyjnej kilku OSDp lub kilku OSDn, wniosek o wydanie Certyfikatu dla ORed, składany jest odpowiednio dla miejsca przyłączenia, do wybranego przez siebie jednego OSDp lub OSDn.</w:t>
            </w:r>
          </w:p>
        </w:tc>
      </w:tr>
      <w:tr w:rsidR="00E70AF6" w:rsidRPr="00494E0A" w14:paraId="6AC1219D" w14:textId="77777777" w:rsidTr="00431378">
        <w:tc>
          <w:tcPr>
            <w:tcW w:w="1063" w:type="dxa"/>
            <w:shd w:val="clear" w:color="auto" w:fill="auto"/>
          </w:tcPr>
          <w:p w14:paraId="315FB47C" w14:textId="77777777" w:rsidR="00E70AF6" w:rsidRPr="00D96564" w:rsidRDefault="00E70AF6" w:rsidP="00AE3CAB">
            <w:pPr>
              <w:spacing w:line="276" w:lineRule="auto"/>
              <w:ind w:right="-69"/>
              <w:rPr>
                <w:sz w:val="22"/>
                <w:szCs w:val="22"/>
              </w:rPr>
            </w:pPr>
            <w:r w:rsidRPr="00D96564">
              <w:rPr>
                <w:sz w:val="22"/>
                <w:szCs w:val="22"/>
              </w:rPr>
              <w:t>A.</w:t>
            </w:r>
            <w:r w:rsidR="00D96564" w:rsidRPr="00D96564">
              <w:rPr>
                <w:sz w:val="22"/>
                <w:szCs w:val="22"/>
              </w:rPr>
              <w:t>10</w:t>
            </w:r>
            <w:r w:rsidRPr="00D96564">
              <w:rPr>
                <w:sz w:val="22"/>
                <w:szCs w:val="22"/>
              </w:rPr>
              <w:t>.1.8.2.</w:t>
            </w:r>
          </w:p>
        </w:tc>
        <w:tc>
          <w:tcPr>
            <w:tcW w:w="8147" w:type="dxa"/>
            <w:shd w:val="clear" w:color="auto" w:fill="auto"/>
          </w:tcPr>
          <w:p w14:paraId="3F9BB956" w14:textId="77777777" w:rsidR="00E70AF6" w:rsidRPr="00494E0A" w:rsidRDefault="00E70AF6" w:rsidP="00AE3CAB">
            <w:pPr>
              <w:pStyle w:val="TableParagraph"/>
              <w:spacing w:line="276" w:lineRule="auto"/>
              <w:ind w:left="0"/>
              <w:rPr>
                <w:sz w:val="24"/>
                <w:szCs w:val="24"/>
              </w:rPr>
            </w:pPr>
            <w:r w:rsidRPr="00494E0A">
              <w:rPr>
                <w:sz w:val="24"/>
                <w:szCs w:val="24"/>
              </w:rPr>
              <w:t>Wniosek o wydanie Certyfikatu dla ORed zawiera w szczególności:</w:t>
            </w:r>
          </w:p>
          <w:p w14:paraId="5421EC3C" w14:textId="77777777" w:rsidR="00E70AF6" w:rsidRPr="00494E0A" w:rsidRDefault="00E70AF6">
            <w:pPr>
              <w:pStyle w:val="TableParagraph"/>
              <w:numPr>
                <w:ilvl w:val="0"/>
                <w:numId w:val="213"/>
              </w:numPr>
              <w:spacing w:line="276" w:lineRule="auto"/>
              <w:ind w:left="458" w:right="28" w:hanging="458"/>
              <w:rPr>
                <w:sz w:val="24"/>
                <w:szCs w:val="24"/>
              </w:rPr>
            </w:pPr>
            <w:r w:rsidRPr="00494E0A">
              <w:rPr>
                <w:sz w:val="24"/>
                <w:szCs w:val="24"/>
              </w:rPr>
              <w:t xml:space="preserve">Dane identyfikacyjne Odbiorcy w ORed (firma pod jaką działa Odbiorca </w:t>
            </w:r>
            <w:r w:rsidR="00725C23">
              <w:rPr>
                <w:sz w:val="24"/>
                <w:szCs w:val="24"/>
              </w:rPr>
              <w:br/>
            </w:r>
            <w:r w:rsidRPr="00494E0A">
              <w:rPr>
                <w:sz w:val="24"/>
                <w:szCs w:val="24"/>
              </w:rPr>
              <w:t>w ORed, NIP lub Pesel) oraz jego dane kontaktowe (w tym adres e-mail na potrzeby zarządzania Certyfikatem dla</w:t>
            </w:r>
            <w:r w:rsidRPr="00494E0A">
              <w:rPr>
                <w:spacing w:val="-5"/>
                <w:sz w:val="24"/>
                <w:szCs w:val="24"/>
              </w:rPr>
              <w:t xml:space="preserve"> </w:t>
            </w:r>
            <w:r w:rsidRPr="00494E0A">
              <w:rPr>
                <w:sz w:val="24"/>
                <w:szCs w:val="24"/>
              </w:rPr>
              <w:t>ORed);</w:t>
            </w:r>
          </w:p>
          <w:p w14:paraId="3470AB64" w14:textId="77777777" w:rsidR="00E70AF6" w:rsidRPr="00494E0A" w:rsidRDefault="00E70AF6">
            <w:pPr>
              <w:pStyle w:val="TableParagraph"/>
              <w:numPr>
                <w:ilvl w:val="0"/>
                <w:numId w:val="213"/>
              </w:numPr>
              <w:spacing w:line="276" w:lineRule="auto"/>
              <w:ind w:left="458" w:right="28" w:hanging="458"/>
              <w:rPr>
                <w:sz w:val="24"/>
                <w:szCs w:val="24"/>
              </w:rPr>
            </w:pPr>
            <w:r w:rsidRPr="00494E0A">
              <w:rPr>
                <w:sz w:val="24"/>
                <w:szCs w:val="24"/>
              </w:rPr>
              <w:t>Dane identyfikacyjne wnioskodawcy (firma pod jaką działa wnioskodawca, NIP lub Pesel) oraz jego dane kontaktowe (w tym adres e-mail na potrzeby komunikacji</w:t>
            </w:r>
            <w:r w:rsidRPr="00494E0A">
              <w:rPr>
                <w:spacing w:val="10"/>
                <w:sz w:val="24"/>
                <w:szCs w:val="24"/>
              </w:rPr>
              <w:t xml:space="preserve"> </w:t>
            </w:r>
            <w:r w:rsidRPr="00494E0A">
              <w:rPr>
                <w:sz w:val="24"/>
                <w:szCs w:val="24"/>
              </w:rPr>
              <w:t>w</w:t>
            </w:r>
            <w:r w:rsidRPr="00494E0A">
              <w:rPr>
                <w:spacing w:val="10"/>
                <w:sz w:val="24"/>
                <w:szCs w:val="24"/>
              </w:rPr>
              <w:t xml:space="preserve"> </w:t>
            </w:r>
            <w:r w:rsidRPr="00494E0A">
              <w:rPr>
                <w:sz w:val="24"/>
                <w:szCs w:val="24"/>
              </w:rPr>
              <w:t>sprawie</w:t>
            </w:r>
            <w:r w:rsidRPr="00494E0A">
              <w:rPr>
                <w:spacing w:val="12"/>
                <w:sz w:val="24"/>
                <w:szCs w:val="24"/>
              </w:rPr>
              <w:t xml:space="preserve"> </w:t>
            </w:r>
            <w:r w:rsidRPr="00494E0A">
              <w:rPr>
                <w:sz w:val="24"/>
                <w:szCs w:val="24"/>
              </w:rPr>
              <w:t>wniosku)</w:t>
            </w:r>
            <w:r w:rsidRPr="00494E0A">
              <w:rPr>
                <w:spacing w:val="10"/>
                <w:sz w:val="24"/>
                <w:szCs w:val="24"/>
              </w:rPr>
              <w:t xml:space="preserve"> </w:t>
            </w:r>
            <w:r w:rsidRPr="00494E0A">
              <w:rPr>
                <w:sz w:val="24"/>
                <w:szCs w:val="24"/>
              </w:rPr>
              <w:t>w</w:t>
            </w:r>
            <w:r w:rsidRPr="00494E0A">
              <w:rPr>
                <w:spacing w:val="9"/>
                <w:sz w:val="24"/>
                <w:szCs w:val="24"/>
              </w:rPr>
              <w:t xml:space="preserve"> </w:t>
            </w:r>
            <w:r w:rsidRPr="00494E0A">
              <w:rPr>
                <w:sz w:val="24"/>
                <w:szCs w:val="24"/>
              </w:rPr>
              <w:t>przypadku</w:t>
            </w:r>
            <w:r w:rsidRPr="00494E0A">
              <w:rPr>
                <w:spacing w:val="11"/>
                <w:sz w:val="24"/>
                <w:szCs w:val="24"/>
              </w:rPr>
              <w:t xml:space="preserve"> </w:t>
            </w:r>
            <w:r w:rsidRPr="00494E0A">
              <w:rPr>
                <w:sz w:val="24"/>
                <w:szCs w:val="24"/>
              </w:rPr>
              <w:t>wniosków</w:t>
            </w:r>
            <w:r w:rsidRPr="00494E0A">
              <w:rPr>
                <w:spacing w:val="10"/>
                <w:sz w:val="24"/>
                <w:szCs w:val="24"/>
              </w:rPr>
              <w:t xml:space="preserve"> </w:t>
            </w:r>
            <w:r w:rsidRPr="00494E0A">
              <w:rPr>
                <w:sz w:val="24"/>
                <w:szCs w:val="24"/>
              </w:rPr>
              <w:t>składanych</w:t>
            </w:r>
            <w:r w:rsidRPr="00494E0A">
              <w:rPr>
                <w:spacing w:val="11"/>
                <w:sz w:val="24"/>
                <w:szCs w:val="24"/>
              </w:rPr>
              <w:t xml:space="preserve"> </w:t>
            </w:r>
            <w:r w:rsidRPr="00494E0A">
              <w:rPr>
                <w:sz w:val="24"/>
                <w:szCs w:val="24"/>
              </w:rPr>
              <w:t>przez podmiot upoważniany przez Odbiorcę w ORed;</w:t>
            </w:r>
          </w:p>
          <w:p w14:paraId="616BDCE3" w14:textId="77777777" w:rsidR="00E70AF6" w:rsidRPr="00494E0A" w:rsidRDefault="00E70AF6">
            <w:pPr>
              <w:pStyle w:val="Akapitzlist"/>
              <w:widowControl w:val="0"/>
              <w:numPr>
                <w:ilvl w:val="1"/>
                <w:numId w:val="214"/>
              </w:numPr>
              <w:autoSpaceDE w:val="0"/>
              <w:autoSpaceDN w:val="0"/>
              <w:spacing w:line="276" w:lineRule="auto"/>
              <w:ind w:left="458" w:right="28" w:hanging="458"/>
              <w:jc w:val="both"/>
              <w:rPr>
                <w:szCs w:val="24"/>
              </w:rPr>
            </w:pPr>
            <w:r w:rsidRPr="00494E0A">
              <w:rPr>
                <w:szCs w:val="24"/>
              </w:rPr>
              <w:t>Dane ORed (nazwa, adres lokalizacji);</w:t>
            </w:r>
          </w:p>
          <w:p w14:paraId="0205EE33" w14:textId="77777777" w:rsidR="00E70AF6" w:rsidRPr="00494E0A" w:rsidRDefault="00E70AF6">
            <w:pPr>
              <w:pStyle w:val="Akapitzlist"/>
              <w:widowControl w:val="0"/>
              <w:numPr>
                <w:ilvl w:val="1"/>
                <w:numId w:val="214"/>
              </w:numPr>
              <w:autoSpaceDE w:val="0"/>
              <w:autoSpaceDN w:val="0"/>
              <w:spacing w:line="276" w:lineRule="auto"/>
              <w:ind w:left="458" w:right="28" w:hanging="458"/>
              <w:jc w:val="both"/>
              <w:rPr>
                <w:szCs w:val="24"/>
              </w:rPr>
            </w:pPr>
            <w:r w:rsidRPr="00494E0A">
              <w:rPr>
                <w:szCs w:val="24"/>
              </w:rPr>
              <w:t>Wykaz unikalnych</w:t>
            </w:r>
            <w:r w:rsidR="00725C23">
              <w:rPr>
                <w:szCs w:val="24"/>
              </w:rPr>
              <w:t xml:space="preserve"> </w:t>
            </w:r>
            <w:r w:rsidRPr="00494E0A">
              <w:rPr>
                <w:szCs w:val="24"/>
              </w:rPr>
              <w:t>w skali kraju kodów PPE z przypisaniem do OSD, zgodnie   z kodyfikacją danego OSD, składających się na kompletny układ zasilania danego ORed z sieci dystrybucyjnej, zgodnie z pkt</w:t>
            </w:r>
            <w:r w:rsidRPr="00494E0A">
              <w:rPr>
                <w:spacing w:val="-3"/>
                <w:szCs w:val="24"/>
              </w:rPr>
              <w:t xml:space="preserve"> </w:t>
            </w:r>
            <w:r w:rsidRPr="00494E0A">
              <w:rPr>
                <w:szCs w:val="24"/>
              </w:rPr>
              <w:t>A.</w:t>
            </w:r>
            <w:r w:rsidR="00D96564">
              <w:rPr>
                <w:szCs w:val="24"/>
              </w:rPr>
              <w:t>10</w:t>
            </w:r>
            <w:r w:rsidRPr="00494E0A">
              <w:rPr>
                <w:szCs w:val="24"/>
              </w:rPr>
              <w:t>.1.3.;</w:t>
            </w:r>
          </w:p>
          <w:p w14:paraId="388FC610" w14:textId="77777777" w:rsidR="00E70AF6" w:rsidRPr="00494E0A" w:rsidRDefault="00E70AF6">
            <w:pPr>
              <w:pStyle w:val="Akapitzlist"/>
              <w:widowControl w:val="0"/>
              <w:numPr>
                <w:ilvl w:val="1"/>
                <w:numId w:val="214"/>
              </w:numPr>
              <w:autoSpaceDE w:val="0"/>
              <w:autoSpaceDN w:val="0"/>
              <w:spacing w:line="276" w:lineRule="auto"/>
              <w:ind w:left="458" w:right="28" w:hanging="458"/>
              <w:jc w:val="both"/>
              <w:rPr>
                <w:szCs w:val="24"/>
              </w:rPr>
            </w:pPr>
            <w:r w:rsidRPr="00494E0A">
              <w:rPr>
                <w:szCs w:val="24"/>
              </w:rPr>
              <w:t>Atrybut ORed (ORed O – obiekt odbiorczy, ORed OG – obiekt odbiorczy</w:t>
            </w:r>
            <w:r>
              <w:rPr>
                <w:szCs w:val="24"/>
              </w:rPr>
              <w:t xml:space="preserve"> </w:t>
            </w:r>
            <w:r w:rsidR="00725C23">
              <w:rPr>
                <w:szCs w:val="24"/>
              </w:rPr>
              <w:br/>
            </w:r>
            <w:r w:rsidRPr="00494E0A">
              <w:rPr>
                <w:szCs w:val="24"/>
              </w:rPr>
              <w:t xml:space="preserve">z generacją wewnętrzną), wskazujący czy ORed jest obiektem wyłącznie odbiorczym czy obiektem posiadającym generację wewnętrzną </w:t>
            </w:r>
            <w:r>
              <w:rPr>
                <w:szCs w:val="24"/>
              </w:rPr>
              <w:br/>
            </w:r>
            <w:r w:rsidRPr="00494E0A">
              <w:rPr>
                <w:szCs w:val="24"/>
              </w:rPr>
              <w:t>z możliwością wprowadzania energii elektrycznej do sieci dystrybucyjnej, zgodnie z postanowieniami umowy, na podstawie której świadczone są Odbiorcy w ORed usługi dystrybucji energii</w:t>
            </w:r>
            <w:r w:rsidRPr="00494E0A">
              <w:rPr>
                <w:spacing w:val="-1"/>
                <w:szCs w:val="24"/>
              </w:rPr>
              <w:t xml:space="preserve"> </w:t>
            </w:r>
            <w:r w:rsidRPr="00494E0A">
              <w:rPr>
                <w:szCs w:val="24"/>
              </w:rPr>
              <w:t>elektrycznej;</w:t>
            </w:r>
          </w:p>
          <w:p w14:paraId="7EAE1BBE" w14:textId="77777777" w:rsidR="00E70AF6" w:rsidRPr="00494E0A" w:rsidRDefault="00E70AF6">
            <w:pPr>
              <w:pStyle w:val="Akapitzlist"/>
              <w:widowControl w:val="0"/>
              <w:numPr>
                <w:ilvl w:val="1"/>
                <w:numId w:val="214"/>
              </w:numPr>
              <w:autoSpaceDE w:val="0"/>
              <w:autoSpaceDN w:val="0"/>
              <w:spacing w:line="276" w:lineRule="auto"/>
              <w:ind w:left="458" w:right="28" w:hanging="458"/>
              <w:jc w:val="both"/>
              <w:rPr>
                <w:szCs w:val="24"/>
              </w:rPr>
            </w:pPr>
            <w:r w:rsidRPr="00494E0A">
              <w:rPr>
                <w:szCs w:val="24"/>
              </w:rPr>
              <w:t>Oświadczenia Odbiorcy w ORed lub odpowiednio podmiotu przez niego upoważnionego:</w:t>
            </w:r>
          </w:p>
          <w:p w14:paraId="786B4740" w14:textId="77777777" w:rsidR="00E70AF6" w:rsidRPr="00494E0A" w:rsidRDefault="00E70AF6" w:rsidP="00AE3CAB">
            <w:pPr>
              <w:pStyle w:val="Akapitzlist"/>
              <w:widowControl w:val="0"/>
              <w:tabs>
                <w:tab w:val="left" w:pos="9582"/>
              </w:tabs>
              <w:autoSpaceDE w:val="0"/>
              <w:autoSpaceDN w:val="0"/>
              <w:spacing w:line="276" w:lineRule="auto"/>
              <w:ind w:left="775" w:hanging="283"/>
              <w:jc w:val="both"/>
              <w:rPr>
                <w:szCs w:val="24"/>
              </w:rPr>
            </w:pPr>
            <w:r>
              <w:rPr>
                <w:szCs w:val="24"/>
              </w:rPr>
              <w:t>a) o z</w:t>
            </w:r>
            <w:r w:rsidRPr="00494E0A">
              <w:rPr>
                <w:szCs w:val="24"/>
              </w:rPr>
              <w:t>godzie</w:t>
            </w:r>
            <w:r w:rsidRPr="00494E0A">
              <w:rPr>
                <w:spacing w:val="19"/>
                <w:szCs w:val="24"/>
              </w:rPr>
              <w:t xml:space="preserve"> </w:t>
            </w:r>
            <w:r w:rsidRPr="00494E0A">
              <w:rPr>
                <w:szCs w:val="24"/>
              </w:rPr>
              <w:t>na</w:t>
            </w:r>
            <w:r w:rsidRPr="00494E0A">
              <w:rPr>
                <w:spacing w:val="19"/>
                <w:szCs w:val="24"/>
              </w:rPr>
              <w:t xml:space="preserve"> </w:t>
            </w:r>
            <w:r w:rsidRPr="00494E0A">
              <w:rPr>
                <w:szCs w:val="24"/>
              </w:rPr>
              <w:t>przekazywanie</w:t>
            </w:r>
            <w:r w:rsidRPr="00494E0A">
              <w:rPr>
                <w:spacing w:val="19"/>
                <w:szCs w:val="24"/>
              </w:rPr>
              <w:t xml:space="preserve"> </w:t>
            </w:r>
            <w:r w:rsidRPr="00494E0A">
              <w:rPr>
                <w:szCs w:val="24"/>
              </w:rPr>
              <w:t>danych</w:t>
            </w:r>
            <w:r w:rsidRPr="00494E0A">
              <w:rPr>
                <w:spacing w:val="20"/>
                <w:szCs w:val="24"/>
              </w:rPr>
              <w:t xml:space="preserve"> </w:t>
            </w:r>
            <w:r w:rsidRPr="00494E0A">
              <w:rPr>
                <w:szCs w:val="24"/>
              </w:rPr>
              <w:t>pomiarowych</w:t>
            </w:r>
            <w:r w:rsidRPr="00494E0A">
              <w:rPr>
                <w:spacing w:val="20"/>
                <w:szCs w:val="24"/>
              </w:rPr>
              <w:t xml:space="preserve"> </w:t>
            </w:r>
            <w:r w:rsidRPr="00494E0A">
              <w:rPr>
                <w:szCs w:val="24"/>
              </w:rPr>
              <w:t>przez</w:t>
            </w:r>
            <w:r w:rsidRPr="00494E0A">
              <w:rPr>
                <w:spacing w:val="21"/>
                <w:szCs w:val="24"/>
              </w:rPr>
              <w:t xml:space="preserve"> </w:t>
            </w:r>
            <w:r>
              <w:rPr>
                <w:spacing w:val="21"/>
                <w:szCs w:val="24"/>
              </w:rPr>
              <w:t xml:space="preserve">OSDp </w:t>
            </w:r>
            <w:r>
              <w:rPr>
                <w:szCs w:val="24"/>
              </w:rPr>
              <w:t>d</w:t>
            </w:r>
            <w:r w:rsidRPr="00494E0A">
              <w:rPr>
                <w:szCs w:val="24"/>
              </w:rPr>
              <w:t>o</w:t>
            </w:r>
            <w:r>
              <w:rPr>
                <w:szCs w:val="24"/>
              </w:rPr>
              <w:t xml:space="preserve"> </w:t>
            </w:r>
            <w:r w:rsidRPr="00494E0A">
              <w:rPr>
                <w:szCs w:val="24"/>
              </w:rPr>
              <w:t>OSP</w:t>
            </w:r>
            <w:r>
              <w:rPr>
                <w:szCs w:val="24"/>
              </w:rPr>
              <w:t xml:space="preserve"> </w:t>
            </w:r>
            <w:r w:rsidRPr="00494E0A">
              <w:rPr>
                <w:szCs w:val="24"/>
              </w:rPr>
              <w:t>(dotyczy</w:t>
            </w:r>
            <w:r>
              <w:rPr>
                <w:szCs w:val="24"/>
              </w:rPr>
              <w:t xml:space="preserve"> </w:t>
            </w:r>
            <w:r w:rsidRPr="00494E0A">
              <w:rPr>
                <w:szCs w:val="24"/>
              </w:rPr>
              <w:t>ORed</w:t>
            </w:r>
            <w:r>
              <w:rPr>
                <w:szCs w:val="24"/>
              </w:rPr>
              <w:t xml:space="preserve"> </w:t>
            </w:r>
            <w:r w:rsidRPr="00494E0A">
              <w:rPr>
                <w:szCs w:val="24"/>
              </w:rPr>
              <w:t>przyłączonych</w:t>
            </w:r>
            <w:r>
              <w:rPr>
                <w:szCs w:val="24"/>
              </w:rPr>
              <w:t xml:space="preserve"> </w:t>
            </w:r>
            <w:r w:rsidRPr="00494E0A">
              <w:rPr>
                <w:szCs w:val="24"/>
              </w:rPr>
              <w:t>wyłącznie</w:t>
            </w:r>
            <w:r>
              <w:rPr>
                <w:szCs w:val="24"/>
              </w:rPr>
              <w:t xml:space="preserve"> </w:t>
            </w:r>
            <w:r w:rsidRPr="00494E0A">
              <w:rPr>
                <w:szCs w:val="24"/>
              </w:rPr>
              <w:t>do</w:t>
            </w:r>
            <w:r>
              <w:rPr>
                <w:szCs w:val="24"/>
              </w:rPr>
              <w:t xml:space="preserve"> </w:t>
            </w:r>
            <w:r w:rsidRPr="00494E0A">
              <w:rPr>
                <w:szCs w:val="24"/>
              </w:rPr>
              <w:t xml:space="preserve">sieci </w:t>
            </w:r>
            <w:r>
              <w:rPr>
                <w:szCs w:val="24"/>
              </w:rPr>
              <w:t>OSDp</w:t>
            </w:r>
            <w:r w:rsidRPr="00494E0A">
              <w:rPr>
                <w:szCs w:val="24"/>
              </w:rPr>
              <w:t>),</w:t>
            </w:r>
          </w:p>
          <w:p w14:paraId="46994C93" w14:textId="77777777" w:rsidR="00E70AF6" w:rsidRPr="00494E0A" w:rsidRDefault="00E70AF6" w:rsidP="00AE3CAB">
            <w:pPr>
              <w:pStyle w:val="Akapitzlist"/>
              <w:widowControl w:val="0"/>
              <w:tabs>
                <w:tab w:val="left" w:pos="2679"/>
              </w:tabs>
              <w:autoSpaceDE w:val="0"/>
              <w:autoSpaceDN w:val="0"/>
              <w:spacing w:line="276" w:lineRule="auto"/>
              <w:ind w:left="775" w:right="28" w:hanging="283"/>
              <w:jc w:val="both"/>
              <w:rPr>
                <w:szCs w:val="24"/>
              </w:rPr>
            </w:pPr>
            <w:r>
              <w:rPr>
                <w:szCs w:val="24"/>
              </w:rPr>
              <w:t xml:space="preserve">b) </w:t>
            </w:r>
            <w:r w:rsidRPr="00494E0A">
              <w:rPr>
                <w:szCs w:val="24"/>
              </w:rPr>
              <w:t xml:space="preserve">o   zgodzie   na   przekazywanie   danych    pomiarowych    przez    OSDn do </w:t>
            </w:r>
            <w:r>
              <w:rPr>
                <w:szCs w:val="24"/>
              </w:rPr>
              <w:t>OSDp</w:t>
            </w:r>
            <w:r w:rsidRPr="00494E0A">
              <w:rPr>
                <w:szCs w:val="24"/>
              </w:rPr>
              <w:t xml:space="preserve"> i </w:t>
            </w:r>
            <w:r>
              <w:rPr>
                <w:szCs w:val="24"/>
              </w:rPr>
              <w:t xml:space="preserve">OSDp </w:t>
            </w:r>
            <w:r w:rsidRPr="00494E0A">
              <w:rPr>
                <w:szCs w:val="24"/>
              </w:rPr>
              <w:t>do OSP (dotyczy ORed przyłączonych do sieci</w:t>
            </w:r>
            <w:r w:rsidRPr="00494E0A">
              <w:rPr>
                <w:spacing w:val="-1"/>
                <w:szCs w:val="24"/>
              </w:rPr>
              <w:t xml:space="preserve"> </w:t>
            </w:r>
            <w:r w:rsidRPr="00494E0A">
              <w:rPr>
                <w:szCs w:val="24"/>
              </w:rPr>
              <w:t>OSDn),</w:t>
            </w:r>
          </w:p>
          <w:p w14:paraId="021B73A8" w14:textId="41A4903F" w:rsidR="00E70AF6" w:rsidRPr="00494E0A" w:rsidRDefault="00E70AF6" w:rsidP="00AE3CAB">
            <w:pPr>
              <w:pStyle w:val="Akapitzlist"/>
              <w:widowControl w:val="0"/>
              <w:tabs>
                <w:tab w:val="left" w:pos="2679"/>
              </w:tabs>
              <w:autoSpaceDE w:val="0"/>
              <w:autoSpaceDN w:val="0"/>
              <w:spacing w:line="276" w:lineRule="auto"/>
              <w:ind w:left="775" w:right="28" w:hanging="283"/>
              <w:jc w:val="both"/>
              <w:rPr>
                <w:szCs w:val="24"/>
              </w:rPr>
            </w:pPr>
            <w:r>
              <w:rPr>
                <w:szCs w:val="24"/>
              </w:rPr>
              <w:t xml:space="preserve">c) </w:t>
            </w:r>
            <w:r w:rsidRPr="00494E0A">
              <w:rPr>
                <w:szCs w:val="24"/>
              </w:rPr>
              <w:t xml:space="preserve">o zgodzie na przekazywanie danych pomiarowych przez OSP do innego podmiotu (dotyczy przypadku, gdy Odbiorca w ORed dopuszcza udostępnianie swoich ORed upoważnianemu przez niego podmiotowi, który świadczy usługę </w:t>
            </w:r>
            <w:r w:rsidR="00E157DA">
              <w:rPr>
                <w:szCs w:val="24"/>
              </w:rPr>
              <w:t xml:space="preserve">interwencyjnej ofertowej redukcji poboru mocy </w:t>
            </w:r>
            <w:r w:rsidR="00E157DA">
              <w:rPr>
                <w:szCs w:val="24"/>
              </w:rPr>
              <w:lastRenderedPageBreak/>
              <w:t>przez odbiorców na</w:t>
            </w:r>
            <w:r w:rsidRPr="00494E0A">
              <w:rPr>
                <w:szCs w:val="24"/>
              </w:rPr>
              <w:t xml:space="preserve"> polecenie</w:t>
            </w:r>
            <w:r w:rsidRPr="00494E0A">
              <w:rPr>
                <w:spacing w:val="-6"/>
                <w:szCs w:val="24"/>
              </w:rPr>
              <w:t xml:space="preserve"> </w:t>
            </w:r>
            <w:r w:rsidRPr="00494E0A">
              <w:rPr>
                <w:szCs w:val="24"/>
              </w:rPr>
              <w:t>OSP),</w:t>
            </w:r>
          </w:p>
          <w:p w14:paraId="723095BF" w14:textId="77777777" w:rsidR="00E70AF6" w:rsidRPr="00494E0A" w:rsidRDefault="00E70AF6" w:rsidP="00AE3CAB">
            <w:pPr>
              <w:pStyle w:val="Akapitzlist"/>
              <w:widowControl w:val="0"/>
              <w:tabs>
                <w:tab w:val="left" w:pos="2679"/>
              </w:tabs>
              <w:autoSpaceDE w:val="0"/>
              <w:autoSpaceDN w:val="0"/>
              <w:spacing w:line="276" w:lineRule="auto"/>
              <w:ind w:left="775" w:right="28" w:hanging="317"/>
              <w:jc w:val="both"/>
              <w:rPr>
                <w:szCs w:val="24"/>
              </w:rPr>
            </w:pPr>
            <w:r>
              <w:rPr>
                <w:szCs w:val="24"/>
              </w:rPr>
              <w:t xml:space="preserve">d) </w:t>
            </w:r>
            <w:r w:rsidRPr="00494E0A">
              <w:rPr>
                <w:szCs w:val="24"/>
              </w:rPr>
              <w:t xml:space="preserve">o zgodzie na wprowadzenie do systemu </w:t>
            </w:r>
            <w:r w:rsidRPr="00494E0A">
              <w:rPr>
                <w:spacing w:val="-3"/>
                <w:szCs w:val="24"/>
              </w:rPr>
              <w:t xml:space="preserve">IP </w:t>
            </w:r>
            <w:r w:rsidRPr="00494E0A">
              <w:rPr>
                <w:szCs w:val="24"/>
              </w:rPr>
              <w:t>DSR danych ORed (nazwa, adres</w:t>
            </w:r>
            <w:r w:rsidRPr="00494E0A">
              <w:rPr>
                <w:spacing w:val="-1"/>
                <w:szCs w:val="24"/>
              </w:rPr>
              <w:t xml:space="preserve"> </w:t>
            </w:r>
            <w:r w:rsidRPr="00494E0A">
              <w:rPr>
                <w:szCs w:val="24"/>
              </w:rPr>
              <w:t>lokalizacji),</w:t>
            </w:r>
          </w:p>
          <w:p w14:paraId="4CEDB68D" w14:textId="77777777" w:rsidR="00E70AF6" w:rsidRPr="00494E0A" w:rsidRDefault="00E70AF6" w:rsidP="00AE3CAB">
            <w:pPr>
              <w:pStyle w:val="Akapitzlist"/>
              <w:widowControl w:val="0"/>
              <w:tabs>
                <w:tab w:val="left" w:pos="2739"/>
              </w:tabs>
              <w:autoSpaceDE w:val="0"/>
              <w:autoSpaceDN w:val="0"/>
              <w:spacing w:line="276" w:lineRule="auto"/>
              <w:ind w:left="775" w:right="28" w:hanging="283"/>
              <w:jc w:val="both"/>
              <w:rPr>
                <w:szCs w:val="24"/>
              </w:rPr>
            </w:pPr>
            <w:r>
              <w:rPr>
                <w:szCs w:val="24"/>
              </w:rPr>
              <w:t xml:space="preserve">e) </w:t>
            </w:r>
            <w:r w:rsidRPr="00494E0A">
              <w:rPr>
                <w:szCs w:val="24"/>
              </w:rPr>
              <w:t>o spełnieniu warunku dodatniej wartości salda energii elektrycznej pobranej przez ORed z sieci i wprowadzonej do sieci za okres kolejnych 12 miesięcy kalendarzowych poprzedzających miesiąc, w którym został złożony wniosek o wydanie Certyfikatu dla ORed, tj. potwierdzeniu, iż wielkość energii elektrycznej pobranej z sieci przewyższa wielkość wprowadzoną do sieci (dotyczy ORed z generacją</w:t>
            </w:r>
            <w:r w:rsidRPr="00494E0A">
              <w:rPr>
                <w:spacing w:val="-7"/>
                <w:szCs w:val="24"/>
              </w:rPr>
              <w:t xml:space="preserve"> </w:t>
            </w:r>
            <w:r w:rsidRPr="00494E0A">
              <w:rPr>
                <w:szCs w:val="24"/>
              </w:rPr>
              <w:t>wewnętrzną),</w:t>
            </w:r>
          </w:p>
          <w:p w14:paraId="56811ADC" w14:textId="77777777" w:rsidR="00E70AF6" w:rsidRPr="00494E0A" w:rsidRDefault="00E70AF6" w:rsidP="00AE3CAB">
            <w:pPr>
              <w:pStyle w:val="Akapitzlist"/>
              <w:widowControl w:val="0"/>
              <w:tabs>
                <w:tab w:val="left" w:pos="2678"/>
                <w:tab w:val="left" w:pos="2679"/>
              </w:tabs>
              <w:autoSpaceDE w:val="0"/>
              <w:autoSpaceDN w:val="0"/>
              <w:spacing w:line="276" w:lineRule="auto"/>
              <w:ind w:left="458" w:right="28"/>
              <w:jc w:val="both"/>
              <w:rPr>
                <w:szCs w:val="24"/>
              </w:rPr>
            </w:pPr>
            <w:r>
              <w:rPr>
                <w:szCs w:val="24"/>
              </w:rPr>
              <w:t xml:space="preserve">f) </w:t>
            </w:r>
            <w:r w:rsidRPr="00494E0A">
              <w:rPr>
                <w:szCs w:val="24"/>
              </w:rPr>
              <w:t>o kompletności układu zasilania ORed w oparciu o wskazane</w:t>
            </w:r>
            <w:r w:rsidRPr="00494E0A">
              <w:rPr>
                <w:spacing w:val="-5"/>
                <w:szCs w:val="24"/>
              </w:rPr>
              <w:t xml:space="preserve"> </w:t>
            </w:r>
            <w:r w:rsidRPr="00494E0A">
              <w:rPr>
                <w:szCs w:val="24"/>
              </w:rPr>
              <w:t>PPE,</w:t>
            </w:r>
          </w:p>
          <w:p w14:paraId="31F04962" w14:textId="77777777" w:rsidR="00E70AF6" w:rsidRPr="00494E0A" w:rsidRDefault="00E70AF6" w:rsidP="00AE3CAB">
            <w:pPr>
              <w:pStyle w:val="Akapitzlist"/>
              <w:widowControl w:val="0"/>
              <w:tabs>
                <w:tab w:val="left" w:pos="2679"/>
              </w:tabs>
              <w:autoSpaceDE w:val="0"/>
              <w:autoSpaceDN w:val="0"/>
              <w:spacing w:line="276" w:lineRule="auto"/>
              <w:ind w:left="775" w:right="28" w:hanging="317"/>
              <w:jc w:val="both"/>
              <w:rPr>
                <w:szCs w:val="24"/>
              </w:rPr>
            </w:pPr>
            <w:r>
              <w:rPr>
                <w:szCs w:val="24"/>
              </w:rPr>
              <w:t xml:space="preserve">g) </w:t>
            </w:r>
            <w:r w:rsidRPr="00494E0A">
              <w:rPr>
                <w:szCs w:val="24"/>
              </w:rPr>
              <w:t>o poprawności danych zawartych we wniosku o wydanie Certyfikatu dla ORed,</w:t>
            </w:r>
          </w:p>
          <w:p w14:paraId="6A3BF7CF" w14:textId="77777777" w:rsidR="00E70AF6" w:rsidRPr="00494E0A" w:rsidRDefault="00E70AF6" w:rsidP="00AE3CAB">
            <w:pPr>
              <w:pStyle w:val="Akapitzlist"/>
              <w:widowControl w:val="0"/>
              <w:tabs>
                <w:tab w:val="left" w:pos="2679"/>
              </w:tabs>
              <w:autoSpaceDE w:val="0"/>
              <w:autoSpaceDN w:val="0"/>
              <w:spacing w:line="276" w:lineRule="auto"/>
              <w:ind w:left="775" w:right="28" w:hanging="317"/>
              <w:jc w:val="both"/>
              <w:rPr>
                <w:szCs w:val="24"/>
              </w:rPr>
            </w:pPr>
            <w:r>
              <w:rPr>
                <w:szCs w:val="24"/>
              </w:rPr>
              <w:t xml:space="preserve">h) </w:t>
            </w:r>
            <w:r w:rsidRPr="00494E0A">
              <w:rPr>
                <w:szCs w:val="24"/>
              </w:rPr>
              <w:t xml:space="preserve">o zgodzie na publikację na stronie internetowej OSP informacji </w:t>
            </w:r>
            <w:r>
              <w:rPr>
                <w:szCs w:val="24"/>
              </w:rPr>
              <w:br/>
            </w:r>
            <w:r w:rsidRPr="00494E0A">
              <w:rPr>
                <w:szCs w:val="24"/>
              </w:rPr>
              <w:t>o uzyskaniu przez Odbiorcę w ORed Certyfikatu dla ORed (zgoda</w:t>
            </w:r>
            <w:r w:rsidRPr="00494E0A">
              <w:rPr>
                <w:spacing w:val="-12"/>
                <w:szCs w:val="24"/>
              </w:rPr>
              <w:t xml:space="preserve"> </w:t>
            </w:r>
            <w:r w:rsidRPr="00494E0A">
              <w:rPr>
                <w:szCs w:val="24"/>
              </w:rPr>
              <w:t>nieobowiązkowa),</w:t>
            </w:r>
          </w:p>
          <w:p w14:paraId="199EBDC8" w14:textId="77777777" w:rsidR="00E70AF6" w:rsidRPr="00494E0A" w:rsidRDefault="00E70AF6" w:rsidP="00AE3CAB">
            <w:pPr>
              <w:pStyle w:val="Akapitzlist"/>
              <w:widowControl w:val="0"/>
              <w:tabs>
                <w:tab w:val="left" w:pos="2679"/>
              </w:tabs>
              <w:autoSpaceDE w:val="0"/>
              <w:autoSpaceDN w:val="0"/>
              <w:spacing w:line="276" w:lineRule="auto"/>
              <w:ind w:left="633" w:hanging="175"/>
              <w:jc w:val="both"/>
              <w:rPr>
                <w:szCs w:val="24"/>
              </w:rPr>
            </w:pPr>
            <w:r>
              <w:rPr>
                <w:szCs w:val="24"/>
              </w:rPr>
              <w:t xml:space="preserve">i) </w:t>
            </w:r>
            <w:r w:rsidRPr="00494E0A">
              <w:rPr>
                <w:szCs w:val="24"/>
              </w:rPr>
              <w:t xml:space="preserve">o zobowiązaniu do bieżącego   informowania   odpowiednio   OSP, </w:t>
            </w:r>
            <w:r>
              <w:rPr>
                <w:szCs w:val="24"/>
              </w:rPr>
              <w:t>OSDp</w:t>
            </w:r>
            <w:r w:rsidRPr="00494E0A">
              <w:rPr>
                <w:szCs w:val="24"/>
              </w:rPr>
              <w:t xml:space="preserve"> albo OSDn w przypadku zmiany danych zawartych w Certyfikacie dla ORed oraz zmian odnośnie złożonych oświadczeń, niezwłocznie po dacie zaistnienia</w:t>
            </w:r>
            <w:r w:rsidRPr="00494E0A">
              <w:rPr>
                <w:spacing w:val="-2"/>
                <w:szCs w:val="24"/>
              </w:rPr>
              <w:t xml:space="preserve"> </w:t>
            </w:r>
            <w:r w:rsidRPr="00494E0A">
              <w:rPr>
                <w:szCs w:val="24"/>
              </w:rPr>
              <w:t>zmiany;</w:t>
            </w:r>
          </w:p>
          <w:p w14:paraId="79E3659D" w14:textId="77777777" w:rsidR="00E70AF6" w:rsidRPr="00494E0A" w:rsidRDefault="00E70AF6">
            <w:pPr>
              <w:pStyle w:val="Akapitzlist"/>
              <w:widowControl w:val="0"/>
              <w:numPr>
                <w:ilvl w:val="1"/>
                <w:numId w:val="214"/>
              </w:numPr>
              <w:autoSpaceDE w:val="0"/>
              <w:autoSpaceDN w:val="0"/>
              <w:spacing w:line="276" w:lineRule="auto"/>
              <w:ind w:left="458" w:hanging="458"/>
              <w:jc w:val="both"/>
              <w:rPr>
                <w:szCs w:val="24"/>
              </w:rPr>
            </w:pPr>
            <w:r w:rsidRPr="00494E0A">
              <w:rPr>
                <w:szCs w:val="24"/>
              </w:rPr>
              <w:t>Pełnomocnictwo do złożenia wniosku o wydanie Certyfikatu dla ORed, udzielone przez Odbiorcę w ORed (w przypadku wniosków składanych przez podmiot upoważniany przez Odbiorcę w</w:t>
            </w:r>
            <w:r w:rsidRPr="00494E0A">
              <w:rPr>
                <w:spacing w:val="-7"/>
                <w:szCs w:val="24"/>
              </w:rPr>
              <w:t xml:space="preserve"> </w:t>
            </w:r>
            <w:r w:rsidRPr="00494E0A">
              <w:rPr>
                <w:szCs w:val="24"/>
              </w:rPr>
              <w:t>ORed).</w:t>
            </w:r>
          </w:p>
          <w:p w14:paraId="23BE2E93" w14:textId="77777777" w:rsidR="00E70AF6" w:rsidRPr="00494E0A" w:rsidRDefault="00E70AF6" w:rsidP="00AE3CAB">
            <w:pPr>
              <w:pStyle w:val="Tekstpodstawowy"/>
              <w:spacing w:before="0" w:line="276" w:lineRule="auto"/>
            </w:pPr>
            <w:r w:rsidRPr="00494E0A">
              <w:t xml:space="preserve">Odbiorca w ORed przyłączony do sieci </w:t>
            </w:r>
            <w:r>
              <w:t xml:space="preserve">OSDn </w:t>
            </w:r>
            <w:r w:rsidRPr="00494E0A">
              <w:t xml:space="preserve">lub upoważniony przez niego podmiot, składa do </w:t>
            </w:r>
            <w:r>
              <w:t>OSDn</w:t>
            </w:r>
            <w:r w:rsidRPr="00494E0A">
              <w:t xml:space="preserve"> wniosek o wydanie Certyfikatu dla ORed wyłącznie </w:t>
            </w:r>
            <w:r>
              <w:br/>
            </w:r>
            <w:r w:rsidRPr="00494E0A">
              <w:t xml:space="preserve">w formie elektronicznej (edytowalnej oraz w postaci skanu wniosku podpisanego zgodnie z zasadami reprezentacji Odbiorcy w ORed). Wniosek składany jest na wskazany przez </w:t>
            </w:r>
            <w:r>
              <w:t>OSDn</w:t>
            </w:r>
            <w:r w:rsidRPr="00494E0A">
              <w:t xml:space="preserve"> adres poczty elektronicznej, opublikowany na stronie internetowej </w:t>
            </w:r>
            <w:r>
              <w:t>OSDn.</w:t>
            </w:r>
          </w:p>
          <w:p w14:paraId="520D7EAA" w14:textId="77777777" w:rsidR="00E70AF6" w:rsidRPr="00494E0A" w:rsidRDefault="00E70AF6" w:rsidP="00AE3CAB">
            <w:pPr>
              <w:spacing w:line="276" w:lineRule="auto"/>
              <w:jc w:val="both"/>
              <w:rPr>
                <w:i/>
              </w:rPr>
            </w:pPr>
            <w:r w:rsidRPr="00494E0A">
              <w:t>Na</w:t>
            </w:r>
            <w:r w:rsidR="00B33950">
              <w:t xml:space="preserve"> </w:t>
            </w:r>
            <w:r w:rsidRPr="00494E0A">
              <w:t>każde</w:t>
            </w:r>
            <w:r w:rsidR="00B33950">
              <w:t xml:space="preserve"> </w:t>
            </w:r>
            <w:r w:rsidRPr="00494E0A">
              <w:t xml:space="preserve">żądanie </w:t>
            </w:r>
            <w:r>
              <w:t>OSDn</w:t>
            </w:r>
            <w:r w:rsidRPr="00494E0A">
              <w:t>, Odbiorca w ORed dostarczy do</w:t>
            </w:r>
            <w:r>
              <w:t xml:space="preserve"> OSDn</w:t>
            </w:r>
            <w:r>
              <w:br/>
            </w:r>
            <w:r w:rsidRPr="00494E0A">
              <w:t xml:space="preserve">w terminie 7 dni kalendarzowych od otrzymania żądania, oryginał wniosku </w:t>
            </w:r>
            <w:r>
              <w:br/>
            </w:r>
            <w:r w:rsidRPr="00494E0A">
              <w:t>o wydanie certyfikatu albo kopii wniosku poświadczonej przez upoważnionego przedstawiciela Odbiorcy w</w:t>
            </w:r>
            <w:r w:rsidRPr="00494E0A">
              <w:rPr>
                <w:spacing w:val="-4"/>
              </w:rPr>
              <w:t xml:space="preserve"> </w:t>
            </w:r>
            <w:r w:rsidRPr="00494E0A">
              <w:t>ORed.</w:t>
            </w:r>
          </w:p>
        </w:tc>
      </w:tr>
      <w:tr w:rsidR="00E70AF6" w:rsidRPr="001C6845" w14:paraId="3C479883" w14:textId="77777777" w:rsidTr="00431378">
        <w:tc>
          <w:tcPr>
            <w:tcW w:w="1063" w:type="dxa"/>
            <w:shd w:val="clear" w:color="auto" w:fill="auto"/>
          </w:tcPr>
          <w:p w14:paraId="0E33666B" w14:textId="77777777" w:rsidR="00E70AF6" w:rsidRPr="00821014" w:rsidRDefault="00E70AF6" w:rsidP="00AE3CAB">
            <w:pPr>
              <w:spacing w:line="276" w:lineRule="auto"/>
              <w:ind w:right="-69"/>
              <w:rPr>
                <w:sz w:val="22"/>
                <w:szCs w:val="22"/>
              </w:rPr>
            </w:pPr>
            <w:r w:rsidRPr="00821014">
              <w:rPr>
                <w:sz w:val="22"/>
                <w:szCs w:val="22"/>
              </w:rPr>
              <w:lastRenderedPageBreak/>
              <w:t>A.</w:t>
            </w:r>
            <w:r w:rsidR="00821014" w:rsidRPr="00821014">
              <w:rPr>
                <w:sz w:val="22"/>
                <w:szCs w:val="22"/>
              </w:rPr>
              <w:t>10</w:t>
            </w:r>
            <w:r w:rsidRPr="00821014">
              <w:rPr>
                <w:sz w:val="22"/>
                <w:szCs w:val="22"/>
              </w:rPr>
              <w:t>.1.8.3.</w:t>
            </w:r>
          </w:p>
        </w:tc>
        <w:tc>
          <w:tcPr>
            <w:tcW w:w="8147" w:type="dxa"/>
            <w:shd w:val="clear" w:color="auto" w:fill="auto"/>
          </w:tcPr>
          <w:p w14:paraId="64ECDD4D" w14:textId="77777777" w:rsidR="00E70AF6" w:rsidRPr="00E3609F" w:rsidRDefault="00E70AF6" w:rsidP="00AE3CAB">
            <w:pPr>
              <w:pStyle w:val="TableParagraph"/>
              <w:spacing w:line="276" w:lineRule="auto"/>
              <w:ind w:left="0"/>
              <w:rPr>
                <w:sz w:val="24"/>
                <w:szCs w:val="24"/>
              </w:rPr>
            </w:pPr>
            <w:r w:rsidRPr="00E3609F">
              <w:rPr>
                <w:sz w:val="24"/>
                <w:szCs w:val="24"/>
              </w:rPr>
              <w:t>Certyfikacja obejmuje weryfikację:</w:t>
            </w:r>
          </w:p>
          <w:p w14:paraId="6DF2C948" w14:textId="77777777" w:rsidR="00E70AF6" w:rsidRPr="00E3609F" w:rsidRDefault="00E70AF6">
            <w:pPr>
              <w:pStyle w:val="TableParagraph"/>
              <w:numPr>
                <w:ilvl w:val="0"/>
                <w:numId w:val="215"/>
              </w:numPr>
              <w:tabs>
                <w:tab w:val="left" w:pos="562"/>
              </w:tabs>
              <w:spacing w:line="276" w:lineRule="auto"/>
              <w:ind w:hanging="360"/>
              <w:rPr>
                <w:sz w:val="24"/>
                <w:szCs w:val="24"/>
              </w:rPr>
            </w:pPr>
            <w:r w:rsidRPr="00E3609F">
              <w:rPr>
                <w:sz w:val="24"/>
                <w:szCs w:val="24"/>
              </w:rPr>
              <w:t>Kompletności wniosku o wydanie Certyfikatu dla</w:t>
            </w:r>
            <w:r w:rsidRPr="00E3609F">
              <w:rPr>
                <w:spacing w:val="-3"/>
                <w:sz w:val="24"/>
                <w:szCs w:val="24"/>
              </w:rPr>
              <w:t xml:space="preserve"> </w:t>
            </w:r>
            <w:r w:rsidRPr="00E3609F">
              <w:rPr>
                <w:sz w:val="24"/>
                <w:szCs w:val="24"/>
              </w:rPr>
              <w:t>ORed;</w:t>
            </w:r>
          </w:p>
          <w:p w14:paraId="1620C818" w14:textId="77777777" w:rsidR="00E70AF6" w:rsidRPr="00E3609F" w:rsidRDefault="00E70AF6">
            <w:pPr>
              <w:pStyle w:val="TableParagraph"/>
              <w:numPr>
                <w:ilvl w:val="0"/>
                <w:numId w:val="215"/>
              </w:numPr>
              <w:tabs>
                <w:tab w:val="left" w:pos="564"/>
              </w:tabs>
              <w:spacing w:line="276" w:lineRule="auto"/>
              <w:ind w:hanging="360"/>
              <w:rPr>
                <w:sz w:val="24"/>
                <w:szCs w:val="24"/>
              </w:rPr>
            </w:pPr>
            <w:r w:rsidRPr="00E3609F">
              <w:rPr>
                <w:sz w:val="24"/>
                <w:szCs w:val="24"/>
              </w:rPr>
              <w:t>Poprawności kodów PPE wskazanych we wniosku o wydanie Certyfikatu dla ORed;</w:t>
            </w:r>
          </w:p>
          <w:p w14:paraId="02A8FACB" w14:textId="77777777" w:rsidR="00E70AF6" w:rsidRPr="00E3609F" w:rsidRDefault="00E70AF6">
            <w:pPr>
              <w:pStyle w:val="TableParagraph"/>
              <w:numPr>
                <w:ilvl w:val="0"/>
                <w:numId w:val="215"/>
              </w:numPr>
              <w:tabs>
                <w:tab w:val="left" w:pos="564"/>
              </w:tabs>
              <w:spacing w:line="276" w:lineRule="auto"/>
              <w:ind w:hanging="360"/>
              <w:rPr>
                <w:sz w:val="24"/>
                <w:szCs w:val="24"/>
              </w:rPr>
            </w:pPr>
            <w:r w:rsidRPr="00E3609F">
              <w:rPr>
                <w:sz w:val="24"/>
                <w:szCs w:val="24"/>
              </w:rPr>
              <w:t>Kompletności układu zasilania ORed wskazanego we wniosku o wydanie Certyfikatu dla ORed, w oparciu o podane przez wnioskodawcę</w:t>
            </w:r>
            <w:r w:rsidRPr="00E3609F">
              <w:rPr>
                <w:spacing w:val="-8"/>
                <w:sz w:val="24"/>
                <w:szCs w:val="24"/>
              </w:rPr>
              <w:t xml:space="preserve"> </w:t>
            </w:r>
            <w:r w:rsidRPr="00E3609F">
              <w:rPr>
                <w:sz w:val="24"/>
                <w:szCs w:val="24"/>
              </w:rPr>
              <w:t>PPE;</w:t>
            </w:r>
          </w:p>
          <w:p w14:paraId="27A9E875" w14:textId="77777777" w:rsidR="00E70AF6" w:rsidRPr="001C6845" w:rsidRDefault="00E70AF6">
            <w:pPr>
              <w:numPr>
                <w:ilvl w:val="0"/>
                <w:numId w:val="215"/>
              </w:numPr>
              <w:spacing w:line="276" w:lineRule="auto"/>
              <w:jc w:val="both"/>
            </w:pPr>
            <w:r w:rsidRPr="001B4975">
              <w:t>Spełniania kryteriów, o których mowa w pkt.</w:t>
            </w:r>
            <w:r w:rsidRPr="001B4975">
              <w:rPr>
                <w:spacing w:val="-3"/>
              </w:rPr>
              <w:t xml:space="preserve"> </w:t>
            </w:r>
            <w:r w:rsidRPr="001B4975">
              <w:t>A.</w:t>
            </w:r>
            <w:r w:rsidR="00821014">
              <w:t>10</w:t>
            </w:r>
            <w:r w:rsidRPr="001B4975">
              <w:t>.1.3.</w:t>
            </w:r>
          </w:p>
        </w:tc>
      </w:tr>
      <w:tr w:rsidR="00E70AF6" w:rsidRPr="004B02F6" w14:paraId="2E5BBCF9" w14:textId="77777777" w:rsidTr="00431378">
        <w:tc>
          <w:tcPr>
            <w:tcW w:w="1063" w:type="dxa"/>
            <w:shd w:val="clear" w:color="auto" w:fill="auto"/>
          </w:tcPr>
          <w:p w14:paraId="21B2B96D" w14:textId="77777777" w:rsidR="00E70AF6" w:rsidRPr="00821014" w:rsidRDefault="00E70AF6" w:rsidP="00AE3CAB">
            <w:pPr>
              <w:spacing w:line="276" w:lineRule="auto"/>
              <w:ind w:right="-69"/>
              <w:rPr>
                <w:sz w:val="22"/>
                <w:szCs w:val="22"/>
              </w:rPr>
            </w:pPr>
            <w:r w:rsidRPr="00821014">
              <w:rPr>
                <w:sz w:val="22"/>
                <w:szCs w:val="22"/>
              </w:rPr>
              <w:t>A.</w:t>
            </w:r>
            <w:r w:rsidR="00821014" w:rsidRPr="00821014">
              <w:rPr>
                <w:sz w:val="22"/>
                <w:szCs w:val="22"/>
              </w:rPr>
              <w:t>10</w:t>
            </w:r>
            <w:r w:rsidRPr="00821014">
              <w:rPr>
                <w:sz w:val="22"/>
                <w:szCs w:val="22"/>
              </w:rPr>
              <w:t>.1.8.4.</w:t>
            </w:r>
          </w:p>
        </w:tc>
        <w:tc>
          <w:tcPr>
            <w:tcW w:w="8147" w:type="dxa"/>
            <w:shd w:val="clear" w:color="auto" w:fill="auto"/>
          </w:tcPr>
          <w:p w14:paraId="60804A49" w14:textId="77777777" w:rsidR="00E70AF6" w:rsidRPr="004B02F6" w:rsidRDefault="00E70AF6" w:rsidP="00AE3CAB">
            <w:pPr>
              <w:pStyle w:val="TableParagraph"/>
              <w:spacing w:line="276" w:lineRule="auto"/>
              <w:ind w:left="0"/>
              <w:rPr>
                <w:sz w:val="24"/>
                <w:szCs w:val="24"/>
              </w:rPr>
            </w:pPr>
            <w:r w:rsidRPr="004B02F6">
              <w:rPr>
                <w:sz w:val="24"/>
                <w:szCs w:val="24"/>
              </w:rPr>
              <w:t>Negatywny wynik weryfikacji, o której mowa w pkt. A.</w:t>
            </w:r>
            <w:r w:rsidR="00821014">
              <w:rPr>
                <w:sz w:val="24"/>
                <w:szCs w:val="24"/>
              </w:rPr>
              <w:t>10</w:t>
            </w:r>
            <w:r w:rsidRPr="004B02F6">
              <w:rPr>
                <w:sz w:val="24"/>
                <w:szCs w:val="24"/>
              </w:rPr>
              <w:t xml:space="preserve">.1.8.3. skutkuje odrzuceniem wniosku o wydanie Certyfikatu dla ORed. W tym przypadku odpowiednio </w:t>
            </w:r>
            <w:r>
              <w:rPr>
                <w:sz w:val="24"/>
                <w:szCs w:val="24"/>
              </w:rPr>
              <w:t>OSDp</w:t>
            </w:r>
            <w:r w:rsidRPr="004B02F6">
              <w:rPr>
                <w:sz w:val="24"/>
                <w:szCs w:val="24"/>
              </w:rPr>
              <w:t xml:space="preserve"> albo OSDn niezwłocznie informuje wnioskodawcę </w:t>
            </w:r>
            <w:r>
              <w:rPr>
                <w:sz w:val="24"/>
                <w:szCs w:val="24"/>
              </w:rPr>
              <w:br/>
            </w:r>
            <w:r w:rsidRPr="004B02F6">
              <w:rPr>
                <w:sz w:val="24"/>
                <w:szCs w:val="24"/>
              </w:rPr>
              <w:t>o przyczynach odrzucenia tego</w:t>
            </w:r>
            <w:r w:rsidRPr="004B02F6">
              <w:rPr>
                <w:spacing w:val="-2"/>
                <w:sz w:val="24"/>
                <w:szCs w:val="24"/>
              </w:rPr>
              <w:t xml:space="preserve"> </w:t>
            </w:r>
            <w:r w:rsidRPr="004B02F6">
              <w:rPr>
                <w:sz w:val="24"/>
                <w:szCs w:val="24"/>
              </w:rPr>
              <w:t>wniosku.</w:t>
            </w:r>
          </w:p>
          <w:p w14:paraId="34AEBB7F" w14:textId="77777777" w:rsidR="00E70AF6" w:rsidRPr="004B02F6" w:rsidRDefault="00E70AF6" w:rsidP="00AE3CAB">
            <w:pPr>
              <w:spacing w:line="276" w:lineRule="auto"/>
              <w:jc w:val="both"/>
              <w:rPr>
                <w:i/>
              </w:rPr>
            </w:pPr>
            <w:r w:rsidRPr="004B02F6">
              <w:lastRenderedPageBreak/>
              <w:t>Negatywny wynik weryfikacji kryteriów określonych w pkt A.</w:t>
            </w:r>
            <w:r w:rsidR="008933EB">
              <w:t>10.</w:t>
            </w:r>
            <w:r w:rsidRPr="004B02F6">
              <w:t xml:space="preserve">1.3 pkt 2) nie powoduje obowiązku dostosowania odpowiednio przez </w:t>
            </w:r>
            <w:r>
              <w:t>OSDp</w:t>
            </w:r>
            <w:r w:rsidRPr="004B02F6">
              <w:t xml:space="preserve"> albo OSDn układów pomiarowo-rozliczeniowych do wymagań określonych w tym punkcie.</w:t>
            </w:r>
          </w:p>
        </w:tc>
      </w:tr>
      <w:tr w:rsidR="00E70AF6" w:rsidRPr="001C6845" w14:paraId="7EB1FA57" w14:textId="77777777" w:rsidTr="00431378">
        <w:tc>
          <w:tcPr>
            <w:tcW w:w="1063" w:type="dxa"/>
            <w:shd w:val="clear" w:color="auto" w:fill="auto"/>
          </w:tcPr>
          <w:p w14:paraId="106D5B06" w14:textId="77777777" w:rsidR="00E70AF6" w:rsidRPr="008933EB" w:rsidRDefault="00E70AF6" w:rsidP="00AE3CAB">
            <w:pPr>
              <w:spacing w:line="276" w:lineRule="auto"/>
              <w:ind w:right="-69"/>
              <w:rPr>
                <w:sz w:val="22"/>
                <w:szCs w:val="22"/>
              </w:rPr>
            </w:pPr>
            <w:r w:rsidRPr="008933EB">
              <w:rPr>
                <w:sz w:val="22"/>
                <w:szCs w:val="22"/>
              </w:rPr>
              <w:lastRenderedPageBreak/>
              <w:t>A.</w:t>
            </w:r>
            <w:r w:rsidR="008933EB" w:rsidRPr="008933EB">
              <w:rPr>
                <w:sz w:val="22"/>
                <w:szCs w:val="22"/>
              </w:rPr>
              <w:t>10</w:t>
            </w:r>
            <w:r w:rsidRPr="008933EB">
              <w:rPr>
                <w:sz w:val="22"/>
                <w:szCs w:val="22"/>
              </w:rPr>
              <w:t>.1.8.5.</w:t>
            </w:r>
          </w:p>
        </w:tc>
        <w:tc>
          <w:tcPr>
            <w:tcW w:w="8147" w:type="dxa"/>
            <w:shd w:val="clear" w:color="auto" w:fill="auto"/>
          </w:tcPr>
          <w:p w14:paraId="4E49C25B" w14:textId="77777777" w:rsidR="00E70AF6" w:rsidRPr="001C6845" w:rsidRDefault="00E70AF6" w:rsidP="00AE3CAB">
            <w:pPr>
              <w:spacing w:line="276" w:lineRule="auto"/>
              <w:jc w:val="both"/>
            </w:pPr>
            <w:r w:rsidRPr="0078547F">
              <w:t>Jeżeli wynik weryfikacji, o której mowa w pkt. A.</w:t>
            </w:r>
            <w:r w:rsidR="008933EB">
              <w:t>10</w:t>
            </w:r>
            <w:r w:rsidRPr="0078547F">
              <w:t xml:space="preserve">.1.8.3., jest pozytywny, wówczas </w:t>
            </w:r>
            <w:r>
              <w:t>OSDp</w:t>
            </w:r>
            <w:r w:rsidRPr="0078547F">
              <w:t xml:space="preserve"> albo OSDn wydaje Certyfikat dla ORed.</w:t>
            </w:r>
          </w:p>
        </w:tc>
      </w:tr>
      <w:tr w:rsidR="00E70AF6" w:rsidRPr="001C6845" w14:paraId="3A9C1D72" w14:textId="77777777" w:rsidTr="00431378">
        <w:tc>
          <w:tcPr>
            <w:tcW w:w="1063" w:type="dxa"/>
            <w:shd w:val="clear" w:color="auto" w:fill="auto"/>
          </w:tcPr>
          <w:p w14:paraId="0CDDE148" w14:textId="77777777" w:rsidR="00E70AF6" w:rsidRPr="008933EB" w:rsidRDefault="00E70AF6" w:rsidP="00AE3CAB">
            <w:pPr>
              <w:spacing w:line="276" w:lineRule="auto"/>
              <w:ind w:right="-69"/>
              <w:rPr>
                <w:sz w:val="22"/>
                <w:szCs w:val="22"/>
              </w:rPr>
            </w:pPr>
            <w:r w:rsidRPr="008933EB">
              <w:rPr>
                <w:sz w:val="22"/>
                <w:szCs w:val="22"/>
              </w:rPr>
              <w:t>A.</w:t>
            </w:r>
            <w:r w:rsidR="008933EB" w:rsidRPr="008933EB">
              <w:rPr>
                <w:sz w:val="22"/>
                <w:szCs w:val="22"/>
              </w:rPr>
              <w:t>10</w:t>
            </w:r>
            <w:r w:rsidRPr="008933EB">
              <w:rPr>
                <w:sz w:val="22"/>
                <w:szCs w:val="22"/>
              </w:rPr>
              <w:t>.1.8.6.</w:t>
            </w:r>
          </w:p>
        </w:tc>
        <w:tc>
          <w:tcPr>
            <w:tcW w:w="8147" w:type="dxa"/>
            <w:shd w:val="clear" w:color="auto" w:fill="auto"/>
          </w:tcPr>
          <w:p w14:paraId="37183C6E" w14:textId="77777777" w:rsidR="00E70AF6" w:rsidRPr="00E3609F" w:rsidRDefault="00E70AF6" w:rsidP="00AE3CAB">
            <w:pPr>
              <w:pStyle w:val="TableParagraph"/>
              <w:spacing w:line="276" w:lineRule="auto"/>
              <w:ind w:left="33" w:right="28"/>
              <w:rPr>
                <w:sz w:val="24"/>
                <w:szCs w:val="24"/>
              </w:rPr>
            </w:pPr>
            <w:r w:rsidRPr="00E3609F">
              <w:rPr>
                <w:sz w:val="24"/>
                <w:szCs w:val="24"/>
              </w:rPr>
              <w:t>W przypadku złożenia wniosku o wydanie Certyfikatu dla ORed do OSDn, dany OSDn, w terminie 14 dni kalendarzowych od daty otrzymania wniosku dokonuje weryfikacji, o której mowa w pkt. A.</w:t>
            </w:r>
            <w:r w:rsidR="008933EB">
              <w:rPr>
                <w:sz w:val="24"/>
                <w:szCs w:val="24"/>
              </w:rPr>
              <w:t>10</w:t>
            </w:r>
            <w:r w:rsidRPr="00E3609F">
              <w:rPr>
                <w:sz w:val="24"/>
                <w:szCs w:val="24"/>
              </w:rPr>
              <w:t>.1.8.3. i przekazuje Certyfikat dla ORed zgodnie z pkt. A.</w:t>
            </w:r>
            <w:r w:rsidR="008933EB">
              <w:rPr>
                <w:sz w:val="24"/>
                <w:szCs w:val="24"/>
              </w:rPr>
              <w:t>10</w:t>
            </w:r>
            <w:r w:rsidRPr="00E3609F">
              <w:rPr>
                <w:sz w:val="24"/>
                <w:szCs w:val="24"/>
              </w:rPr>
              <w:t xml:space="preserve">.1.5 ppkt. 3) do upoważnionego </w:t>
            </w:r>
            <w:r>
              <w:rPr>
                <w:sz w:val="24"/>
                <w:szCs w:val="24"/>
              </w:rPr>
              <w:t>OSDp.</w:t>
            </w:r>
          </w:p>
          <w:p w14:paraId="37D3276C" w14:textId="143C6B2C" w:rsidR="00E70AF6" w:rsidRPr="001C6845" w:rsidRDefault="00E70AF6" w:rsidP="00AE3CAB">
            <w:pPr>
              <w:spacing w:line="276" w:lineRule="auto"/>
              <w:jc w:val="both"/>
            </w:pPr>
            <w:r w:rsidRPr="006966B4">
              <w:t xml:space="preserve">OSDn przekazuje Certyfikat dla ORed do </w:t>
            </w:r>
            <w:r>
              <w:t>OSDp</w:t>
            </w:r>
            <w:r w:rsidRPr="006966B4">
              <w:t xml:space="preserve"> wyłącznie w formie elektronicznej (edytowalnej oraz w postaci skanu certyfikatu podpisanego zgodnie z zasadami reprezentacji OSDn) wraz ze skanem pełnomocnictwa,</w:t>
            </w:r>
            <w:r w:rsidR="003079EA">
              <w:t xml:space="preserve"> o</w:t>
            </w:r>
            <w:r w:rsidRPr="006966B4">
              <w:t xml:space="preserve"> którym mowa </w:t>
            </w:r>
            <w:r w:rsidR="003079EA">
              <w:br/>
            </w:r>
            <w:r w:rsidRPr="006966B4">
              <w:t>w pkt. A.</w:t>
            </w:r>
            <w:r w:rsidR="006333A9">
              <w:t>10</w:t>
            </w:r>
            <w:r w:rsidRPr="006966B4">
              <w:t xml:space="preserve">.1.5 ppkt. 3). Certyfikat przekazywany jest na wskazany przez </w:t>
            </w:r>
            <w:r>
              <w:t>OSDp</w:t>
            </w:r>
            <w:r w:rsidRPr="006966B4">
              <w:t xml:space="preserve"> adres poczty elektronicznej, opublikowany na stronie internetowej </w:t>
            </w:r>
            <w:r>
              <w:t>OSDp.</w:t>
            </w:r>
          </w:p>
        </w:tc>
      </w:tr>
      <w:tr w:rsidR="00E70AF6" w:rsidRPr="001C6845" w14:paraId="54F065C6" w14:textId="77777777" w:rsidTr="00431378">
        <w:tc>
          <w:tcPr>
            <w:tcW w:w="1063" w:type="dxa"/>
            <w:shd w:val="clear" w:color="auto" w:fill="auto"/>
          </w:tcPr>
          <w:p w14:paraId="122275A2" w14:textId="77777777" w:rsidR="00E70AF6" w:rsidRPr="008933EB" w:rsidRDefault="00E70AF6" w:rsidP="00AE3CAB">
            <w:pPr>
              <w:spacing w:line="276" w:lineRule="auto"/>
              <w:ind w:right="-69"/>
              <w:rPr>
                <w:sz w:val="22"/>
                <w:szCs w:val="22"/>
              </w:rPr>
            </w:pPr>
            <w:r w:rsidRPr="008933EB">
              <w:rPr>
                <w:sz w:val="22"/>
                <w:szCs w:val="22"/>
              </w:rPr>
              <w:t>A.</w:t>
            </w:r>
            <w:r w:rsidR="008933EB" w:rsidRPr="008933EB">
              <w:rPr>
                <w:sz w:val="22"/>
                <w:szCs w:val="22"/>
              </w:rPr>
              <w:t>10</w:t>
            </w:r>
            <w:r w:rsidRPr="008933EB">
              <w:rPr>
                <w:sz w:val="22"/>
                <w:szCs w:val="22"/>
              </w:rPr>
              <w:t>.1.8.7.</w:t>
            </w:r>
          </w:p>
        </w:tc>
        <w:tc>
          <w:tcPr>
            <w:tcW w:w="8147" w:type="dxa"/>
            <w:shd w:val="clear" w:color="auto" w:fill="auto"/>
          </w:tcPr>
          <w:p w14:paraId="4F078BD0" w14:textId="77777777" w:rsidR="00E70AF6" w:rsidRPr="00660657" w:rsidRDefault="00E70AF6" w:rsidP="00AE3CAB">
            <w:pPr>
              <w:pStyle w:val="TableParagraph"/>
              <w:spacing w:line="276" w:lineRule="auto"/>
              <w:ind w:left="0" w:right="28"/>
              <w:rPr>
                <w:sz w:val="24"/>
                <w:szCs w:val="24"/>
              </w:rPr>
            </w:pPr>
            <w:r w:rsidRPr="00660657">
              <w:rPr>
                <w:sz w:val="24"/>
                <w:szCs w:val="24"/>
              </w:rPr>
              <w:t xml:space="preserve">Wydanie Certyfikatu dla ORed następuje w terminie 30 dni kalendarzowych od dnia złożenia kompletnego wniosku do odpowiednio </w:t>
            </w:r>
            <w:r>
              <w:rPr>
                <w:sz w:val="24"/>
                <w:szCs w:val="24"/>
              </w:rPr>
              <w:t>OSDp</w:t>
            </w:r>
            <w:r w:rsidRPr="00660657">
              <w:rPr>
                <w:sz w:val="24"/>
                <w:szCs w:val="24"/>
              </w:rPr>
              <w:t xml:space="preserve"> albo OSDn.</w:t>
            </w:r>
          </w:p>
          <w:p w14:paraId="6F8B7ABC" w14:textId="77777777" w:rsidR="00E70AF6" w:rsidRPr="001C6845" w:rsidRDefault="00E70AF6" w:rsidP="00AE3CAB">
            <w:pPr>
              <w:spacing w:line="276" w:lineRule="auto"/>
              <w:jc w:val="both"/>
            </w:pPr>
            <w:r w:rsidRPr="00660657">
              <w:t xml:space="preserve">W przypadku wystawienia Certyfikatu dla ORed przez OSDn, OSDn przekazuje ten certyfikat do </w:t>
            </w:r>
            <w:r>
              <w:t>OSDp</w:t>
            </w:r>
            <w:r w:rsidRPr="00660657">
              <w:t xml:space="preserve"> celem jego rejestracji w systemie IP DSR, najpóźniej </w:t>
            </w:r>
            <w:r>
              <w:br/>
            </w:r>
            <w:r w:rsidRPr="00660657">
              <w:t>w terminie do 7 dnia przed ww. terminem wydania certyfikatu.</w:t>
            </w:r>
          </w:p>
        </w:tc>
      </w:tr>
      <w:tr w:rsidR="00E70AF6" w:rsidRPr="00B05C1E" w14:paraId="48E8444B" w14:textId="77777777" w:rsidTr="00431378">
        <w:tc>
          <w:tcPr>
            <w:tcW w:w="1063" w:type="dxa"/>
            <w:shd w:val="clear" w:color="auto" w:fill="auto"/>
          </w:tcPr>
          <w:p w14:paraId="257D30ED" w14:textId="77777777" w:rsidR="00E70AF6" w:rsidRPr="00896452" w:rsidRDefault="00CF3D5F" w:rsidP="00AE3CAB">
            <w:pPr>
              <w:spacing w:line="276" w:lineRule="auto"/>
            </w:pPr>
            <w:r>
              <w:t>A.10.1.9.</w:t>
            </w:r>
          </w:p>
        </w:tc>
        <w:tc>
          <w:tcPr>
            <w:tcW w:w="8147" w:type="dxa"/>
            <w:shd w:val="clear" w:color="auto" w:fill="auto"/>
          </w:tcPr>
          <w:p w14:paraId="4ECABF53" w14:textId="77777777" w:rsidR="00E70AF6" w:rsidRPr="00B05C1E" w:rsidRDefault="00E70AF6" w:rsidP="00AE3CAB">
            <w:pPr>
              <w:pStyle w:val="TableParagraph"/>
              <w:spacing w:line="276" w:lineRule="auto"/>
              <w:ind w:left="33"/>
              <w:rPr>
                <w:sz w:val="24"/>
                <w:szCs w:val="24"/>
              </w:rPr>
            </w:pPr>
            <w:r w:rsidRPr="00B05C1E">
              <w:rPr>
                <w:sz w:val="24"/>
                <w:szCs w:val="24"/>
              </w:rPr>
              <w:t>Certyfikat dla ORed zawiera:</w:t>
            </w:r>
          </w:p>
          <w:p w14:paraId="531ABB14" w14:textId="77777777" w:rsidR="00E70AF6" w:rsidRPr="00B05C1E" w:rsidRDefault="00E70AF6">
            <w:pPr>
              <w:numPr>
                <w:ilvl w:val="0"/>
                <w:numId w:val="218"/>
              </w:numPr>
              <w:spacing w:line="276" w:lineRule="auto"/>
              <w:jc w:val="both"/>
              <w:rPr>
                <w:i/>
              </w:rPr>
            </w:pPr>
            <w:r w:rsidRPr="00B05C1E">
              <w:t>Numer certyfikatu i identyfikator O</w:t>
            </w:r>
            <w:r w:rsidR="00CF3D5F" w:rsidRPr="00B05C1E">
              <w:t>r</w:t>
            </w:r>
            <w:r w:rsidRPr="00B05C1E">
              <w:t>ed, z zastrzeżeniem pkt. A.</w:t>
            </w:r>
            <w:r w:rsidR="006333A9">
              <w:t>10</w:t>
            </w:r>
            <w:r w:rsidRPr="00B05C1E">
              <w:t>.1.5.</w:t>
            </w:r>
            <w:r>
              <w:br/>
            </w:r>
            <w:r w:rsidRPr="00B05C1E">
              <w:t>ppkt. 3) zdanie drugie</w:t>
            </w:r>
          </w:p>
          <w:p w14:paraId="4387C5A2" w14:textId="77777777" w:rsidR="00E70AF6" w:rsidRPr="00B05C1E" w:rsidRDefault="00E70AF6">
            <w:pPr>
              <w:pStyle w:val="TableParagraph"/>
              <w:numPr>
                <w:ilvl w:val="0"/>
                <w:numId w:val="218"/>
              </w:numPr>
              <w:tabs>
                <w:tab w:val="left" w:pos="630"/>
              </w:tabs>
              <w:spacing w:line="276" w:lineRule="auto"/>
              <w:rPr>
                <w:sz w:val="24"/>
                <w:szCs w:val="24"/>
              </w:rPr>
            </w:pPr>
            <w:r w:rsidRPr="00B05C1E">
              <w:rPr>
                <w:sz w:val="24"/>
                <w:szCs w:val="24"/>
              </w:rPr>
              <w:t>Lokalizację sieciową O</w:t>
            </w:r>
            <w:r w:rsidR="00CF3D5F" w:rsidRPr="00B05C1E">
              <w:rPr>
                <w:sz w:val="24"/>
                <w:szCs w:val="24"/>
              </w:rPr>
              <w:t>r</w:t>
            </w:r>
            <w:r w:rsidRPr="00B05C1E">
              <w:rPr>
                <w:sz w:val="24"/>
                <w:szCs w:val="24"/>
              </w:rPr>
              <w:t>ed;</w:t>
            </w:r>
          </w:p>
          <w:p w14:paraId="4AB5A9BF" w14:textId="77777777" w:rsidR="00E70AF6" w:rsidRPr="00B81D8C" w:rsidRDefault="00E70AF6">
            <w:pPr>
              <w:pStyle w:val="TableParagraph"/>
              <w:numPr>
                <w:ilvl w:val="0"/>
                <w:numId w:val="218"/>
              </w:numPr>
              <w:tabs>
                <w:tab w:val="left" w:pos="630"/>
                <w:tab w:val="left" w:pos="1334"/>
                <w:tab w:val="left" w:pos="2094"/>
                <w:tab w:val="left" w:pos="3049"/>
                <w:tab w:val="left" w:pos="3833"/>
                <w:tab w:val="left" w:pos="4102"/>
                <w:tab w:val="left" w:pos="4755"/>
                <w:tab w:val="left" w:pos="6448"/>
              </w:tabs>
              <w:spacing w:line="276" w:lineRule="auto"/>
              <w:ind w:right="20"/>
              <w:rPr>
                <w:sz w:val="24"/>
                <w:szCs w:val="24"/>
              </w:rPr>
            </w:pPr>
            <w:r w:rsidRPr="00B81D8C">
              <w:rPr>
                <w:sz w:val="24"/>
                <w:szCs w:val="24"/>
              </w:rPr>
              <w:t>Dane</w:t>
            </w:r>
            <w:r w:rsidRPr="00B81D8C">
              <w:rPr>
                <w:sz w:val="24"/>
                <w:szCs w:val="24"/>
              </w:rPr>
              <w:tab/>
              <w:t>O</w:t>
            </w:r>
            <w:r w:rsidR="00CF3D5F" w:rsidRPr="00B81D8C">
              <w:rPr>
                <w:sz w:val="24"/>
                <w:szCs w:val="24"/>
              </w:rPr>
              <w:t>r</w:t>
            </w:r>
            <w:r w:rsidRPr="00B81D8C">
              <w:rPr>
                <w:sz w:val="24"/>
                <w:szCs w:val="24"/>
              </w:rPr>
              <w:t>ed</w:t>
            </w:r>
            <w:r w:rsidRPr="00B81D8C">
              <w:rPr>
                <w:sz w:val="24"/>
                <w:szCs w:val="24"/>
              </w:rPr>
              <w:tab/>
              <w:t>(nazwa,</w:t>
            </w:r>
            <w:r w:rsidRPr="00B81D8C">
              <w:rPr>
                <w:sz w:val="24"/>
                <w:szCs w:val="24"/>
              </w:rPr>
              <w:tab/>
              <w:t>adres)</w:t>
            </w:r>
            <w:r w:rsidRPr="00B81D8C">
              <w:rPr>
                <w:sz w:val="24"/>
                <w:szCs w:val="24"/>
              </w:rPr>
              <w:tab/>
              <w:t>i</w:t>
            </w:r>
            <w:r w:rsidRPr="00B81D8C">
              <w:rPr>
                <w:sz w:val="24"/>
                <w:szCs w:val="24"/>
              </w:rPr>
              <w:tab/>
              <w:t>dane</w:t>
            </w:r>
            <w:r w:rsidRPr="00B81D8C">
              <w:rPr>
                <w:sz w:val="24"/>
                <w:szCs w:val="24"/>
              </w:rPr>
              <w:tab/>
              <w:t>identyfikacyjne</w:t>
            </w:r>
            <w:r w:rsidRPr="00B81D8C">
              <w:rPr>
                <w:sz w:val="24"/>
                <w:szCs w:val="24"/>
              </w:rPr>
              <w:tab/>
              <w:t xml:space="preserve">Odbiorcy  </w:t>
            </w:r>
            <w:r w:rsidRPr="00B81D8C">
              <w:rPr>
                <w:spacing w:val="17"/>
                <w:sz w:val="24"/>
                <w:szCs w:val="24"/>
              </w:rPr>
              <w:t xml:space="preserve"> </w:t>
            </w:r>
            <w:r w:rsidRPr="00B81D8C">
              <w:rPr>
                <w:spacing w:val="17"/>
                <w:sz w:val="24"/>
                <w:szCs w:val="24"/>
              </w:rPr>
              <w:br/>
            </w:r>
            <w:r w:rsidRPr="00B81D8C">
              <w:rPr>
                <w:sz w:val="24"/>
                <w:szCs w:val="24"/>
              </w:rPr>
              <w:t>w O</w:t>
            </w:r>
            <w:r w:rsidR="00CF3D5F" w:rsidRPr="00B81D8C">
              <w:rPr>
                <w:sz w:val="24"/>
                <w:szCs w:val="24"/>
              </w:rPr>
              <w:t>r</w:t>
            </w:r>
            <w:r w:rsidRPr="00B81D8C">
              <w:rPr>
                <w:sz w:val="24"/>
                <w:szCs w:val="24"/>
              </w:rPr>
              <w:t>ed z zastrzeżeniem pkt. A.</w:t>
            </w:r>
            <w:r w:rsidR="008933EB">
              <w:rPr>
                <w:sz w:val="24"/>
                <w:szCs w:val="24"/>
              </w:rPr>
              <w:t>10</w:t>
            </w:r>
            <w:r w:rsidRPr="00B81D8C">
              <w:rPr>
                <w:sz w:val="24"/>
                <w:szCs w:val="24"/>
              </w:rPr>
              <w:t>.1.13. zdanie</w:t>
            </w:r>
            <w:r w:rsidRPr="00B81D8C">
              <w:rPr>
                <w:spacing w:val="2"/>
                <w:sz w:val="24"/>
                <w:szCs w:val="24"/>
              </w:rPr>
              <w:t xml:space="preserve"> </w:t>
            </w:r>
            <w:r w:rsidRPr="00B81D8C">
              <w:rPr>
                <w:sz w:val="24"/>
                <w:szCs w:val="24"/>
              </w:rPr>
              <w:t>trzecie;</w:t>
            </w:r>
          </w:p>
          <w:p w14:paraId="363DF2AF" w14:textId="6CE824D7" w:rsidR="00E70AF6" w:rsidRPr="00B05C1E" w:rsidRDefault="00E70AF6">
            <w:pPr>
              <w:pStyle w:val="TableParagraph"/>
              <w:numPr>
                <w:ilvl w:val="0"/>
                <w:numId w:val="218"/>
              </w:numPr>
              <w:tabs>
                <w:tab w:val="left" w:pos="630"/>
              </w:tabs>
              <w:spacing w:line="276" w:lineRule="auto"/>
              <w:ind w:right="20"/>
              <w:rPr>
                <w:sz w:val="24"/>
                <w:szCs w:val="24"/>
              </w:rPr>
            </w:pPr>
            <w:r w:rsidRPr="00B05C1E">
              <w:rPr>
                <w:sz w:val="24"/>
                <w:szCs w:val="24"/>
              </w:rPr>
              <w:t xml:space="preserve">Wykaz kodów PPE, zgodnie z formatem kodów PPE </w:t>
            </w:r>
            <w:r>
              <w:rPr>
                <w:sz w:val="24"/>
                <w:szCs w:val="24"/>
              </w:rPr>
              <w:t>danego</w:t>
            </w:r>
            <w:r w:rsidRPr="00B05C1E">
              <w:rPr>
                <w:sz w:val="24"/>
                <w:szCs w:val="24"/>
              </w:rPr>
              <w:t xml:space="preserve"> </w:t>
            </w:r>
            <w:r>
              <w:rPr>
                <w:sz w:val="24"/>
                <w:szCs w:val="24"/>
              </w:rPr>
              <w:t>OSDp</w:t>
            </w:r>
            <w:r w:rsidR="008801C3">
              <w:rPr>
                <w:sz w:val="24"/>
                <w:szCs w:val="24"/>
              </w:rPr>
              <w:t xml:space="preserve"> </w:t>
            </w:r>
            <w:r w:rsidRPr="00B05C1E">
              <w:rPr>
                <w:sz w:val="24"/>
                <w:szCs w:val="24"/>
              </w:rPr>
              <w:t>(kody PPE nadaje OSD właściwy dla miejsca przyłączenia O</w:t>
            </w:r>
            <w:r w:rsidR="00CF3D5F" w:rsidRPr="00B05C1E">
              <w:rPr>
                <w:sz w:val="24"/>
                <w:szCs w:val="24"/>
              </w:rPr>
              <w:t>r</w:t>
            </w:r>
            <w:r w:rsidRPr="00B05C1E">
              <w:rPr>
                <w:sz w:val="24"/>
                <w:szCs w:val="24"/>
              </w:rPr>
              <w:t>ed), składających   się na kompletny układ zasilania O</w:t>
            </w:r>
            <w:r w:rsidR="00CF3D5F" w:rsidRPr="00B05C1E">
              <w:rPr>
                <w:sz w:val="24"/>
                <w:szCs w:val="24"/>
              </w:rPr>
              <w:t>r</w:t>
            </w:r>
            <w:r w:rsidRPr="00B05C1E">
              <w:rPr>
                <w:sz w:val="24"/>
                <w:szCs w:val="24"/>
              </w:rPr>
              <w:t xml:space="preserve">ed z sieci dystrybucyjnej (wraz </w:t>
            </w:r>
            <w:r w:rsidR="008801C3">
              <w:rPr>
                <w:sz w:val="24"/>
                <w:szCs w:val="24"/>
              </w:rPr>
              <w:br/>
            </w:r>
            <w:r w:rsidRPr="00B05C1E">
              <w:rPr>
                <w:sz w:val="24"/>
                <w:szCs w:val="24"/>
              </w:rPr>
              <w:t xml:space="preserve">z informacją na terenie, jakiego odpowiednio </w:t>
            </w:r>
            <w:r>
              <w:rPr>
                <w:sz w:val="24"/>
                <w:szCs w:val="24"/>
              </w:rPr>
              <w:t>OSDp</w:t>
            </w:r>
            <w:r w:rsidRPr="00B05C1E">
              <w:rPr>
                <w:sz w:val="24"/>
                <w:szCs w:val="24"/>
              </w:rPr>
              <w:t xml:space="preserve"> i OSDn zlokalizowany jest dany</w:t>
            </w:r>
            <w:r w:rsidRPr="00B05C1E">
              <w:rPr>
                <w:spacing w:val="-12"/>
                <w:sz w:val="24"/>
                <w:szCs w:val="24"/>
              </w:rPr>
              <w:t xml:space="preserve"> </w:t>
            </w:r>
            <w:r w:rsidRPr="00B05C1E">
              <w:rPr>
                <w:sz w:val="24"/>
                <w:szCs w:val="24"/>
              </w:rPr>
              <w:t>PPE);</w:t>
            </w:r>
          </w:p>
          <w:p w14:paraId="0193E571" w14:textId="77777777" w:rsidR="00E70AF6" w:rsidRPr="00B05C1E" w:rsidRDefault="00E70AF6">
            <w:pPr>
              <w:pStyle w:val="TableParagraph"/>
              <w:numPr>
                <w:ilvl w:val="0"/>
                <w:numId w:val="218"/>
              </w:numPr>
              <w:tabs>
                <w:tab w:val="left" w:pos="630"/>
              </w:tabs>
              <w:spacing w:line="276" w:lineRule="auto"/>
              <w:ind w:right="20"/>
              <w:rPr>
                <w:sz w:val="24"/>
                <w:szCs w:val="24"/>
              </w:rPr>
            </w:pPr>
            <w:r w:rsidRPr="00B05C1E">
              <w:rPr>
                <w:sz w:val="24"/>
                <w:szCs w:val="24"/>
              </w:rPr>
              <w:t>Datę</w:t>
            </w:r>
            <w:r w:rsidR="00B16160">
              <w:rPr>
                <w:sz w:val="24"/>
                <w:szCs w:val="24"/>
              </w:rPr>
              <w:t>,</w:t>
            </w:r>
            <w:r w:rsidRPr="00B05C1E">
              <w:rPr>
                <w:sz w:val="24"/>
                <w:szCs w:val="24"/>
              </w:rPr>
              <w:t xml:space="preserve"> od której obowiązuje Certyfikat dla</w:t>
            </w:r>
            <w:r w:rsidRPr="00B05C1E">
              <w:rPr>
                <w:spacing w:val="-4"/>
                <w:sz w:val="24"/>
                <w:szCs w:val="24"/>
              </w:rPr>
              <w:t xml:space="preserve"> </w:t>
            </w:r>
            <w:r w:rsidRPr="00B05C1E">
              <w:rPr>
                <w:sz w:val="24"/>
                <w:szCs w:val="24"/>
              </w:rPr>
              <w:t>O</w:t>
            </w:r>
            <w:r w:rsidR="00CF3D5F" w:rsidRPr="00B05C1E">
              <w:rPr>
                <w:sz w:val="24"/>
                <w:szCs w:val="24"/>
              </w:rPr>
              <w:t>r</w:t>
            </w:r>
            <w:r w:rsidRPr="00B05C1E">
              <w:rPr>
                <w:sz w:val="24"/>
                <w:szCs w:val="24"/>
              </w:rPr>
              <w:t>ed;</w:t>
            </w:r>
          </w:p>
          <w:p w14:paraId="21D5C691" w14:textId="77777777" w:rsidR="00E70AF6" w:rsidRPr="00B05C1E" w:rsidRDefault="00E70AF6">
            <w:pPr>
              <w:pStyle w:val="TableParagraph"/>
              <w:numPr>
                <w:ilvl w:val="0"/>
                <w:numId w:val="218"/>
              </w:numPr>
              <w:tabs>
                <w:tab w:val="left" w:pos="630"/>
              </w:tabs>
              <w:spacing w:line="276" w:lineRule="auto"/>
              <w:ind w:right="20"/>
              <w:rPr>
                <w:sz w:val="24"/>
                <w:szCs w:val="24"/>
              </w:rPr>
            </w:pPr>
            <w:r w:rsidRPr="00B05C1E">
              <w:rPr>
                <w:sz w:val="24"/>
                <w:szCs w:val="24"/>
              </w:rPr>
              <w:t>Podmiot wydający Certyfikat dla</w:t>
            </w:r>
            <w:r w:rsidRPr="00B05C1E">
              <w:rPr>
                <w:spacing w:val="-7"/>
                <w:sz w:val="24"/>
                <w:szCs w:val="24"/>
              </w:rPr>
              <w:t xml:space="preserve"> </w:t>
            </w:r>
            <w:r w:rsidRPr="00B05C1E">
              <w:rPr>
                <w:sz w:val="24"/>
                <w:szCs w:val="24"/>
              </w:rPr>
              <w:t>O</w:t>
            </w:r>
            <w:r w:rsidR="00CF3D5F" w:rsidRPr="00B05C1E">
              <w:rPr>
                <w:sz w:val="24"/>
                <w:szCs w:val="24"/>
              </w:rPr>
              <w:t>r</w:t>
            </w:r>
            <w:r w:rsidRPr="00B05C1E">
              <w:rPr>
                <w:sz w:val="24"/>
                <w:szCs w:val="24"/>
              </w:rPr>
              <w:t>ed;</w:t>
            </w:r>
          </w:p>
          <w:p w14:paraId="212F6A17" w14:textId="77777777" w:rsidR="00E70AF6" w:rsidRPr="00B05C1E" w:rsidRDefault="00E70AF6">
            <w:pPr>
              <w:pStyle w:val="TableParagraph"/>
              <w:numPr>
                <w:ilvl w:val="0"/>
                <w:numId w:val="218"/>
              </w:numPr>
              <w:tabs>
                <w:tab w:val="left" w:pos="630"/>
              </w:tabs>
              <w:spacing w:line="276" w:lineRule="auto"/>
              <w:ind w:right="20"/>
              <w:rPr>
                <w:sz w:val="24"/>
                <w:szCs w:val="24"/>
              </w:rPr>
            </w:pPr>
            <w:r w:rsidRPr="00B05C1E">
              <w:rPr>
                <w:sz w:val="24"/>
                <w:szCs w:val="24"/>
              </w:rPr>
              <w:t>Typ O</w:t>
            </w:r>
            <w:r w:rsidR="00CF3D5F" w:rsidRPr="00B05C1E">
              <w:rPr>
                <w:sz w:val="24"/>
                <w:szCs w:val="24"/>
              </w:rPr>
              <w:t>r</w:t>
            </w:r>
            <w:r w:rsidRPr="00B05C1E">
              <w:rPr>
                <w:sz w:val="24"/>
                <w:szCs w:val="24"/>
              </w:rPr>
              <w:t>ed (O</w:t>
            </w:r>
            <w:r w:rsidR="00CF3D5F" w:rsidRPr="00B05C1E">
              <w:rPr>
                <w:sz w:val="24"/>
                <w:szCs w:val="24"/>
              </w:rPr>
              <w:t>r</w:t>
            </w:r>
            <w:r w:rsidRPr="00B05C1E">
              <w:rPr>
                <w:sz w:val="24"/>
                <w:szCs w:val="24"/>
              </w:rPr>
              <w:t>ed O – obiekt odbiorczy lub O</w:t>
            </w:r>
            <w:r w:rsidR="00CF3D5F" w:rsidRPr="00B05C1E">
              <w:rPr>
                <w:sz w:val="24"/>
                <w:szCs w:val="24"/>
              </w:rPr>
              <w:t>r</w:t>
            </w:r>
            <w:r w:rsidRPr="00B05C1E">
              <w:rPr>
                <w:sz w:val="24"/>
                <w:szCs w:val="24"/>
              </w:rPr>
              <w:t xml:space="preserve">ed OG – obiekt odbiorczy </w:t>
            </w:r>
            <w:r w:rsidR="00B16160">
              <w:rPr>
                <w:sz w:val="24"/>
                <w:szCs w:val="24"/>
              </w:rPr>
              <w:br/>
            </w:r>
            <w:r w:rsidRPr="00B05C1E">
              <w:rPr>
                <w:sz w:val="24"/>
                <w:szCs w:val="24"/>
              </w:rPr>
              <w:t>z generacją wewnętrzną), pod warunkiem złożenia przez Odbiorcę w O</w:t>
            </w:r>
            <w:r w:rsidR="00CF3D5F" w:rsidRPr="00B05C1E">
              <w:rPr>
                <w:sz w:val="24"/>
                <w:szCs w:val="24"/>
              </w:rPr>
              <w:t>r</w:t>
            </w:r>
            <w:r w:rsidRPr="00B05C1E">
              <w:rPr>
                <w:sz w:val="24"/>
                <w:szCs w:val="24"/>
              </w:rPr>
              <w:t>ed oświadczenia, o którym mowa w pkt A.</w:t>
            </w:r>
            <w:r w:rsidR="006333A9">
              <w:rPr>
                <w:sz w:val="24"/>
                <w:szCs w:val="24"/>
              </w:rPr>
              <w:t>10</w:t>
            </w:r>
            <w:r w:rsidRPr="00B05C1E">
              <w:rPr>
                <w:sz w:val="24"/>
                <w:szCs w:val="24"/>
              </w:rPr>
              <w:t>.1.12. ppkt 3)</w:t>
            </w:r>
            <w:r w:rsidRPr="00B05C1E">
              <w:rPr>
                <w:spacing w:val="-2"/>
                <w:sz w:val="24"/>
                <w:szCs w:val="24"/>
              </w:rPr>
              <w:t xml:space="preserve"> </w:t>
            </w:r>
            <w:r w:rsidRPr="00B05C1E">
              <w:rPr>
                <w:sz w:val="24"/>
                <w:szCs w:val="24"/>
              </w:rPr>
              <w:t>lit.a);</w:t>
            </w:r>
          </w:p>
          <w:p w14:paraId="3305C94A" w14:textId="77777777" w:rsidR="00E70AF6" w:rsidRPr="00B05C1E" w:rsidRDefault="00E70AF6">
            <w:pPr>
              <w:pStyle w:val="TableParagraph"/>
              <w:numPr>
                <w:ilvl w:val="0"/>
                <w:numId w:val="218"/>
              </w:numPr>
              <w:tabs>
                <w:tab w:val="left" w:pos="630"/>
              </w:tabs>
              <w:spacing w:line="276" w:lineRule="auto"/>
              <w:ind w:right="20"/>
              <w:rPr>
                <w:sz w:val="24"/>
                <w:szCs w:val="24"/>
              </w:rPr>
            </w:pPr>
            <w:r w:rsidRPr="00B05C1E">
              <w:rPr>
                <w:sz w:val="24"/>
                <w:szCs w:val="24"/>
              </w:rPr>
              <w:t>Informację, czy Odbiorca w O</w:t>
            </w:r>
            <w:r w:rsidR="00CF3D5F" w:rsidRPr="00B05C1E">
              <w:rPr>
                <w:sz w:val="24"/>
                <w:szCs w:val="24"/>
              </w:rPr>
              <w:t>r</w:t>
            </w:r>
            <w:r w:rsidRPr="00B05C1E">
              <w:rPr>
                <w:sz w:val="24"/>
                <w:szCs w:val="24"/>
              </w:rPr>
              <w:t>ed jest</w:t>
            </w:r>
            <w:r w:rsidRPr="00B05C1E">
              <w:rPr>
                <w:spacing w:val="-7"/>
                <w:sz w:val="24"/>
                <w:szCs w:val="24"/>
              </w:rPr>
              <w:t xml:space="preserve"> </w:t>
            </w:r>
            <w:r w:rsidRPr="00B05C1E">
              <w:rPr>
                <w:sz w:val="24"/>
                <w:szCs w:val="24"/>
              </w:rPr>
              <w:t>OSDn.</w:t>
            </w:r>
          </w:p>
          <w:p w14:paraId="0007DE50" w14:textId="77777777" w:rsidR="00CF3D5F" w:rsidRPr="00B05C1E" w:rsidRDefault="00E70AF6" w:rsidP="00EF06D1">
            <w:pPr>
              <w:spacing w:line="276" w:lineRule="auto"/>
              <w:jc w:val="both"/>
              <w:rPr>
                <w:i/>
              </w:rPr>
            </w:pPr>
            <w:r w:rsidRPr="00B05C1E">
              <w:t>W   przypadku   wystawiania   Certyfikatu   przez   OSDn</w:t>
            </w:r>
            <w:r w:rsidR="009E5171">
              <w:t xml:space="preserve"> </w:t>
            </w:r>
            <w:r w:rsidRPr="00B05C1E">
              <w:t xml:space="preserve">jest   on   zobowiązany do wystąpienia do </w:t>
            </w:r>
            <w:r>
              <w:t>OSDp</w:t>
            </w:r>
            <w:r w:rsidRPr="00B05C1E">
              <w:t xml:space="preserve"> o określenie warunków</w:t>
            </w:r>
            <w:r>
              <w:t xml:space="preserve"> </w:t>
            </w:r>
            <w:r w:rsidRPr="00B05C1E">
              <w:t>i zasad stosowania formatu/kodów PPE, o których mowa powyżej w ppkt.</w:t>
            </w:r>
            <w:r w:rsidRPr="00B05C1E">
              <w:rPr>
                <w:spacing w:val="1"/>
              </w:rPr>
              <w:t xml:space="preserve"> </w:t>
            </w:r>
            <w:r w:rsidRPr="00B05C1E">
              <w:t>4).</w:t>
            </w:r>
          </w:p>
        </w:tc>
      </w:tr>
      <w:tr w:rsidR="00E70AF6" w:rsidRPr="00EF12CB" w14:paraId="764A1E21" w14:textId="77777777" w:rsidTr="00431378">
        <w:tc>
          <w:tcPr>
            <w:tcW w:w="1063" w:type="dxa"/>
            <w:shd w:val="clear" w:color="auto" w:fill="auto"/>
          </w:tcPr>
          <w:p w14:paraId="1190CD4D" w14:textId="77777777" w:rsidR="00E70AF6" w:rsidRPr="00CF3D5F" w:rsidRDefault="00CF3D5F" w:rsidP="00AE3CAB">
            <w:pPr>
              <w:spacing w:line="276" w:lineRule="auto"/>
              <w:ind w:right="-210"/>
              <w:rPr>
                <w:sz w:val="22"/>
                <w:szCs w:val="22"/>
              </w:rPr>
            </w:pPr>
            <w:r w:rsidRPr="00CF3D5F">
              <w:rPr>
                <w:sz w:val="22"/>
                <w:szCs w:val="22"/>
              </w:rPr>
              <w:t>A.10.1.10.</w:t>
            </w:r>
          </w:p>
        </w:tc>
        <w:tc>
          <w:tcPr>
            <w:tcW w:w="8147" w:type="dxa"/>
            <w:shd w:val="clear" w:color="auto" w:fill="auto"/>
          </w:tcPr>
          <w:p w14:paraId="7B20B685" w14:textId="77777777" w:rsidR="00E70AF6" w:rsidRPr="00E3609F" w:rsidRDefault="00E70AF6" w:rsidP="00AE3CAB">
            <w:pPr>
              <w:pStyle w:val="TableParagraph"/>
              <w:spacing w:line="276" w:lineRule="auto"/>
              <w:ind w:left="34" w:right="20"/>
              <w:rPr>
                <w:sz w:val="24"/>
                <w:szCs w:val="24"/>
              </w:rPr>
            </w:pPr>
            <w:r w:rsidRPr="00E3609F">
              <w:rPr>
                <w:sz w:val="24"/>
                <w:szCs w:val="24"/>
              </w:rPr>
              <w:t xml:space="preserve">Po pozytywnie zakończonym procesie weryfikacji, o którym mowa </w:t>
            </w:r>
            <w:r>
              <w:rPr>
                <w:sz w:val="24"/>
                <w:szCs w:val="24"/>
              </w:rPr>
              <w:br/>
            </w:r>
            <w:r w:rsidRPr="00E3609F">
              <w:rPr>
                <w:sz w:val="24"/>
                <w:szCs w:val="24"/>
              </w:rPr>
              <w:t>w pkt. A.</w:t>
            </w:r>
            <w:r w:rsidR="006333A9">
              <w:rPr>
                <w:sz w:val="24"/>
                <w:szCs w:val="24"/>
              </w:rPr>
              <w:t>10</w:t>
            </w:r>
            <w:r w:rsidRPr="00E3609F">
              <w:rPr>
                <w:sz w:val="24"/>
                <w:szCs w:val="24"/>
              </w:rPr>
              <w:t>.1.7.1. i A.</w:t>
            </w:r>
            <w:r w:rsidR="006333A9">
              <w:rPr>
                <w:sz w:val="24"/>
                <w:szCs w:val="24"/>
              </w:rPr>
              <w:t>10</w:t>
            </w:r>
            <w:r w:rsidRPr="00E3609F">
              <w:rPr>
                <w:sz w:val="24"/>
                <w:szCs w:val="24"/>
              </w:rPr>
              <w:t xml:space="preserve">.1.8.3., </w:t>
            </w:r>
            <w:r>
              <w:rPr>
                <w:sz w:val="24"/>
                <w:szCs w:val="24"/>
              </w:rPr>
              <w:t>OSDp</w:t>
            </w:r>
            <w:r w:rsidRPr="00E3609F">
              <w:rPr>
                <w:sz w:val="24"/>
                <w:szCs w:val="24"/>
              </w:rPr>
              <w:t xml:space="preserve"> albo </w:t>
            </w:r>
            <w:r>
              <w:rPr>
                <w:sz w:val="24"/>
                <w:szCs w:val="24"/>
              </w:rPr>
              <w:t>OSDp</w:t>
            </w:r>
            <w:r w:rsidRPr="00E3609F">
              <w:rPr>
                <w:sz w:val="24"/>
                <w:szCs w:val="24"/>
              </w:rPr>
              <w:t xml:space="preserve"> upoważniony przez OSDn, rejestruje Certyfikat dla ORed w systemie </w:t>
            </w:r>
            <w:r w:rsidRPr="00E3609F">
              <w:rPr>
                <w:spacing w:val="-3"/>
                <w:sz w:val="24"/>
                <w:szCs w:val="24"/>
              </w:rPr>
              <w:t xml:space="preserve">IP </w:t>
            </w:r>
            <w:r w:rsidRPr="00E3609F">
              <w:rPr>
                <w:sz w:val="24"/>
                <w:szCs w:val="24"/>
              </w:rPr>
              <w:t xml:space="preserve">DSR, który podczas rejestracji automatycznie nadaje unikalny identyfikator ORed oraz unikalny numer </w:t>
            </w:r>
            <w:r w:rsidRPr="00E3609F">
              <w:rPr>
                <w:sz w:val="24"/>
                <w:szCs w:val="24"/>
              </w:rPr>
              <w:lastRenderedPageBreak/>
              <w:t>Certyfikatu dla ORed, a następnie operator systemu wydający Certyfikat dla ORed informuje, odpowiednio Odbiorcę w ORed lub podmiot przez niego upoważniony, o wydaniu Certyfikatu dla ORed.  Po wprowadzeniu stosownej funkcjonalności do</w:t>
            </w:r>
            <w:r w:rsidR="00F937F9">
              <w:rPr>
                <w:sz w:val="24"/>
                <w:szCs w:val="24"/>
              </w:rPr>
              <w:t xml:space="preserve"> </w:t>
            </w:r>
            <w:r w:rsidRPr="00E3609F">
              <w:rPr>
                <w:sz w:val="24"/>
                <w:szCs w:val="24"/>
              </w:rPr>
              <w:t>systemu</w:t>
            </w:r>
            <w:r w:rsidR="0049640E">
              <w:rPr>
                <w:sz w:val="24"/>
                <w:szCs w:val="24"/>
              </w:rPr>
              <w:t xml:space="preserve"> </w:t>
            </w:r>
            <w:r w:rsidRPr="00E3609F">
              <w:rPr>
                <w:sz w:val="24"/>
                <w:szCs w:val="24"/>
              </w:rPr>
              <w:t>IP DSR, informacja ta będzie przekazywana automatycznie za pośrednictwem tego systemu.</w:t>
            </w:r>
          </w:p>
          <w:p w14:paraId="31070B52" w14:textId="77777777" w:rsidR="00CF3D5F" w:rsidRPr="00EF12CB" w:rsidRDefault="00E70AF6" w:rsidP="00EF06D1">
            <w:pPr>
              <w:spacing w:line="276" w:lineRule="auto"/>
              <w:jc w:val="both"/>
            </w:pPr>
            <w:r w:rsidRPr="004172EF">
              <w:t xml:space="preserve">Certyfikat dla ORed obowiązuje od daty następującej po dniu rejestracji certyfikatu   w systemie </w:t>
            </w:r>
            <w:r w:rsidRPr="004172EF">
              <w:rPr>
                <w:spacing w:val="-3"/>
              </w:rPr>
              <w:t>IP</w:t>
            </w:r>
            <w:r w:rsidRPr="004172EF">
              <w:rPr>
                <w:spacing w:val="1"/>
              </w:rPr>
              <w:t xml:space="preserve"> </w:t>
            </w:r>
            <w:r w:rsidRPr="004172EF">
              <w:t>DSR.</w:t>
            </w:r>
          </w:p>
        </w:tc>
      </w:tr>
      <w:tr w:rsidR="00E70AF6" w:rsidRPr="00E3609F" w14:paraId="1243B4C9" w14:textId="77777777" w:rsidTr="00431378">
        <w:tc>
          <w:tcPr>
            <w:tcW w:w="1063" w:type="dxa"/>
            <w:shd w:val="clear" w:color="auto" w:fill="auto"/>
          </w:tcPr>
          <w:p w14:paraId="1472D3EC" w14:textId="77777777" w:rsidR="00E70AF6" w:rsidRPr="00896452" w:rsidRDefault="00CF3D5F" w:rsidP="00AE3CAB">
            <w:pPr>
              <w:spacing w:line="276" w:lineRule="auto"/>
              <w:ind w:right="-210"/>
            </w:pPr>
            <w:r w:rsidRPr="00CF3D5F">
              <w:rPr>
                <w:sz w:val="22"/>
                <w:szCs w:val="22"/>
              </w:rPr>
              <w:lastRenderedPageBreak/>
              <w:t>A.10.1.1</w:t>
            </w:r>
            <w:r>
              <w:rPr>
                <w:sz w:val="22"/>
                <w:szCs w:val="22"/>
              </w:rPr>
              <w:t>1</w:t>
            </w:r>
            <w:r w:rsidRPr="00CF3D5F">
              <w:rPr>
                <w:sz w:val="22"/>
                <w:szCs w:val="22"/>
              </w:rPr>
              <w:t>.</w:t>
            </w:r>
          </w:p>
        </w:tc>
        <w:tc>
          <w:tcPr>
            <w:tcW w:w="8147" w:type="dxa"/>
            <w:shd w:val="clear" w:color="auto" w:fill="auto"/>
          </w:tcPr>
          <w:p w14:paraId="1438C8FF" w14:textId="77777777" w:rsidR="00E70AF6" w:rsidRPr="00E3609F" w:rsidRDefault="00E70AF6" w:rsidP="00AE3CAB">
            <w:pPr>
              <w:pStyle w:val="TableParagraph"/>
              <w:spacing w:line="276" w:lineRule="auto"/>
              <w:ind w:left="0"/>
              <w:jc w:val="left"/>
              <w:rPr>
                <w:sz w:val="24"/>
                <w:szCs w:val="24"/>
              </w:rPr>
            </w:pPr>
            <w:r w:rsidRPr="00E3609F">
              <w:rPr>
                <w:sz w:val="24"/>
                <w:szCs w:val="24"/>
              </w:rPr>
              <w:t>ORed, dla którego Certyfikat dla ORed wydano w ramach certyfikacji w trybie</w:t>
            </w:r>
          </w:p>
          <w:p w14:paraId="6183A451" w14:textId="77777777" w:rsidR="00CF3D5F" w:rsidRPr="00E3609F" w:rsidRDefault="00E70AF6" w:rsidP="00AE3CAB">
            <w:pPr>
              <w:pStyle w:val="TableParagraph"/>
              <w:spacing w:line="276" w:lineRule="auto"/>
              <w:ind w:left="0"/>
              <w:jc w:val="left"/>
              <w:rPr>
                <w:sz w:val="24"/>
                <w:szCs w:val="24"/>
              </w:rPr>
            </w:pPr>
            <w:r w:rsidRPr="00E3609F">
              <w:rPr>
                <w:sz w:val="24"/>
                <w:szCs w:val="24"/>
              </w:rPr>
              <w:t>dodatkowym, jest rejestrowany w systemie IP DSR ze statusem „ORed aktywny”.</w:t>
            </w:r>
          </w:p>
        </w:tc>
      </w:tr>
      <w:tr w:rsidR="00E70AF6" w14:paraId="3AD64205" w14:textId="77777777" w:rsidTr="00431378">
        <w:tc>
          <w:tcPr>
            <w:tcW w:w="1063" w:type="dxa"/>
            <w:shd w:val="clear" w:color="auto" w:fill="auto"/>
          </w:tcPr>
          <w:p w14:paraId="4A7B3213" w14:textId="77777777" w:rsidR="00E70AF6" w:rsidRPr="00896452" w:rsidRDefault="00CF3D5F" w:rsidP="00AE3CAB">
            <w:pPr>
              <w:spacing w:line="276" w:lineRule="auto"/>
              <w:ind w:right="-69"/>
            </w:pPr>
            <w:r w:rsidRPr="00CF3D5F">
              <w:rPr>
                <w:sz w:val="22"/>
                <w:szCs w:val="22"/>
              </w:rPr>
              <w:t>A.10.1.1</w:t>
            </w:r>
            <w:r>
              <w:rPr>
                <w:sz w:val="22"/>
                <w:szCs w:val="22"/>
              </w:rPr>
              <w:t>2</w:t>
            </w:r>
            <w:r w:rsidRPr="00CF3D5F">
              <w:rPr>
                <w:sz w:val="22"/>
                <w:szCs w:val="22"/>
              </w:rPr>
              <w:t>.</w:t>
            </w:r>
          </w:p>
        </w:tc>
        <w:tc>
          <w:tcPr>
            <w:tcW w:w="8147" w:type="dxa"/>
            <w:shd w:val="clear" w:color="auto" w:fill="auto"/>
          </w:tcPr>
          <w:p w14:paraId="733CDF70" w14:textId="77777777" w:rsidR="00E70AF6" w:rsidRPr="00E04926" w:rsidRDefault="00E70AF6" w:rsidP="00AE3CAB">
            <w:pPr>
              <w:spacing w:line="276" w:lineRule="auto"/>
              <w:jc w:val="both"/>
              <w:rPr>
                <w:i/>
              </w:rPr>
            </w:pPr>
            <w:r w:rsidRPr="00E04926">
              <w:t>ORed, dla którego Certyfikat dla ORed wydano w ramach certyfikacji w trybie podstawowym, jest rejestrowany w systemie IP DSR ze statusem „ORed nieaktywny”. W celu uzyskania statusu „ORed aktywny”, wymagane jest</w:t>
            </w:r>
            <w:r w:rsidR="0049640E">
              <w:t xml:space="preserve"> </w:t>
            </w:r>
            <w:r w:rsidRPr="00E04926">
              <w:t>dostarczenie</w:t>
            </w:r>
            <w:r w:rsidR="002272A5">
              <w:t xml:space="preserve"> </w:t>
            </w:r>
            <w:r w:rsidRPr="00E04926">
              <w:t xml:space="preserve">do </w:t>
            </w:r>
            <w:r>
              <w:t>OSDp</w:t>
            </w:r>
            <w:r w:rsidRPr="00E04926">
              <w:t xml:space="preserve"> dokonującego rejestracji Certyfikatu dla ORed, następujących zgód i oświadczeń Odbiorcy w</w:t>
            </w:r>
            <w:r w:rsidRPr="00E04926">
              <w:rPr>
                <w:spacing w:val="-7"/>
              </w:rPr>
              <w:t xml:space="preserve"> </w:t>
            </w:r>
            <w:r w:rsidRPr="00E04926">
              <w:t>ORed:</w:t>
            </w:r>
          </w:p>
          <w:p w14:paraId="0154B20B" w14:textId="77777777" w:rsidR="00E70AF6" w:rsidRPr="00C40729" w:rsidRDefault="00E70AF6">
            <w:pPr>
              <w:pStyle w:val="TableParagraph"/>
              <w:numPr>
                <w:ilvl w:val="0"/>
                <w:numId w:val="216"/>
              </w:numPr>
              <w:tabs>
                <w:tab w:val="left" w:pos="557"/>
                <w:tab w:val="left" w:pos="558"/>
              </w:tabs>
              <w:spacing w:line="276" w:lineRule="auto"/>
              <w:rPr>
                <w:sz w:val="24"/>
                <w:szCs w:val="24"/>
              </w:rPr>
            </w:pPr>
            <w:r w:rsidRPr="00C40729">
              <w:rPr>
                <w:sz w:val="24"/>
                <w:szCs w:val="24"/>
              </w:rPr>
              <w:t>Zgód na przekazywanie danych pomiarowych przez:</w:t>
            </w:r>
          </w:p>
          <w:p w14:paraId="293F0845" w14:textId="77777777" w:rsidR="00E70AF6" w:rsidRPr="00C40729" w:rsidRDefault="00E70AF6">
            <w:pPr>
              <w:pStyle w:val="TableParagraph"/>
              <w:numPr>
                <w:ilvl w:val="1"/>
                <w:numId w:val="216"/>
              </w:numPr>
              <w:tabs>
                <w:tab w:val="left" w:pos="913"/>
              </w:tabs>
              <w:spacing w:line="276" w:lineRule="auto"/>
              <w:rPr>
                <w:sz w:val="24"/>
                <w:szCs w:val="24"/>
              </w:rPr>
            </w:pPr>
            <w:r>
              <w:rPr>
                <w:sz w:val="24"/>
                <w:szCs w:val="24"/>
              </w:rPr>
              <w:t>OSDp</w:t>
            </w:r>
            <w:r w:rsidRPr="00C40729">
              <w:rPr>
                <w:sz w:val="24"/>
                <w:szCs w:val="24"/>
              </w:rPr>
              <w:t xml:space="preserve"> do OSP (dotyczy ORed przyłączonych wyłącznie do sieci </w:t>
            </w:r>
            <w:r>
              <w:rPr>
                <w:sz w:val="24"/>
                <w:szCs w:val="24"/>
              </w:rPr>
              <w:t>OSDp</w:t>
            </w:r>
            <w:r w:rsidRPr="00C40729">
              <w:rPr>
                <w:sz w:val="24"/>
                <w:szCs w:val="24"/>
              </w:rPr>
              <w:t>),</w:t>
            </w:r>
          </w:p>
          <w:p w14:paraId="722D025A" w14:textId="77777777" w:rsidR="00E70AF6" w:rsidRPr="00E04926" w:rsidRDefault="00E70AF6">
            <w:pPr>
              <w:pStyle w:val="TableParagraph"/>
              <w:numPr>
                <w:ilvl w:val="1"/>
                <w:numId w:val="216"/>
              </w:numPr>
              <w:tabs>
                <w:tab w:val="left" w:pos="910"/>
              </w:tabs>
              <w:spacing w:line="276" w:lineRule="auto"/>
              <w:rPr>
                <w:sz w:val="24"/>
                <w:szCs w:val="24"/>
              </w:rPr>
            </w:pPr>
            <w:r w:rsidRPr="00E04926">
              <w:rPr>
                <w:sz w:val="24"/>
                <w:szCs w:val="24"/>
              </w:rPr>
              <w:t xml:space="preserve">OSDn do </w:t>
            </w:r>
            <w:r>
              <w:rPr>
                <w:sz w:val="24"/>
                <w:szCs w:val="24"/>
              </w:rPr>
              <w:t>OSDp</w:t>
            </w:r>
            <w:r w:rsidRPr="00E04926">
              <w:rPr>
                <w:sz w:val="24"/>
                <w:szCs w:val="24"/>
              </w:rPr>
              <w:t xml:space="preserve"> i </w:t>
            </w:r>
            <w:r>
              <w:rPr>
                <w:sz w:val="24"/>
                <w:szCs w:val="24"/>
              </w:rPr>
              <w:t xml:space="preserve">OSDp </w:t>
            </w:r>
            <w:r w:rsidRPr="00E04926">
              <w:rPr>
                <w:sz w:val="24"/>
                <w:szCs w:val="24"/>
              </w:rPr>
              <w:t>do OSP (dotyczy ORed przyłączonych do sieci</w:t>
            </w:r>
            <w:r w:rsidRPr="00E04926">
              <w:rPr>
                <w:spacing w:val="-1"/>
                <w:sz w:val="24"/>
                <w:szCs w:val="24"/>
              </w:rPr>
              <w:t xml:space="preserve"> </w:t>
            </w:r>
            <w:r w:rsidRPr="00E04926">
              <w:rPr>
                <w:sz w:val="24"/>
                <w:szCs w:val="24"/>
              </w:rPr>
              <w:t>OSDn),</w:t>
            </w:r>
          </w:p>
          <w:p w14:paraId="43C02062" w14:textId="400D0DCE" w:rsidR="00E70AF6" w:rsidRPr="00E04926" w:rsidRDefault="00E70AF6">
            <w:pPr>
              <w:pStyle w:val="TableParagraph"/>
              <w:numPr>
                <w:ilvl w:val="1"/>
                <w:numId w:val="216"/>
              </w:numPr>
              <w:tabs>
                <w:tab w:val="left" w:pos="913"/>
              </w:tabs>
              <w:spacing w:line="276" w:lineRule="auto"/>
              <w:rPr>
                <w:sz w:val="24"/>
                <w:szCs w:val="24"/>
              </w:rPr>
            </w:pPr>
            <w:r w:rsidRPr="00E04926">
              <w:rPr>
                <w:sz w:val="24"/>
                <w:szCs w:val="24"/>
              </w:rPr>
              <w:t xml:space="preserve">OSP do innego podmiotu (dotyczy przypadku, gdy Odbiorca w ORed dopuszcza udostępnianie swoich zasobów odbiorczych upoważnianemu przez niego podmiotowi, który świadczy usługę </w:t>
            </w:r>
            <w:r w:rsidR="00A21E7D">
              <w:rPr>
                <w:sz w:val="24"/>
                <w:szCs w:val="24"/>
              </w:rPr>
              <w:t xml:space="preserve">interwencyjnej ofertowej redukcji poboru mocy przez odbiorców </w:t>
            </w:r>
            <w:r w:rsidR="00B36065">
              <w:rPr>
                <w:sz w:val="24"/>
                <w:szCs w:val="24"/>
              </w:rPr>
              <w:t xml:space="preserve">na </w:t>
            </w:r>
            <w:r w:rsidRPr="00E04926">
              <w:rPr>
                <w:sz w:val="24"/>
                <w:szCs w:val="24"/>
              </w:rPr>
              <w:t>polecenie</w:t>
            </w:r>
            <w:r w:rsidRPr="00E04926">
              <w:rPr>
                <w:spacing w:val="-1"/>
                <w:sz w:val="24"/>
                <w:szCs w:val="24"/>
              </w:rPr>
              <w:t xml:space="preserve"> </w:t>
            </w:r>
            <w:r w:rsidRPr="00E04926">
              <w:rPr>
                <w:sz w:val="24"/>
                <w:szCs w:val="24"/>
              </w:rPr>
              <w:t>OSP),</w:t>
            </w:r>
          </w:p>
          <w:p w14:paraId="3CA71E34" w14:textId="77777777" w:rsidR="00E70AF6" w:rsidRPr="00E04926" w:rsidRDefault="00E70AF6">
            <w:pPr>
              <w:numPr>
                <w:ilvl w:val="0"/>
                <w:numId w:val="216"/>
              </w:numPr>
              <w:spacing w:line="276" w:lineRule="auto"/>
              <w:rPr>
                <w:i/>
              </w:rPr>
            </w:pPr>
            <w:r w:rsidRPr="00E04926">
              <w:t>Zgody na wprowadzenie do systemu IP DSR danych ORed i danych identyfikacyjnych Odbiorcy w</w:t>
            </w:r>
            <w:r w:rsidRPr="00E04926">
              <w:rPr>
                <w:spacing w:val="-6"/>
              </w:rPr>
              <w:t xml:space="preserve"> </w:t>
            </w:r>
            <w:r w:rsidRPr="00E04926">
              <w:t>ORed.</w:t>
            </w:r>
          </w:p>
          <w:p w14:paraId="723E791E" w14:textId="77777777" w:rsidR="00E70AF6" w:rsidRPr="00E3609F" w:rsidRDefault="00E70AF6">
            <w:pPr>
              <w:pStyle w:val="TableParagraph"/>
              <w:numPr>
                <w:ilvl w:val="0"/>
                <w:numId w:val="216"/>
              </w:numPr>
              <w:tabs>
                <w:tab w:val="left" w:pos="591"/>
                <w:tab w:val="left" w:pos="592"/>
              </w:tabs>
              <w:spacing w:line="276" w:lineRule="auto"/>
              <w:rPr>
                <w:sz w:val="24"/>
                <w:szCs w:val="24"/>
              </w:rPr>
            </w:pPr>
            <w:r w:rsidRPr="00E3609F">
              <w:rPr>
                <w:sz w:val="24"/>
                <w:szCs w:val="24"/>
              </w:rPr>
              <w:t>Oświadczenia:</w:t>
            </w:r>
          </w:p>
          <w:p w14:paraId="61B977FF" w14:textId="77777777" w:rsidR="00E70AF6" w:rsidRPr="00E3609F" w:rsidRDefault="00E70AF6">
            <w:pPr>
              <w:pStyle w:val="TableParagraph"/>
              <w:numPr>
                <w:ilvl w:val="1"/>
                <w:numId w:val="216"/>
              </w:numPr>
              <w:tabs>
                <w:tab w:val="left" w:pos="978"/>
              </w:tabs>
              <w:spacing w:line="276" w:lineRule="auto"/>
              <w:rPr>
                <w:sz w:val="24"/>
                <w:szCs w:val="24"/>
              </w:rPr>
            </w:pPr>
            <w:r w:rsidRPr="00E3609F">
              <w:rPr>
                <w:sz w:val="24"/>
                <w:szCs w:val="24"/>
              </w:rPr>
              <w:t>wskazującego na typ ORed (ORed O – obiekt odbiorczy lub ORed OG – obiekt odbiorczy z generacją wewnętrzną), tj</w:t>
            </w:r>
            <w:r>
              <w:rPr>
                <w:sz w:val="24"/>
                <w:szCs w:val="24"/>
              </w:rPr>
              <w:t>.</w:t>
            </w:r>
            <w:r w:rsidRPr="00E3609F">
              <w:rPr>
                <w:sz w:val="24"/>
                <w:szCs w:val="24"/>
              </w:rPr>
              <w:t xml:space="preserve"> czy ORed jest obiektem wyłącznie odbiorczym, czy posiadającym generację wewnętrzną </w:t>
            </w:r>
            <w:r>
              <w:rPr>
                <w:sz w:val="24"/>
                <w:szCs w:val="24"/>
              </w:rPr>
              <w:br/>
            </w:r>
            <w:r w:rsidRPr="00E3609F">
              <w:rPr>
                <w:sz w:val="24"/>
                <w:szCs w:val="24"/>
              </w:rPr>
              <w:t>z możliwością wprowadzania energii elektrycznej do sieci przesyłowej lub dystrybucyjnej, zgodnie z postanowieniami umowy, na podstawie której świadczone są Odbiorcy w ORed usługi dystrybucji energii</w:t>
            </w:r>
            <w:r w:rsidRPr="00E3609F">
              <w:rPr>
                <w:spacing w:val="-12"/>
                <w:sz w:val="24"/>
                <w:szCs w:val="24"/>
              </w:rPr>
              <w:t xml:space="preserve"> </w:t>
            </w:r>
            <w:r w:rsidRPr="00E3609F">
              <w:rPr>
                <w:sz w:val="24"/>
                <w:szCs w:val="24"/>
              </w:rPr>
              <w:t>elektrycznej,</w:t>
            </w:r>
          </w:p>
          <w:p w14:paraId="233D5478" w14:textId="77777777" w:rsidR="00E70AF6" w:rsidRPr="00E3609F" w:rsidRDefault="00E70AF6">
            <w:pPr>
              <w:pStyle w:val="TableParagraph"/>
              <w:numPr>
                <w:ilvl w:val="1"/>
                <w:numId w:val="216"/>
              </w:numPr>
              <w:tabs>
                <w:tab w:val="left" w:pos="978"/>
              </w:tabs>
              <w:spacing w:line="276" w:lineRule="auto"/>
              <w:rPr>
                <w:sz w:val="24"/>
                <w:szCs w:val="24"/>
              </w:rPr>
            </w:pPr>
            <w:r w:rsidRPr="00E3609F">
              <w:rPr>
                <w:sz w:val="24"/>
                <w:szCs w:val="24"/>
              </w:rPr>
              <w:t>o spełnieniu warunku dodatniej wartości salda energii elektrycznej pobranej przez ORed z sieci i wprowadzonej do sieci za okres kolejnych 12 miesięcy kalendarzowych poprzedzających miesiąc, w którym zostało złożone niniejsze oświadczenie, tj. potwierdzeniu, iż wielkość energii elektrycznej pobranej z sieci   przewyższa   wielkość   wprowadzoną   do   sieci (dotyczy   ORed    z generacją</w:t>
            </w:r>
            <w:r w:rsidRPr="00E3609F">
              <w:rPr>
                <w:spacing w:val="1"/>
                <w:sz w:val="24"/>
                <w:szCs w:val="24"/>
              </w:rPr>
              <w:t xml:space="preserve"> </w:t>
            </w:r>
            <w:r w:rsidRPr="00E3609F">
              <w:rPr>
                <w:sz w:val="24"/>
                <w:szCs w:val="24"/>
              </w:rPr>
              <w:t>wewnętrzną),</w:t>
            </w:r>
          </w:p>
          <w:p w14:paraId="02DE497A" w14:textId="77777777" w:rsidR="00E70AF6" w:rsidRPr="00E3609F" w:rsidRDefault="00E70AF6">
            <w:pPr>
              <w:pStyle w:val="TableParagraph"/>
              <w:numPr>
                <w:ilvl w:val="1"/>
                <w:numId w:val="216"/>
              </w:numPr>
              <w:tabs>
                <w:tab w:val="left" w:pos="978"/>
              </w:tabs>
              <w:spacing w:line="276" w:lineRule="auto"/>
              <w:rPr>
                <w:sz w:val="24"/>
                <w:szCs w:val="24"/>
              </w:rPr>
            </w:pPr>
            <w:r w:rsidRPr="00E3609F">
              <w:rPr>
                <w:sz w:val="24"/>
                <w:szCs w:val="24"/>
              </w:rPr>
              <w:t>o kompletności układu zasilania ORed wskazanego w wydanym Certyfikacie dla ORed i o poprawności danych zawartych w tym</w:t>
            </w:r>
            <w:r w:rsidRPr="00E3609F">
              <w:rPr>
                <w:spacing w:val="-4"/>
                <w:sz w:val="24"/>
                <w:szCs w:val="24"/>
              </w:rPr>
              <w:t xml:space="preserve"> </w:t>
            </w:r>
            <w:r w:rsidRPr="00E3609F">
              <w:rPr>
                <w:sz w:val="24"/>
                <w:szCs w:val="24"/>
              </w:rPr>
              <w:t>certyfikacie,</w:t>
            </w:r>
          </w:p>
          <w:p w14:paraId="24B5848B" w14:textId="77777777" w:rsidR="00E70AF6" w:rsidRPr="00E3609F" w:rsidRDefault="00E70AF6">
            <w:pPr>
              <w:pStyle w:val="TableParagraph"/>
              <w:numPr>
                <w:ilvl w:val="1"/>
                <w:numId w:val="216"/>
              </w:numPr>
              <w:tabs>
                <w:tab w:val="left" w:pos="978"/>
              </w:tabs>
              <w:spacing w:line="276" w:lineRule="auto"/>
              <w:rPr>
                <w:sz w:val="24"/>
                <w:szCs w:val="24"/>
              </w:rPr>
            </w:pPr>
            <w:r w:rsidRPr="00E3609F">
              <w:rPr>
                <w:sz w:val="24"/>
                <w:szCs w:val="24"/>
              </w:rPr>
              <w:t>wskazującego adres e-mail na potrzeby zarządzania Certyfikatem dla</w:t>
            </w:r>
            <w:r w:rsidRPr="00E3609F">
              <w:rPr>
                <w:spacing w:val="-12"/>
                <w:sz w:val="24"/>
                <w:szCs w:val="24"/>
              </w:rPr>
              <w:t xml:space="preserve"> </w:t>
            </w:r>
            <w:r w:rsidRPr="00E3609F">
              <w:rPr>
                <w:sz w:val="24"/>
                <w:szCs w:val="24"/>
              </w:rPr>
              <w:t>ORed,</w:t>
            </w:r>
          </w:p>
          <w:p w14:paraId="62AA9D51" w14:textId="77777777" w:rsidR="00E70AF6" w:rsidRPr="009405ED" w:rsidRDefault="00E70AF6">
            <w:pPr>
              <w:pStyle w:val="TableParagraph"/>
              <w:numPr>
                <w:ilvl w:val="1"/>
                <w:numId w:val="216"/>
              </w:numPr>
              <w:tabs>
                <w:tab w:val="left" w:pos="978"/>
              </w:tabs>
              <w:spacing w:line="276" w:lineRule="auto"/>
              <w:ind w:left="977"/>
              <w:rPr>
                <w:sz w:val="24"/>
                <w:szCs w:val="24"/>
              </w:rPr>
            </w:pPr>
            <w:r w:rsidRPr="009405ED">
              <w:rPr>
                <w:sz w:val="24"/>
                <w:szCs w:val="24"/>
              </w:rPr>
              <w:t>o zobowiązaniu do bieżącego informowania odpowiednio</w:t>
            </w:r>
            <w:r w:rsidRPr="009405ED">
              <w:rPr>
                <w:spacing w:val="6"/>
                <w:sz w:val="24"/>
                <w:szCs w:val="24"/>
              </w:rPr>
              <w:t xml:space="preserve"> </w:t>
            </w:r>
            <w:r>
              <w:rPr>
                <w:spacing w:val="6"/>
                <w:sz w:val="24"/>
                <w:szCs w:val="24"/>
              </w:rPr>
              <w:t>OSDp</w:t>
            </w:r>
            <w:r w:rsidRPr="009405ED">
              <w:rPr>
                <w:sz w:val="24"/>
                <w:szCs w:val="24"/>
              </w:rPr>
              <w:t xml:space="preserve"> albo </w:t>
            </w:r>
            <w:r w:rsidRPr="009405ED">
              <w:rPr>
                <w:sz w:val="24"/>
                <w:szCs w:val="24"/>
              </w:rPr>
              <w:lastRenderedPageBreak/>
              <w:t>OSDn w przypadku zmiany danych zawartych w Certyfikacie dla ORed oraz zmian odnośnie złożonych oświadczeń, niezwłocznie po dacie zaistnienia zmiany.</w:t>
            </w:r>
          </w:p>
          <w:p w14:paraId="46620E95" w14:textId="77777777" w:rsidR="00CF3D5F" w:rsidRDefault="00E70AF6" w:rsidP="00043801">
            <w:pPr>
              <w:pStyle w:val="TableParagraph"/>
              <w:spacing w:line="276" w:lineRule="auto"/>
              <w:ind w:left="0"/>
              <w:rPr>
                <w:b/>
                <w:i/>
              </w:rPr>
            </w:pPr>
            <w:r w:rsidRPr="00E3609F">
              <w:rPr>
                <w:sz w:val="24"/>
                <w:szCs w:val="24"/>
              </w:rPr>
              <w:t xml:space="preserve">W przypadku ORed przyłączonego do sieci OSDn, ORed przekazuje określone powyżej zgody i oświadczenia do tego OSDn.  Następnie   OSDn   informuje   </w:t>
            </w:r>
            <w:r>
              <w:rPr>
                <w:sz w:val="24"/>
                <w:szCs w:val="24"/>
              </w:rPr>
              <w:t>OSDp</w:t>
            </w:r>
            <w:r w:rsidRPr="00E3609F">
              <w:rPr>
                <w:sz w:val="24"/>
                <w:szCs w:val="24"/>
              </w:rPr>
              <w:t xml:space="preserve"> o fakcie posiadania zgód i oświadczeń danego</w:t>
            </w:r>
            <w:r w:rsidRPr="00E3609F">
              <w:rPr>
                <w:spacing w:val="-1"/>
                <w:sz w:val="24"/>
                <w:szCs w:val="24"/>
              </w:rPr>
              <w:t xml:space="preserve"> </w:t>
            </w:r>
            <w:r w:rsidRPr="00E3609F">
              <w:rPr>
                <w:sz w:val="24"/>
                <w:szCs w:val="24"/>
              </w:rPr>
              <w:t>ORed.</w:t>
            </w:r>
          </w:p>
        </w:tc>
      </w:tr>
      <w:tr w:rsidR="00E70AF6" w14:paraId="4CF03CAB" w14:textId="77777777" w:rsidTr="00431378">
        <w:tc>
          <w:tcPr>
            <w:tcW w:w="1063" w:type="dxa"/>
            <w:shd w:val="clear" w:color="auto" w:fill="auto"/>
          </w:tcPr>
          <w:p w14:paraId="48AF9621" w14:textId="77777777" w:rsidR="00E70AF6" w:rsidRPr="00896452" w:rsidRDefault="00CF3D5F" w:rsidP="00AE3CAB">
            <w:pPr>
              <w:spacing w:line="276" w:lineRule="auto"/>
              <w:ind w:right="-69"/>
            </w:pPr>
            <w:r w:rsidRPr="00CF3D5F">
              <w:rPr>
                <w:sz w:val="22"/>
                <w:szCs w:val="22"/>
              </w:rPr>
              <w:lastRenderedPageBreak/>
              <w:t>A.10.1.1</w:t>
            </w:r>
            <w:r>
              <w:rPr>
                <w:sz w:val="22"/>
                <w:szCs w:val="22"/>
              </w:rPr>
              <w:t>3</w:t>
            </w:r>
            <w:r w:rsidRPr="00CF3D5F">
              <w:rPr>
                <w:sz w:val="22"/>
                <w:szCs w:val="22"/>
              </w:rPr>
              <w:t>.</w:t>
            </w:r>
          </w:p>
        </w:tc>
        <w:tc>
          <w:tcPr>
            <w:tcW w:w="8147" w:type="dxa"/>
            <w:shd w:val="clear" w:color="auto" w:fill="auto"/>
          </w:tcPr>
          <w:p w14:paraId="131F4170" w14:textId="77777777" w:rsidR="00E70AF6" w:rsidRPr="00B1740D" w:rsidRDefault="00E70AF6" w:rsidP="00AE3CAB">
            <w:pPr>
              <w:pStyle w:val="TableParagraph"/>
              <w:spacing w:line="276" w:lineRule="auto"/>
              <w:ind w:left="0"/>
              <w:rPr>
                <w:sz w:val="24"/>
                <w:szCs w:val="24"/>
              </w:rPr>
            </w:pPr>
            <w:r w:rsidRPr="00B1740D">
              <w:rPr>
                <w:sz w:val="24"/>
                <w:szCs w:val="24"/>
              </w:rPr>
              <w:t>Zgody, o których mowa w pkt. A.</w:t>
            </w:r>
            <w:r w:rsidR="008A34E2">
              <w:rPr>
                <w:sz w:val="24"/>
                <w:szCs w:val="24"/>
              </w:rPr>
              <w:t>10</w:t>
            </w:r>
            <w:r w:rsidRPr="00B1740D">
              <w:rPr>
                <w:sz w:val="24"/>
                <w:szCs w:val="24"/>
              </w:rPr>
              <w:t xml:space="preserve">.1.12. ppkt  1)  i  2)  są  wymagane  jedynie  </w:t>
            </w:r>
            <w:r w:rsidR="00043801">
              <w:rPr>
                <w:sz w:val="24"/>
                <w:szCs w:val="24"/>
              </w:rPr>
              <w:br/>
            </w:r>
            <w:r w:rsidRPr="00B1740D">
              <w:rPr>
                <w:sz w:val="24"/>
                <w:szCs w:val="24"/>
              </w:rPr>
              <w:t>w przypadku, gdy właściwy operator systemu nie jest upoważniony na mocy klauzul umownych lub IRiESD, do realizacji działań wynikających z tych zgód.</w:t>
            </w:r>
          </w:p>
          <w:p w14:paraId="311E2A2C" w14:textId="77777777" w:rsidR="00E70AF6" w:rsidRPr="00B1740D" w:rsidRDefault="00E70AF6" w:rsidP="00AE3CAB">
            <w:pPr>
              <w:pStyle w:val="TableParagraph"/>
              <w:spacing w:line="276" w:lineRule="auto"/>
              <w:ind w:left="0"/>
              <w:rPr>
                <w:sz w:val="24"/>
                <w:szCs w:val="24"/>
              </w:rPr>
            </w:pPr>
            <w:r w:rsidRPr="00B1740D">
              <w:rPr>
                <w:sz w:val="24"/>
                <w:szCs w:val="24"/>
              </w:rPr>
              <w:t>W przypadku braku zgód i oświadczeń, o których mowa w pkt</w:t>
            </w:r>
            <w:r w:rsidR="00D3031A">
              <w:rPr>
                <w:sz w:val="24"/>
                <w:szCs w:val="24"/>
              </w:rPr>
              <w:t>.</w:t>
            </w:r>
            <w:r w:rsidRPr="00B1740D">
              <w:rPr>
                <w:sz w:val="24"/>
                <w:szCs w:val="24"/>
              </w:rPr>
              <w:t xml:space="preserve">  A.</w:t>
            </w:r>
            <w:r w:rsidR="008A34E2">
              <w:rPr>
                <w:sz w:val="24"/>
                <w:szCs w:val="24"/>
              </w:rPr>
              <w:t>10</w:t>
            </w:r>
            <w:r w:rsidRPr="00B1740D">
              <w:rPr>
                <w:sz w:val="24"/>
                <w:szCs w:val="24"/>
              </w:rPr>
              <w:t xml:space="preserve">.1.12., ORed       w systemie </w:t>
            </w:r>
            <w:r w:rsidRPr="00B1740D">
              <w:rPr>
                <w:spacing w:val="-3"/>
                <w:sz w:val="24"/>
                <w:szCs w:val="24"/>
              </w:rPr>
              <w:t xml:space="preserve">IP </w:t>
            </w:r>
            <w:r w:rsidRPr="00B1740D">
              <w:rPr>
                <w:sz w:val="24"/>
                <w:szCs w:val="24"/>
              </w:rPr>
              <w:t>DSR ORed otrzymuje status „ORed</w:t>
            </w:r>
            <w:r w:rsidRPr="00B1740D">
              <w:rPr>
                <w:spacing w:val="-2"/>
                <w:sz w:val="24"/>
                <w:szCs w:val="24"/>
              </w:rPr>
              <w:t xml:space="preserve"> </w:t>
            </w:r>
            <w:r w:rsidRPr="00B1740D">
              <w:rPr>
                <w:sz w:val="24"/>
                <w:szCs w:val="24"/>
              </w:rPr>
              <w:t>nieaktywny”.</w:t>
            </w:r>
          </w:p>
          <w:p w14:paraId="6D44B492" w14:textId="77777777" w:rsidR="00E70AF6" w:rsidRDefault="00E70AF6" w:rsidP="00AE3CAB">
            <w:pPr>
              <w:pStyle w:val="TableParagraph"/>
              <w:spacing w:line="276" w:lineRule="auto"/>
              <w:rPr>
                <w:sz w:val="24"/>
                <w:szCs w:val="24"/>
              </w:rPr>
            </w:pPr>
          </w:p>
          <w:p w14:paraId="7FD03607" w14:textId="77777777" w:rsidR="00E70AF6" w:rsidRPr="00B1740D" w:rsidRDefault="00E70AF6" w:rsidP="00AE3CAB">
            <w:pPr>
              <w:pStyle w:val="TableParagraph"/>
              <w:spacing w:line="276" w:lineRule="auto"/>
              <w:ind w:left="0"/>
              <w:rPr>
                <w:sz w:val="24"/>
                <w:szCs w:val="24"/>
              </w:rPr>
            </w:pPr>
            <w:r w:rsidRPr="00B1740D">
              <w:rPr>
                <w:sz w:val="24"/>
                <w:szCs w:val="24"/>
              </w:rPr>
              <w:t>Brak zgody, o której mowa w pkt A.</w:t>
            </w:r>
            <w:r w:rsidR="008A34E2">
              <w:rPr>
                <w:sz w:val="24"/>
                <w:szCs w:val="24"/>
              </w:rPr>
              <w:t>10</w:t>
            </w:r>
            <w:r w:rsidRPr="00B1740D">
              <w:rPr>
                <w:sz w:val="24"/>
                <w:szCs w:val="24"/>
              </w:rPr>
              <w:t>.1.12. ppkt 2) skutkuje wprowadzeniem do systemu IP DSR zanonimizowanego Certyfikatu dla ORed, tj. z pominięciem danych ORed i danych identyfikacyjnych Odbiorcy w ORed.</w:t>
            </w:r>
          </w:p>
          <w:p w14:paraId="71B5A772" w14:textId="77777777" w:rsidR="00E70AF6" w:rsidRDefault="00E70AF6" w:rsidP="00AE3CAB">
            <w:pPr>
              <w:pStyle w:val="TableParagraph"/>
              <w:spacing w:line="276" w:lineRule="auto"/>
              <w:ind w:left="0"/>
              <w:rPr>
                <w:sz w:val="24"/>
                <w:szCs w:val="24"/>
              </w:rPr>
            </w:pPr>
          </w:p>
          <w:p w14:paraId="60E5B8D2" w14:textId="77777777" w:rsidR="00E70AF6" w:rsidRPr="00B1740D" w:rsidRDefault="00E70AF6" w:rsidP="00AE3CAB">
            <w:pPr>
              <w:pStyle w:val="TableParagraph"/>
              <w:spacing w:line="276" w:lineRule="auto"/>
              <w:ind w:left="0"/>
              <w:rPr>
                <w:sz w:val="24"/>
                <w:szCs w:val="24"/>
              </w:rPr>
            </w:pPr>
            <w:r w:rsidRPr="00B1740D">
              <w:rPr>
                <w:sz w:val="24"/>
                <w:szCs w:val="24"/>
              </w:rPr>
              <w:t xml:space="preserve">Zmiana w systemie IP DSR statusu ORed z „ORed nieaktywny” na „ORed aktywny” następuje niezwłocznie po otrzymaniu przez </w:t>
            </w:r>
            <w:r>
              <w:rPr>
                <w:sz w:val="24"/>
                <w:szCs w:val="24"/>
              </w:rPr>
              <w:t>OSDp</w:t>
            </w:r>
            <w:r w:rsidRPr="00B1740D">
              <w:rPr>
                <w:sz w:val="24"/>
                <w:szCs w:val="24"/>
              </w:rPr>
              <w:t xml:space="preserve"> dokonującego rejestracji Certyfikatu dla ORed, oświadczeń o których mowa </w:t>
            </w:r>
            <w:r w:rsidRPr="00B1740D">
              <w:rPr>
                <w:sz w:val="24"/>
                <w:szCs w:val="24"/>
              </w:rPr>
              <w:br/>
              <w:t>w pkt A.</w:t>
            </w:r>
            <w:r w:rsidR="008A34E2">
              <w:rPr>
                <w:sz w:val="24"/>
                <w:szCs w:val="24"/>
              </w:rPr>
              <w:t>10</w:t>
            </w:r>
            <w:r w:rsidRPr="00B1740D">
              <w:rPr>
                <w:sz w:val="24"/>
                <w:szCs w:val="24"/>
              </w:rPr>
              <w:t>.1.12.</w:t>
            </w:r>
          </w:p>
          <w:p w14:paraId="67F04C98" w14:textId="77777777" w:rsidR="00E70AF6" w:rsidRDefault="00E70AF6" w:rsidP="00AE3CAB">
            <w:pPr>
              <w:pStyle w:val="TableParagraph"/>
              <w:spacing w:line="276" w:lineRule="auto"/>
              <w:ind w:left="0"/>
              <w:rPr>
                <w:sz w:val="24"/>
                <w:szCs w:val="24"/>
              </w:rPr>
            </w:pPr>
          </w:p>
          <w:p w14:paraId="08B74A2D" w14:textId="77777777" w:rsidR="00E70AF6" w:rsidRPr="00B1740D" w:rsidRDefault="00E70AF6" w:rsidP="00AE3CAB">
            <w:pPr>
              <w:pStyle w:val="TableParagraph"/>
              <w:spacing w:line="276" w:lineRule="auto"/>
              <w:ind w:left="0"/>
              <w:rPr>
                <w:sz w:val="24"/>
                <w:szCs w:val="24"/>
              </w:rPr>
            </w:pPr>
            <w:r w:rsidRPr="00B1740D">
              <w:rPr>
                <w:sz w:val="24"/>
                <w:szCs w:val="24"/>
              </w:rPr>
              <w:t>W przypadku braku zgód, o których mowa w pkt. A.</w:t>
            </w:r>
            <w:r w:rsidR="008A34E2">
              <w:rPr>
                <w:sz w:val="24"/>
                <w:szCs w:val="24"/>
              </w:rPr>
              <w:t>10</w:t>
            </w:r>
            <w:r w:rsidRPr="00B1740D">
              <w:rPr>
                <w:sz w:val="24"/>
                <w:szCs w:val="24"/>
              </w:rPr>
              <w:t>.1.12., ORed w systemie IP DSR rejestrowany jest ze statusem „ORed nieaktywny”.</w:t>
            </w:r>
          </w:p>
          <w:p w14:paraId="7AA5437C" w14:textId="77777777" w:rsidR="00E70AF6" w:rsidRDefault="00E70AF6" w:rsidP="00AE3CAB">
            <w:pPr>
              <w:pStyle w:val="TableParagraph"/>
              <w:spacing w:line="276" w:lineRule="auto"/>
              <w:ind w:left="0"/>
              <w:rPr>
                <w:sz w:val="24"/>
                <w:szCs w:val="24"/>
              </w:rPr>
            </w:pPr>
          </w:p>
          <w:p w14:paraId="311AF385" w14:textId="77777777" w:rsidR="00E70AF6" w:rsidRPr="00B1740D" w:rsidRDefault="00E70AF6" w:rsidP="00AE3CAB">
            <w:pPr>
              <w:pStyle w:val="TableParagraph"/>
              <w:spacing w:line="276" w:lineRule="auto"/>
              <w:ind w:left="0"/>
              <w:rPr>
                <w:sz w:val="24"/>
                <w:szCs w:val="24"/>
              </w:rPr>
            </w:pPr>
            <w:r w:rsidRPr="00B1740D">
              <w:rPr>
                <w:sz w:val="24"/>
                <w:szCs w:val="24"/>
              </w:rPr>
              <w:t>Brak zgody, o której mowa w pkt. A</w:t>
            </w:r>
            <w:r w:rsidR="008A34E2">
              <w:rPr>
                <w:sz w:val="24"/>
                <w:szCs w:val="24"/>
              </w:rPr>
              <w:t>.10</w:t>
            </w:r>
            <w:r w:rsidRPr="00B1740D">
              <w:rPr>
                <w:sz w:val="24"/>
                <w:szCs w:val="24"/>
              </w:rPr>
              <w:t>.1.12. ppkt. 2) skutkuje wprowadzeniem do systemu IP DSR zanonimizowanego Certyfikatu dla ORed, tj. z pominięciem danych ORed i danych identyfikacyjnych Odbiorcy w ORed.</w:t>
            </w:r>
          </w:p>
          <w:p w14:paraId="71FCF860" w14:textId="77777777" w:rsidR="00E70AF6" w:rsidRDefault="00E70AF6" w:rsidP="00AE3CAB">
            <w:pPr>
              <w:pStyle w:val="TableParagraph"/>
              <w:spacing w:line="276" w:lineRule="auto"/>
              <w:ind w:left="0"/>
              <w:rPr>
                <w:sz w:val="24"/>
                <w:szCs w:val="24"/>
              </w:rPr>
            </w:pPr>
          </w:p>
          <w:p w14:paraId="10D16A85" w14:textId="77777777" w:rsidR="00CF3D5F" w:rsidRDefault="00E70AF6" w:rsidP="00014AC6">
            <w:pPr>
              <w:pStyle w:val="TableParagraph"/>
              <w:spacing w:line="276" w:lineRule="auto"/>
              <w:ind w:left="0"/>
              <w:rPr>
                <w:b/>
                <w:i/>
              </w:rPr>
            </w:pPr>
            <w:r w:rsidRPr="00B1740D">
              <w:rPr>
                <w:sz w:val="24"/>
                <w:szCs w:val="24"/>
              </w:rPr>
              <w:t xml:space="preserve">Zmiana w systemie IP DSR statusu ORed z „ORed nieaktywny” na „ORed aktywny” następuje niezwłocznie po otrzymaniu przez </w:t>
            </w:r>
            <w:r>
              <w:rPr>
                <w:sz w:val="24"/>
                <w:szCs w:val="24"/>
              </w:rPr>
              <w:t xml:space="preserve">OSDp </w:t>
            </w:r>
            <w:r w:rsidRPr="00B1740D">
              <w:rPr>
                <w:sz w:val="24"/>
                <w:szCs w:val="24"/>
              </w:rPr>
              <w:t xml:space="preserve">dokonującego rejestracji Certyfikatu dla ORed, oświadczeń o których mowa </w:t>
            </w:r>
            <w:r w:rsidRPr="00B1740D">
              <w:rPr>
                <w:b/>
                <w:i/>
                <w:sz w:val="24"/>
                <w:szCs w:val="24"/>
              </w:rPr>
              <w:br/>
            </w:r>
            <w:r w:rsidRPr="00B1740D">
              <w:rPr>
                <w:sz w:val="24"/>
                <w:szCs w:val="24"/>
              </w:rPr>
              <w:t>w pkt. A.</w:t>
            </w:r>
            <w:r w:rsidR="008A34E2">
              <w:rPr>
                <w:sz w:val="24"/>
                <w:szCs w:val="24"/>
              </w:rPr>
              <w:t>10</w:t>
            </w:r>
            <w:r w:rsidRPr="00B1740D">
              <w:rPr>
                <w:sz w:val="24"/>
                <w:szCs w:val="24"/>
              </w:rPr>
              <w:t>.1.12.</w:t>
            </w:r>
          </w:p>
        </w:tc>
      </w:tr>
      <w:tr w:rsidR="00E70AF6" w:rsidRPr="00014D2B" w14:paraId="3E1D89E2" w14:textId="77777777" w:rsidTr="00431378">
        <w:tc>
          <w:tcPr>
            <w:tcW w:w="1063" w:type="dxa"/>
            <w:shd w:val="clear" w:color="auto" w:fill="auto"/>
          </w:tcPr>
          <w:p w14:paraId="3754497C" w14:textId="77777777" w:rsidR="00E70AF6" w:rsidRPr="00896452" w:rsidRDefault="00CF3D5F" w:rsidP="00AE3CAB">
            <w:pPr>
              <w:spacing w:line="276" w:lineRule="auto"/>
              <w:ind w:right="-69"/>
            </w:pPr>
            <w:r w:rsidRPr="00CF3D5F">
              <w:rPr>
                <w:sz w:val="22"/>
                <w:szCs w:val="22"/>
              </w:rPr>
              <w:t>A.</w:t>
            </w:r>
            <w:r w:rsidRPr="00B76515">
              <w:rPr>
                <w:szCs w:val="24"/>
              </w:rPr>
              <w:t>10</w:t>
            </w:r>
            <w:r w:rsidRPr="00CF3D5F">
              <w:rPr>
                <w:sz w:val="22"/>
                <w:szCs w:val="22"/>
              </w:rPr>
              <w:t>.1.1</w:t>
            </w:r>
            <w:r>
              <w:rPr>
                <w:sz w:val="22"/>
                <w:szCs w:val="22"/>
              </w:rPr>
              <w:t>4</w:t>
            </w:r>
            <w:r w:rsidRPr="00CF3D5F">
              <w:rPr>
                <w:sz w:val="22"/>
                <w:szCs w:val="22"/>
              </w:rPr>
              <w:t>.</w:t>
            </w:r>
          </w:p>
        </w:tc>
        <w:tc>
          <w:tcPr>
            <w:tcW w:w="8147" w:type="dxa"/>
            <w:shd w:val="clear" w:color="auto" w:fill="auto"/>
          </w:tcPr>
          <w:p w14:paraId="3793D9F6" w14:textId="77777777" w:rsidR="00CF3D5F" w:rsidRPr="00014D2B" w:rsidRDefault="00E70AF6" w:rsidP="00043801">
            <w:pPr>
              <w:spacing w:line="276" w:lineRule="auto"/>
              <w:jc w:val="both"/>
              <w:rPr>
                <w:i/>
              </w:rPr>
            </w:pPr>
            <w:r w:rsidRPr="00014D2B">
              <w:t xml:space="preserve">OSP publikuje na swojej stronie internetowej informację o posiadaniu przez Odbiorcę w ORed Certyfikatu dla ORed, jeżeli operator systemu dokonujący rejestracji Certyfikatu dla ORed wprowadzi do systemu </w:t>
            </w:r>
            <w:r w:rsidRPr="00014D2B">
              <w:rPr>
                <w:spacing w:val="-3"/>
              </w:rPr>
              <w:t xml:space="preserve">IP </w:t>
            </w:r>
            <w:r w:rsidRPr="00014D2B">
              <w:t>DSR informację, że Odbiorca w ORed wyraził zgodę na taką</w:t>
            </w:r>
            <w:r w:rsidRPr="00014D2B">
              <w:rPr>
                <w:spacing w:val="-7"/>
              </w:rPr>
              <w:t xml:space="preserve"> </w:t>
            </w:r>
            <w:r w:rsidRPr="00014D2B">
              <w:t>publikację.</w:t>
            </w:r>
          </w:p>
        </w:tc>
      </w:tr>
      <w:tr w:rsidR="00E70AF6" w:rsidRPr="00D308EC" w14:paraId="2319D607" w14:textId="77777777" w:rsidTr="00431378">
        <w:tc>
          <w:tcPr>
            <w:tcW w:w="1063" w:type="dxa"/>
            <w:shd w:val="clear" w:color="auto" w:fill="auto"/>
          </w:tcPr>
          <w:p w14:paraId="0E3F82F0" w14:textId="77777777" w:rsidR="00E70AF6" w:rsidRPr="00896452" w:rsidRDefault="00CF3D5F" w:rsidP="00AE3CAB">
            <w:pPr>
              <w:spacing w:line="276" w:lineRule="auto"/>
              <w:ind w:right="-69"/>
            </w:pPr>
            <w:r w:rsidRPr="00CF3D5F">
              <w:rPr>
                <w:sz w:val="22"/>
                <w:szCs w:val="22"/>
              </w:rPr>
              <w:t>A.10.1.1</w:t>
            </w:r>
            <w:r>
              <w:rPr>
                <w:sz w:val="22"/>
                <w:szCs w:val="22"/>
              </w:rPr>
              <w:t>5</w:t>
            </w:r>
            <w:r w:rsidRPr="00CF3D5F">
              <w:rPr>
                <w:sz w:val="22"/>
                <w:szCs w:val="22"/>
              </w:rPr>
              <w:t>.</w:t>
            </w:r>
          </w:p>
        </w:tc>
        <w:tc>
          <w:tcPr>
            <w:tcW w:w="8147" w:type="dxa"/>
            <w:shd w:val="clear" w:color="auto" w:fill="auto"/>
          </w:tcPr>
          <w:p w14:paraId="358EF0E1" w14:textId="77777777" w:rsidR="00E70AF6" w:rsidRPr="00D308EC" w:rsidRDefault="00E70AF6" w:rsidP="00AE3CAB">
            <w:pPr>
              <w:pStyle w:val="TableParagraph"/>
              <w:spacing w:line="276" w:lineRule="auto"/>
              <w:ind w:left="33" w:right="20"/>
              <w:rPr>
                <w:sz w:val="24"/>
                <w:szCs w:val="24"/>
              </w:rPr>
            </w:pPr>
            <w:r w:rsidRPr="00D308EC">
              <w:rPr>
                <w:sz w:val="24"/>
                <w:szCs w:val="24"/>
              </w:rPr>
              <w:t xml:space="preserve">Odpowiednio </w:t>
            </w:r>
            <w:r>
              <w:rPr>
                <w:sz w:val="24"/>
                <w:szCs w:val="24"/>
              </w:rPr>
              <w:t>OSDp</w:t>
            </w:r>
            <w:r w:rsidRPr="00D308EC">
              <w:rPr>
                <w:sz w:val="24"/>
                <w:szCs w:val="24"/>
              </w:rPr>
              <w:t xml:space="preserve"> albo </w:t>
            </w:r>
            <w:r>
              <w:rPr>
                <w:sz w:val="24"/>
                <w:szCs w:val="24"/>
              </w:rPr>
              <w:t>OSDp</w:t>
            </w:r>
            <w:r w:rsidRPr="00D308EC">
              <w:rPr>
                <w:sz w:val="24"/>
                <w:szCs w:val="24"/>
              </w:rPr>
              <w:t xml:space="preserve"> upoważniony przez OSDn, niezwłocznie wygasza Certyfikat dla ORed w przypadku:</w:t>
            </w:r>
          </w:p>
          <w:p w14:paraId="47BBAA59" w14:textId="77777777" w:rsidR="00E70AF6" w:rsidRPr="00D308EC" w:rsidRDefault="00E70AF6">
            <w:pPr>
              <w:pStyle w:val="TableParagraph"/>
              <w:numPr>
                <w:ilvl w:val="0"/>
                <w:numId w:val="217"/>
              </w:numPr>
              <w:spacing w:line="276" w:lineRule="auto"/>
              <w:ind w:left="321" w:right="20" w:hanging="321"/>
              <w:rPr>
                <w:sz w:val="24"/>
                <w:szCs w:val="24"/>
              </w:rPr>
            </w:pPr>
            <w:r w:rsidRPr="00D308EC">
              <w:rPr>
                <w:sz w:val="24"/>
                <w:szCs w:val="24"/>
              </w:rPr>
              <w:t xml:space="preserve">Gdy </w:t>
            </w:r>
            <w:r>
              <w:rPr>
                <w:sz w:val="24"/>
                <w:szCs w:val="24"/>
              </w:rPr>
              <w:t>OSDp</w:t>
            </w:r>
            <w:r w:rsidRPr="00D308EC">
              <w:rPr>
                <w:sz w:val="24"/>
                <w:szCs w:val="24"/>
              </w:rPr>
              <w:t xml:space="preserve"> albo OSDn pozyskają informacje wskazujące, że dany ORed nie spełnia kryteriów określonych w pkt. A.</w:t>
            </w:r>
            <w:r w:rsidR="008A34E2">
              <w:rPr>
                <w:sz w:val="24"/>
                <w:szCs w:val="24"/>
              </w:rPr>
              <w:t>10</w:t>
            </w:r>
            <w:r w:rsidRPr="00D308EC">
              <w:rPr>
                <w:sz w:val="24"/>
                <w:szCs w:val="24"/>
              </w:rPr>
              <w:t xml:space="preserve">.1.3.; OSDn przekazuje informację w tym zakresie do </w:t>
            </w:r>
            <w:r>
              <w:rPr>
                <w:sz w:val="24"/>
                <w:szCs w:val="24"/>
              </w:rPr>
              <w:t>OSDp</w:t>
            </w:r>
            <w:r w:rsidRPr="00D308EC">
              <w:rPr>
                <w:sz w:val="24"/>
                <w:szCs w:val="24"/>
              </w:rPr>
              <w:t xml:space="preserve">, który zarejestrował Certyfikat dla tego ORed </w:t>
            </w:r>
            <w:r w:rsidR="008A34E2">
              <w:rPr>
                <w:sz w:val="24"/>
                <w:szCs w:val="24"/>
              </w:rPr>
              <w:br/>
            </w:r>
            <w:r w:rsidRPr="00D308EC">
              <w:rPr>
                <w:sz w:val="24"/>
                <w:szCs w:val="24"/>
              </w:rPr>
              <w:t xml:space="preserve">w systemie </w:t>
            </w:r>
            <w:r w:rsidRPr="00D308EC">
              <w:rPr>
                <w:spacing w:val="-3"/>
                <w:sz w:val="24"/>
                <w:szCs w:val="24"/>
              </w:rPr>
              <w:t>IP</w:t>
            </w:r>
            <w:r w:rsidRPr="00D308EC">
              <w:rPr>
                <w:spacing w:val="5"/>
                <w:sz w:val="24"/>
                <w:szCs w:val="24"/>
              </w:rPr>
              <w:t xml:space="preserve"> </w:t>
            </w:r>
            <w:r w:rsidRPr="00D308EC">
              <w:rPr>
                <w:sz w:val="24"/>
                <w:szCs w:val="24"/>
              </w:rPr>
              <w:t>DSR.</w:t>
            </w:r>
          </w:p>
          <w:p w14:paraId="05830488" w14:textId="77777777" w:rsidR="00E70AF6" w:rsidRPr="00D308EC" w:rsidRDefault="00E70AF6">
            <w:pPr>
              <w:pStyle w:val="TableParagraph"/>
              <w:numPr>
                <w:ilvl w:val="0"/>
                <w:numId w:val="217"/>
              </w:numPr>
              <w:spacing w:line="276" w:lineRule="auto"/>
              <w:ind w:left="321" w:right="20" w:hanging="284"/>
              <w:rPr>
                <w:sz w:val="24"/>
                <w:szCs w:val="24"/>
              </w:rPr>
            </w:pPr>
            <w:r w:rsidRPr="00D308EC">
              <w:rPr>
                <w:sz w:val="24"/>
                <w:szCs w:val="24"/>
              </w:rPr>
              <w:t>Wstrzymania świadczenia usług dystrybucji energii</w:t>
            </w:r>
            <w:r w:rsidR="00B76515">
              <w:rPr>
                <w:sz w:val="24"/>
                <w:szCs w:val="24"/>
              </w:rPr>
              <w:t xml:space="preserve"> </w:t>
            </w:r>
            <w:r w:rsidRPr="00D308EC">
              <w:rPr>
                <w:sz w:val="24"/>
                <w:szCs w:val="24"/>
              </w:rPr>
              <w:t xml:space="preserve">elektrycznej Odbiorcy   </w:t>
            </w:r>
            <w:r>
              <w:rPr>
                <w:sz w:val="24"/>
                <w:szCs w:val="24"/>
              </w:rPr>
              <w:br/>
            </w:r>
            <w:r w:rsidRPr="00D308EC">
              <w:rPr>
                <w:sz w:val="24"/>
                <w:szCs w:val="24"/>
              </w:rPr>
              <w:lastRenderedPageBreak/>
              <w:t xml:space="preserve">w ORed lub rozwiązania z </w:t>
            </w:r>
            <w:r w:rsidRPr="00D308EC">
              <w:rPr>
                <w:spacing w:val="-2"/>
                <w:sz w:val="24"/>
                <w:szCs w:val="24"/>
              </w:rPr>
              <w:t xml:space="preserve">tym </w:t>
            </w:r>
            <w:r w:rsidRPr="00D308EC">
              <w:rPr>
                <w:sz w:val="24"/>
                <w:szCs w:val="24"/>
              </w:rPr>
              <w:t>odbiorcą umowy, na podstawie której świadczone są Odbiorcy w ORed usługi dystrybucji energii</w:t>
            </w:r>
            <w:r w:rsidRPr="00D308EC">
              <w:rPr>
                <w:spacing w:val="-9"/>
                <w:sz w:val="24"/>
                <w:szCs w:val="24"/>
              </w:rPr>
              <w:t xml:space="preserve"> </w:t>
            </w:r>
            <w:r w:rsidRPr="00D308EC">
              <w:rPr>
                <w:sz w:val="24"/>
                <w:szCs w:val="24"/>
              </w:rPr>
              <w:t>elektrycznej.</w:t>
            </w:r>
          </w:p>
          <w:p w14:paraId="0E5193FA" w14:textId="77777777" w:rsidR="00E70AF6" w:rsidRPr="00D308EC" w:rsidRDefault="00E70AF6" w:rsidP="00AE3CAB">
            <w:pPr>
              <w:pStyle w:val="TableParagraph"/>
              <w:spacing w:line="276" w:lineRule="auto"/>
              <w:ind w:left="33" w:right="20"/>
              <w:rPr>
                <w:sz w:val="24"/>
                <w:szCs w:val="24"/>
              </w:rPr>
            </w:pPr>
            <w:r w:rsidRPr="00D308EC">
              <w:rPr>
                <w:sz w:val="24"/>
                <w:szCs w:val="24"/>
              </w:rPr>
              <w:t xml:space="preserve">Odpowiednio </w:t>
            </w:r>
            <w:r>
              <w:rPr>
                <w:sz w:val="24"/>
                <w:szCs w:val="24"/>
              </w:rPr>
              <w:t>OSDp</w:t>
            </w:r>
            <w:r w:rsidRPr="00D308EC">
              <w:rPr>
                <w:sz w:val="24"/>
                <w:szCs w:val="24"/>
              </w:rPr>
              <w:t xml:space="preserve"> albo OSDn informuje Odbiorcę w ORed, o wygaszeniu Certyfikatu dla ORed. Informacja zawiera wskazanie przyczyny i daty wygaszenia Certyfikatu dla ORed. Po wprowadzeniu stosownej funkcjonalności do systemu IP DSR, informacja ta będzie przekazywana automatycznie za pośrednictwem tego</w:t>
            </w:r>
            <w:r w:rsidRPr="00D308EC">
              <w:rPr>
                <w:spacing w:val="-1"/>
                <w:sz w:val="24"/>
                <w:szCs w:val="24"/>
              </w:rPr>
              <w:t xml:space="preserve"> </w:t>
            </w:r>
            <w:r w:rsidRPr="00D308EC">
              <w:rPr>
                <w:sz w:val="24"/>
                <w:szCs w:val="24"/>
              </w:rPr>
              <w:t>systemu.</w:t>
            </w:r>
          </w:p>
          <w:p w14:paraId="6AA684A2" w14:textId="77777777" w:rsidR="00E70AF6" w:rsidRPr="00D308EC" w:rsidRDefault="00E70AF6" w:rsidP="00AE3CAB">
            <w:pPr>
              <w:pStyle w:val="TableParagraph"/>
              <w:spacing w:line="276" w:lineRule="auto"/>
              <w:ind w:left="33" w:right="20"/>
              <w:rPr>
                <w:sz w:val="24"/>
                <w:szCs w:val="24"/>
              </w:rPr>
            </w:pPr>
            <w:r w:rsidRPr="00D308EC">
              <w:rPr>
                <w:sz w:val="24"/>
                <w:szCs w:val="24"/>
              </w:rPr>
              <w:t xml:space="preserve">Za datę wygaszenia certyfikatu uznaje się datę wprowadzenia informacji w tym zakresie przez </w:t>
            </w:r>
            <w:r>
              <w:rPr>
                <w:sz w:val="24"/>
                <w:szCs w:val="24"/>
              </w:rPr>
              <w:t>OSDp</w:t>
            </w:r>
            <w:r w:rsidRPr="00D308EC">
              <w:rPr>
                <w:sz w:val="24"/>
                <w:szCs w:val="24"/>
              </w:rPr>
              <w:t xml:space="preserve"> w systemie IP DSR.</w:t>
            </w:r>
          </w:p>
          <w:p w14:paraId="113B1824" w14:textId="1140C506" w:rsidR="00E70AF6" w:rsidRPr="00D308EC" w:rsidRDefault="00E70AF6" w:rsidP="00AE3CAB">
            <w:pPr>
              <w:spacing w:line="276" w:lineRule="auto"/>
              <w:jc w:val="both"/>
              <w:rPr>
                <w:i/>
              </w:rPr>
            </w:pPr>
            <w:r w:rsidRPr="00D308EC">
              <w:t xml:space="preserve">Wygaszenie Certyfikatu dla ORed oznacza, że ORed nie spełnia kryteriów warunkujących możliwość świadczenia </w:t>
            </w:r>
            <w:r w:rsidR="008C714C" w:rsidRPr="00E04926">
              <w:rPr>
                <w:szCs w:val="24"/>
              </w:rPr>
              <w:t>usług</w:t>
            </w:r>
            <w:r w:rsidR="008C714C">
              <w:rPr>
                <w:szCs w:val="24"/>
              </w:rPr>
              <w:t>i</w:t>
            </w:r>
            <w:r w:rsidR="008C714C" w:rsidRPr="00E04926">
              <w:rPr>
                <w:szCs w:val="24"/>
              </w:rPr>
              <w:t xml:space="preserve"> </w:t>
            </w:r>
            <w:r w:rsidR="008C714C">
              <w:rPr>
                <w:szCs w:val="24"/>
              </w:rPr>
              <w:t xml:space="preserve">interwencyjnej ofertowej redukcji poboru mocy przez odbiorców na </w:t>
            </w:r>
            <w:r w:rsidR="008C714C" w:rsidRPr="00E04926">
              <w:rPr>
                <w:szCs w:val="24"/>
              </w:rPr>
              <w:t>polecenie</w:t>
            </w:r>
            <w:r w:rsidR="008C714C" w:rsidRPr="00E04926">
              <w:rPr>
                <w:spacing w:val="-1"/>
                <w:szCs w:val="24"/>
              </w:rPr>
              <w:t xml:space="preserve"> </w:t>
            </w:r>
            <w:r w:rsidR="008C714C" w:rsidRPr="00E04926">
              <w:rPr>
                <w:szCs w:val="24"/>
              </w:rPr>
              <w:t>OSP</w:t>
            </w:r>
            <w:r w:rsidRPr="00D308EC">
              <w:t xml:space="preserve">. W przypadku ORed ze statusem „ORed aktywny” wygaszenie Certyfikatu dla ORed skutkuje wstrzymaniem przekazywania danych pomiarowych dla ORed przez </w:t>
            </w:r>
            <w:r>
              <w:t>OSDp</w:t>
            </w:r>
            <w:r w:rsidRPr="00D308EC">
              <w:t xml:space="preserve"> do OSP.</w:t>
            </w:r>
          </w:p>
        </w:tc>
      </w:tr>
      <w:tr w:rsidR="00E70AF6" w14:paraId="2D7C9164" w14:textId="77777777" w:rsidTr="00431378">
        <w:tc>
          <w:tcPr>
            <w:tcW w:w="1063" w:type="dxa"/>
            <w:shd w:val="clear" w:color="auto" w:fill="auto"/>
          </w:tcPr>
          <w:p w14:paraId="31347FD1" w14:textId="77777777" w:rsidR="00E70AF6" w:rsidRPr="00896452" w:rsidRDefault="00CF3D5F" w:rsidP="00AE3CAB">
            <w:pPr>
              <w:spacing w:line="276" w:lineRule="auto"/>
              <w:ind w:right="-69"/>
            </w:pPr>
            <w:r w:rsidRPr="00CF3D5F">
              <w:rPr>
                <w:sz w:val="22"/>
                <w:szCs w:val="22"/>
              </w:rPr>
              <w:lastRenderedPageBreak/>
              <w:t>A.10.1.1</w:t>
            </w:r>
            <w:r>
              <w:rPr>
                <w:sz w:val="22"/>
                <w:szCs w:val="22"/>
              </w:rPr>
              <w:t>6</w:t>
            </w:r>
            <w:r w:rsidRPr="00CF3D5F">
              <w:rPr>
                <w:sz w:val="22"/>
                <w:szCs w:val="22"/>
              </w:rPr>
              <w:t>.</w:t>
            </w:r>
          </w:p>
        </w:tc>
        <w:tc>
          <w:tcPr>
            <w:tcW w:w="8147" w:type="dxa"/>
            <w:shd w:val="clear" w:color="auto" w:fill="auto"/>
          </w:tcPr>
          <w:p w14:paraId="46185462" w14:textId="77777777" w:rsidR="00E70AF6" w:rsidRPr="00801904" w:rsidRDefault="00E70AF6" w:rsidP="00AE3CAB">
            <w:pPr>
              <w:pStyle w:val="TableParagraph"/>
              <w:spacing w:line="276" w:lineRule="auto"/>
              <w:ind w:left="34"/>
              <w:rPr>
                <w:sz w:val="24"/>
                <w:szCs w:val="24"/>
              </w:rPr>
            </w:pPr>
            <w:r w:rsidRPr="00801904">
              <w:rPr>
                <w:sz w:val="24"/>
                <w:szCs w:val="24"/>
              </w:rPr>
              <w:t xml:space="preserve">W przypadku zmiany danych zawartych w wydanym Certyfikacie dla ORed (dla ORed ze statusem „ORed aktywny”), w tym w szczególności zakresu PPE (dodanie lub usunięcie) tworzących kompletny układ zasilania ORed, Odbiorca </w:t>
            </w:r>
            <w:r>
              <w:rPr>
                <w:sz w:val="24"/>
                <w:szCs w:val="24"/>
              </w:rPr>
              <w:br/>
            </w:r>
            <w:r w:rsidRPr="00801904">
              <w:rPr>
                <w:sz w:val="24"/>
                <w:szCs w:val="24"/>
              </w:rPr>
              <w:t xml:space="preserve">w ORed składa wniosek do operatora systemu, który wydał Certyfikat dla ORed </w:t>
            </w:r>
            <w:r>
              <w:rPr>
                <w:sz w:val="24"/>
                <w:szCs w:val="24"/>
              </w:rPr>
              <w:br/>
            </w:r>
            <w:r w:rsidRPr="00801904">
              <w:rPr>
                <w:sz w:val="24"/>
                <w:szCs w:val="24"/>
              </w:rPr>
              <w:t xml:space="preserve">o aktualizację tego certyfikatu. Jeśli zmiana nie narusza kryteriów określonych </w:t>
            </w:r>
            <w:r>
              <w:rPr>
                <w:sz w:val="24"/>
                <w:szCs w:val="24"/>
              </w:rPr>
              <w:br/>
            </w:r>
            <w:r w:rsidRPr="00801904">
              <w:rPr>
                <w:sz w:val="24"/>
                <w:szCs w:val="24"/>
              </w:rPr>
              <w:t>w pkt A.</w:t>
            </w:r>
            <w:r w:rsidR="008A34E2">
              <w:rPr>
                <w:sz w:val="24"/>
                <w:szCs w:val="24"/>
              </w:rPr>
              <w:t>10</w:t>
            </w:r>
            <w:r w:rsidRPr="00801904">
              <w:rPr>
                <w:sz w:val="24"/>
                <w:szCs w:val="24"/>
              </w:rPr>
              <w:t xml:space="preserve">.1.3. odpowiednio </w:t>
            </w:r>
            <w:r>
              <w:rPr>
                <w:sz w:val="24"/>
                <w:szCs w:val="24"/>
              </w:rPr>
              <w:t>OSDp</w:t>
            </w:r>
            <w:r w:rsidRPr="00801904">
              <w:rPr>
                <w:sz w:val="24"/>
                <w:szCs w:val="24"/>
              </w:rPr>
              <w:t xml:space="preserve"> albo </w:t>
            </w:r>
            <w:r>
              <w:rPr>
                <w:sz w:val="24"/>
                <w:szCs w:val="24"/>
              </w:rPr>
              <w:t>OSDp</w:t>
            </w:r>
            <w:r w:rsidRPr="00801904">
              <w:rPr>
                <w:sz w:val="24"/>
                <w:szCs w:val="24"/>
              </w:rPr>
              <w:t xml:space="preserve"> upoważniony przez OSDn aktualizuje Certyfikat dla ORed zarejestrowany</w:t>
            </w:r>
            <w:r>
              <w:rPr>
                <w:sz w:val="24"/>
                <w:szCs w:val="24"/>
              </w:rPr>
              <w:t xml:space="preserve"> </w:t>
            </w:r>
            <w:r w:rsidRPr="00801904">
              <w:rPr>
                <w:sz w:val="24"/>
                <w:szCs w:val="24"/>
              </w:rPr>
              <w:t>w systemie IP</w:t>
            </w:r>
            <w:r w:rsidRPr="00801904">
              <w:rPr>
                <w:spacing w:val="-7"/>
                <w:sz w:val="24"/>
                <w:szCs w:val="24"/>
              </w:rPr>
              <w:t xml:space="preserve"> </w:t>
            </w:r>
            <w:r w:rsidRPr="00801904">
              <w:rPr>
                <w:sz w:val="24"/>
                <w:szCs w:val="24"/>
              </w:rPr>
              <w:t>DSR.</w:t>
            </w:r>
          </w:p>
          <w:p w14:paraId="2E6A1D2D" w14:textId="77777777" w:rsidR="00E70AF6" w:rsidRPr="00801904" w:rsidRDefault="00E70AF6" w:rsidP="00AE3CAB">
            <w:pPr>
              <w:pStyle w:val="TableParagraph"/>
              <w:spacing w:line="276" w:lineRule="auto"/>
              <w:ind w:left="34"/>
              <w:rPr>
                <w:sz w:val="24"/>
                <w:szCs w:val="24"/>
              </w:rPr>
            </w:pPr>
            <w:r w:rsidRPr="00801904">
              <w:rPr>
                <w:sz w:val="24"/>
                <w:szCs w:val="24"/>
              </w:rPr>
              <w:t xml:space="preserve">Operator systemu, który wydał Certyfikat dla ORed w oparciu o dane </w:t>
            </w:r>
            <w:r>
              <w:rPr>
                <w:sz w:val="24"/>
                <w:szCs w:val="24"/>
              </w:rPr>
              <w:br/>
            </w:r>
            <w:r w:rsidRPr="00801904">
              <w:rPr>
                <w:sz w:val="24"/>
                <w:szCs w:val="24"/>
              </w:rPr>
              <w:t xml:space="preserve">i informacje będące w jego posiadaniu odnośnie odbiorców przyłączonych do jego sieci, ma prawo dokonania aktualizacji Certyfikatu dla ORed. </w:t>
            </w:r>
            <w:r>
              <w:rPr>
                <w:sz w:val="24"/>
                <w:szCs w:val="24"/>
              </w:rPr>
              <w:br/>
            </w:r>
            <w:r w:rsidRPr="00801904">
              <w:rPr>
                <w:sz w:val="24"/>
                <w:szCs w:val="24"/>
              </w:rPr>
              <w:t>W przypadku aktualizacji dokonanej przez OSDn, operator ten przekazuje zaktualizowany Certyfikat dla ORed do właściwego OSDp celem aktualizacji tego certyfikatu w systemie IP DSR.</w:t>
            </w:r>
          </w:p>
          <w:p w14:paraId="37EE1E91" w14:textId="77777777" w:rsidR="00E70AF6" w:rsidRPr="00801904" w:rsidRDefault="00E70AF6" w:rsidP="00AE3CAB">
            <w:pPr>
              <w:pStyle w:val="TableParagraph"/>
              <w:spacing w:line="276" w:lineRule="auto"/>
              <w:ind w:left="34"/>
              <w:rPr>
                <w:sz w:val="24"/>
                <w:szCs w:val="24"/>
              </w:rPr>
            </w:pPr>
            <w:r w:rsidRPr="00801904">
              <w:rPr>
                <w:sz w:val="24"/>
                <w:szCs w:val="24"/>
              </w:rPr>
              <w:t>Wniosek o aktualizację Certyfikatu dla ORed rozpatrywany jest na zasadach analogicznych jak w procesie certyfikacji w trybie dodatkowym.</w:t>
            </w:r>
          </w:p>
          <w:p w14:paraId="451764A3" w14:textId="77777777" w:rsidR="00E70AF6" w:rsidRDefault="00E70AF6" w:rsidP="00AE3CAB">
            <w:pPr>
              <w:spacing w:line="276" w:lineRule="auto"/>
              <w:jc w:val="both"/>
              <w:rPr>
                <w:i/>
              </w:rPr>
            </w:pPr>
            <w:r w:rsidRPr="00801904">
              <w:t>Aktualizacja Certyfikatu dla ORed powoduje wygaszenie obowiązującego Certyfikatu dla ORed w dacie wydania nowego certyfikatu dla tego ORed.</w:t>
            </w:r>
          </w:p>
        </w:tc>
      </w:tr>
      <w:tr w:rsidR="00E70AF6" w:rsidRPr="006D2A1F" w14:paraId="5DD4C8B7" w14:textId="77777777" w:rsidTr="00431378">
        <w:tc>
          <w:tcPr>
            <w:tcW w:w="1063" w:type="dxa"/>
            <w:shd w:val="clear" w:color="auto" w:fill="auto"/>
          </w:tcPr>
          <w:p w14:paraId="1EE26A71" w14:textId="77777777" w:rsidR="00E70AF6" w:rsidRPr="00896452" w:rsidRDefault="00CF3D5F" w:rsidP="00AE3CAB">
            <w:pPr>
              <w:spacing w:line="276" w:lineRule="auto"/>
              <w:ind w:right="-69"/>
            </w:pPr>
            <w:r w:rsidRPr="00CF3D5F">
              <w:rPr>
                <w:sz w:val="22"/>
                <w:szCs w:val="22"/>
              </w:rPr>
              <w:t>A.10.1.1</w:t>
            </w:r>
            <w:r>
              <w:rPr>
                <w:sz w:val="22"/>
                <w:szCs w:val="22"/>
              </w:rPr>
              <w:t>7</w:t>
            </w:r>
            <w:r w:rsidRPr="00CF3D5F">
              <w:rPr>
                <w:sz w:val="22"/>
                <w:szCs w:val="22"/>
              </w:rPr>
              <w:t>.</w:t>
            </w:r>
          </w:p>
        </w:tc>
        <w:tc>
          <w:tcPr>
            <w:tcW w:w="8147" w:type="dxa"/>
            <w:shd w:val="clear" w:color="auto" w:fill="auto"/>
          </w:tcPr>
          <w:p w14:paraId="6F1A44F8" w14:textId="77777777" w:rsidR="00E70AF6" w:rsidRPr="006D2A1F" w:rsidRDefault="00E70AF6" w:rsidP="00AE3CAB">
            <w:pPr>
              <w:spacing w:line="276" w:lineRule="auto"/>
              <w:jc w:val="both"/>
            </w:pPr>
            <w:r w:rsidRPr="00926437">
              <w:t xml:space="preserve">Wzór wniosku o wydanie Certyfikatu dla ORed, wzór wniosku o aktualizację Certyfikatu dla ORed, wzór Certyfikatu dla ORed oraz wzory oświadczeń, </w:t>
            </w:r>
            <w:r>
              <w:br/>
            </w:r>
            <w:r w:rsidRPr="00926437">
              <w:t>o których mowa w pkt A.</w:t>
            </w:r>
            <w:r w:rsidR="008A34E2">
              <w:t>10</w:t>
            </w:r>
            <w:r w:rsidRPr="00926437">
              <w:t>.1.12. i A.</w:t>
            </w:r>
            <w:r w:rsidR="008A34E2">
              <w:t>10</w:t>
            </w:r>
            <w:r w:rsidRPr="00926437">
              <w:t>.1.14., określa OSP i publikuje na swojej stronie internetowej.</w:t>
            </w:r>
          </w:p>
        </w:tc>
      </w:tr>
      <w:tr w:rsidR="00E70AF6" w:rsidRPr="006D2A1F" w14:paraId="7A112293" w14:textId="77777777" w:rsidTr="00431378">
        <w:tc>
          <w:tcPr>
            <w:tcW w:w="1063" w:type="dxa"/>
            <w:shd w:val="clear" w:color="auto" w:fill="auto"/>
          </w:tcPr>
          <w:p w14:paraId="4725009A" w14:textId="77777777" w:rsidR="00E70AF6" w:rsidRPr="00896452" w:rsidRDefault="00CF3D5F" w:rsidP="00AE3CAB">
            <w:pPr>
              <w:spacing w:line="276" w:lineRule="auto"/>
              <w:ind w:right="-69"/>
            </w:pPr>
            <w:r w:rsidRPr="00CF3D5F">
              <w:rPr>
                <w:sz w:val="22"/>
                <w:szCs w:val="22"/>
              </w:rPr>
              <w:t>A.10.1.1</w:t>
            </w:r>
            <w:r>
              <w:rPr>
                <w:sz w:val="22"/>
                <w:szCs w:val="22"/>
              </w:rPr>
              <w:t>8</w:t>
            </w:r>
            <w:r w:rsidRPr="00CF3D5F">
              <w:rPr>
                <w:sz w:val="22"/>
                <w:szCs w:val="22"/>
              </w:rPr>
              <w:t>.</w:t>
            </w:r>
          </w:p>
        </w:tc>
        <w:tc>
          <w:tcPr>
            <w:tcW w:w="8147" w:type="dxa"/>
            <w:shd w:val="clear" w:color="auto" w:fill="auto"/>
          </w:tcPr>
          <w:p w14:paraId="4C976EF7" w14:textId="77777777" w:rsidR="007E5929" w:rsidRDefault="00E70AF6" w:rsidP="00CD672A">
            <w:pPr>
              <w:spacing w:line="276" w:lineRule="auto"/>
              <w:jc w:val="both"/>
            </w:pPr>
            <w:r>
              <w:t>OSDp</w:t>
            </w:r>
            <w:r w:rsidRPr="005C066C">
              <w:t xml:space="preserve"> i OSDn, na swojej stronie internetowej zamieszczają informację</w:t>
            </w:r>
            <w:r w:rsidRPr="005C066C">
              <w:rPr>
                <w:spacing w:val="17"/>
              </w:rPr>
              <w:t xml:space="preserve"> </w:t>
            </w:r>
            <w:r w:rsidRPr="005C066C">
              <w:t>odnośnie</w:t>
            </w:r>
            <w:r w:rsidRPr="005C066C">
              <w:rPr>
                <w:spacing w:val="17"/>
              </w:rPr>
              <w:t xml:space="preserve"> </w:t>
            </w:r>
            <w:r w:rsidRPr="005C066C">
              <w:t>formy</w:t>
            </w:r>
            <w:r w:rsidRPr="005C066C">
              <w:rPr>
                <w:spacing w:val="11"/>
              </w:rPr>
              <w:t xml:space="preserve"> </w:t>
            </w:r>
            <w:r w:rsidRPr="005C066C">
              <w:t>i</w:t>
            </w:r>
            <w:r w:rsidRPr="005C066C">
              <w:rPr>
                <w:spacing w:val="18"/>
              </w:rPr>
              <w:t xml:space="preserve"> </w:t>
            </w:r>
            <w:r w:rsidRPr="005C066C">
              <w:t>sposobu</w:t>
            </w:r>
            <w:r w:rsidRPr="005C066C">
              <w:rPr>
                <w:spacing w:val="18"/>
              </w:rPr>
              <w:t xml:space="preserve"> </w:t>
            </w:r>
            <w:r w:rsidRPr="005C066C">
              <w:t>składania</w:t>
            </w:r>
            <w:r w:rsidRPr="005C066C">
              <w:rPr>
                <w:spacing w:val="17"/>
              </w:rPr>
              <w:t xml:space="preserve"> </w:t>
            </w:r>
            <w:r w:rsidRPr="005C066C">
              <w:t>wniosków</w:t>
            </w:r>
            <w:r w:rsidRPr="005C066C">
              <w:rPr>
                <w:spacing w:val="19"/>
              </w:rPr>
              <w:t xml:space="preserve"> </w:t>
            </w:r>
            <w:r w:rsidRPr="005C066C">
              <w:t>o</w:t>
            </w:r>
            <w:r w:rsidRPr="005C066C">
              <w:rPr>
                <w:spacing w:val="18"/>
              </w:rPr>
              <w:t xml:space="preserve"> </w:t>
            </w:r>
            <w:r w:rsidRPr="005C066C">
              <w:t>wydanie</w:t>
            </w:r>
            <w:r w:rsidRPr="005C066C">
              <w:rPr>
                <w:spacing w:val="17"/>
              </w:rPr>
              <w:t xml:space="preserve"> </w:t>
            </w:r>
            <w:r w:rsidRPr="005C066C">
              <w:t>Certyfikatu</w:t>
            </w:r>
            <w:r w:rsidRPr="005C066C">
              <w:rPr>
                <w:spacing w:val="18"/>
              </w:rPr>
              <w:t xml:space="preserve"> </w:t>
            </w:r>
            <w:r w:rsidRPr="005C066C">
              <w:t>dla</w:t>
            </w:r>
            <w:r>
              <w:t xml:space="preserve"> </w:t>
            </w:r>
            <w:r w:rsidRPr="005C066C">
              <w:t>ORed, wniosków o aktualizację Certyfikatu dla ORed oraz oświadczeń,</w:t>
            </w:r>
            <w:r>
              <w:t xml:space="preserve"> </w:t>
            </w:r>
            <w:r w:rsidRPr="005C066C">
              <w:t>o których mowa w pkt. A.</w:t>
            </w:r>
            <w:r w:rsidR="007E5929">
              <w:t>10</w:t>
            </w:r>
            <w:r w:rsidRPr="005C066C">
              <w:t>.1.12. i A.</w:t>
            </w:r>
            <w:r w:rsidR="007E5929">
              <w:t>10</w:t>
            </w:r>
            <w:r w:rsidRPr="005C066C">
              <w:t>.1.14.</w:t>
            </w:r>
          </w:p>
          <w:p w14:paraId="7194F1E7" w14:textId="77CB4809" w:rsidR="00253B87" w:rsidRPr="006D2A1F" w:rsidRDefault="00253B87" w:rsidP="00CD672A">
            <w:pPr>
              <w:spacing w:line="276" w:lineRule="auto"/>
              <w:jc w:val="both"/>
            </w:pPr>
          </w:p>
        </w:tc>
      </w:tr>
      <w:tr w:rsidR="00E70AF6" w:rsidRPr="00B96317" w14:paraId="05EE03A1" w14:textId="77777777" w:rsidTr="00431378">
        <w:tc>
          <w:tcPr>
            <w:tcW w:w="9210" w:type="dxa"/>
            <w:gridSpan w:val="2"/>
            <w:shd w:val="clear" w:color="auto" w:fill="auto"/>
          </w:tcPr>
          <w:p w14:paraId="4E8E1A75" w14:textId="77777777" w:rsidR="00E70AF6" w:rsidRDefault="00E70AF6" w:rsidP="00273E8A">
            <w:pPr>
              <w:rPr>
                <w:b/>
              </w:rPr>
            </w:pPr>
            <w:r w:rsidRPr="00B96317">
              <w:rPr>
                <w:b/>
              </w:rPr>
              <w:t>A.</w:t>
            </w:r>
            <w:r w:rsidR="00982382">
              <w:rPr>
                <w:b/>
              </w:rPr>
              <w:t>10</w:t>
            </w:r>
            <w:r w:rsidRPr="00B96317">
              <w:rPr>
                <w:b/>
              </w:rPr>
              <w:t>.2. Zasady przekazywania danych pomiarowych ORed</w:t>
            </w:r>
          </w:p>
          <w:p w14:paraId="7E6864C0" w14:textId="4EEBFE78" w:rsidR="00253B87" w:rsidRPr="00B96317" w:rsidRDefault="00253B87" w:rsidP="00273E8A">
            <w:pPr>
              <w:rPr>
                <w:b/>
              </w:rPr>
            </w:pPr>
          </w:p>
        </w:tc>
      </w:tr>
      <w:tr w:rsidR="00E70AF6" w:rsidRPr="00B96317" w14:paraId="63A76AD5" w14:textId="77777777" w:rsidTr="00431378">
        <w:tc>
          <w:tcPr>
            <w:tcW w:w="1063" w:type="dxa"/>
            <w:shd w:val="clear" w:color="auto" w:fill="auto"/>
          </w:tcPr>
          <w:p w14:paraId="170DDDEE" w14:textId="77777777" w:rsidR="00E70AF6" w:rsidRPr="00896452" w:rsidRDefault="00E70AF6">
            <w:pPr>
              <w:numPr>
                <w:ilvl w:val="0"/>
                <w:numId w:val="206"/>
              </w:numPr>
              <w:spacing w:line="276" w:lineRule="auto"/>
              <w:ind w:left="0" w:firstLine="0"/>
            </w:pPr>
          </w:p>
        </w:tc>
        <w:tc>
          <w:tcPr>
            <w:tcW w:w="8147" w:type="dxa"/>
            <w:shd w:val="clear" w:color="auto" w:fill="auto"/>
          </w:tcPr>
          <w:p w14:paraId="0A07ADE9" w14:textId="77777777" w:rsidR="00E70AF6" w:rsidRPr="00B96317" w:rsidRDefault="00E70AF6" w:rsidP="00043801">
            <w:pPr>
              <w:spacing w:line="276" w:lineRule="auto"/>
              <w:jc w:val="both"/>
            </w:pPr>
            <w:r w:rsidRPr="00B96317">
              <w:t xml:space="preserve">Przekazywanie danych pomiarowych dla ORed (odrębnie dla każdego PPE </w:t>
            </w:r>
            <w:r w:rsidRPr="00B96317">
              <w:br/>
              <w:t xml:space="preserve">w ORed) realizowane jest </w:t>
            </w:r>
            <w:r w:rsidRPr="001F0197">
              <w:t xml:space="preserve">na zasadach określonych w niniejszym punkcie, </w:t>
            </w:r>
            <w:r w:rsidRPr="001F0197">
              <w:br/>
              <w:t>z uwzględnieniem zapisów rozdziału C.</w:t>
            </w:r>
          </w:p>
        </w:tc>
      </w:tr>
      <w:tr w:rsidR="00E70AF6" w:rsidRPr="00B96317" w14:paraId="232C65F4" w14:textId="77777777" w:rsidTr="00431378">
        <w:tc>
          <w:tcPr>
            <w:tcW w:w="1063" w:type="dxa"/>
            <w:shd w:val="clear" w:color="auto" w:fill="auto"/>
          </w:tcPr>
          <w:p w14:paraId="28BA4725" w14:textId="77777777" w:rsidR="00E70AF6" w:rsidRPr="00896452" w:rsidRDefault="00E70AF6">
            <w:pPr>
              <w:numPr>
                <w:ilvl w:val="0"/>
                <w:numId w:val="206"/>
              </w:numPr>
              <w:spacing w:line="276" w:lineRule="auto"/>
              <w:ind w:left="0" w:firstLine="0"/>
            </w:pPr>
          </w:p>
        </w:tc>
        <w:tc>
          <w:tcPr>
            <w:tcW w:w="8147" w:type="dxa"/>
            <w:shd w:val="clear" w:color="auto" w:fill="auto"/>
          </w:tcPr>
          <w:p w14:paraId="0D482126" w14:textId="23834D8B" w:rsidR="00E70AF6" w:rsidRPr="00B96317" w:rsidRDefault="00E70AF6" w:rsidP="00043801">
            <w:pPr>
              <w:spacing w:line="276" w:lineRule="auto"/>
              <w:jc w:val="both"/>
            </w:pPr>
            <w:r w:rsidRPr="00B96317">
              <w:t xml:space="preserve">Dane pomiarowe dotyczące ilości dostaw energii elektrycznej dla poszczególnych PPE są pozyskiwane dla wszystkich certyfikowanych ORed uczestniczących </w:t>
            </w:r>
            <w:r w:rsidRPr="00B96317">
              <w:br/>
              <w:t xml:space="preserve">w świadczeniu </w:t>
            </w:r>
            <w:r w:rsidR="008C714C" w:rsidRPr="00E04926">
              <w:rPr>
                <w:szCs w:val="24"/>
              </w:rPr>
              <w:t>usług</w:t>
            </w:r>
            <w:r w:rsidR="008C714C">
              <w:rPr>
                <w:szCs w:val="24"/>
              </w:rPr>
              <w:t>i</w:t>
            </w:r>
            <w:r w:rsidR="008C714C" w:rsidRPr="00E04926">
              <w:rPr>
                <w:szCs w:val="24"/>
              </w:rPr>
              <w:t xml:space="preserve"> </w:t>
            </w:r>
            <w:r w:rsidR="008C714C">
              <w:rPr>
                <w:szCs w:val="24"/>
              </w:rPr>
              <w:t xml:space="preserve">interwencyjnej ofertowej redukcji poboru mocy przez odbiorców na </w:t>
            </w:r>
            <w:r w:rsidR="008C714C" w:rsidRPr="00E04926">
              <w:rPr>
                <w:szCs w:val="24"/>
              </w:rPr>
              <w:t>polecenie</w:t>
            </w:r>
            <w:r w:rsidR="008C714C" w:rsidRPr="00E04926">
              <w:rPr>
                <w:spacing w:val="-1"/>
                <w:szCs w:val="24"/>
              </w:rPr>
              <w:t xml:space="preserve"> </w:t>
            </w:r>
            <w:r w:rsidR="008C714C" w:rsidRPr="00E04926">
              <w:rPr>
                <w:szCs w:val="24"/>
              </w:rPr>
              <w:t>OSP</w:t>
            </w:r>
            <w:r w:rsidRPr="00B96317">
              <w:t>.</w:t>
            </w:r>
          </w:p>
        </w:tc>
      </w:tr>
      <w:tr w:rsidR="00E70AF6" w14:paraId="173E7BE7" w14:textId="77777777" w:rsidTr="00431378">
        <w:tc>
          <w:tcPr>
            <w:tcW w:w="1063" w:type="dxa"/>
            <w:shd w:val="clear" w:color="auto" w:fill="auto"/>
          </w:tcPr>
          <w:p w14:paraId="79500F7D" w14:textId="77777777" w:rsidR="00E70AF6" w:rsidRPr="00896452" w:rsidRDefault="00E70AF6">
            <w:pPr>
              <w:numPr>
                <w:ilvl w:val="0"/>
                <w:numId w:val="206"/>
              </w:numPr>
              <w:spacing w:line="276" w:lineRule="auto"/>
              <w:ind w:left="0" w:firstLine="0"/>
            </w:pPr>
          </w:p>
        </w:tc>
        <w:tc>
          <w:tcPr>
            <w:tcW w:w="8147" w:type="dxa"/>
            <w:shd w:val="clear" w:color="auto" w:fill="auto"/>
          </w:tcPr>
          <w:p w14:paraId="4FCB64B9" w14:textId="77777777" w:rsidR="00E025C0" w:rsidRPr="00E025C0" w:rsidRDefault="00E025C0" w:rsidP="00E025C0">
            <w:pPr>
              <w:spacing w:before="120" w:line="276" w:lineRule="auto"/>
              <w:ind w:left="6"/>
              <w:jc w:val="both"/>
              <w:rPr>
                <w:rFonts w:cs="Times New Roman"/>
                <w:szCs w:val="24"/>
              </w:rPr>
            </w:pPr>
            <w:r w:rsidRPr="00E025C0">
              <w:rPr>
                <w:rFonts w:cs="Times New Roman"/>
                <w:szCs w:val="24"/>
              </w:rPr>
              <w:t>Dane pomiarowe dotyczące ilości dostaw energii elektrycznej dla poszczególnych PPE, składających się na dany ORed, są przekazywane do OSP, po otrzymaniu przez OSDp od OSP informacji o konieczności przekazania danych pomiarowych z ORed uczestniczących w świadczeniu usługi interwencyjnej ofertowej redukcji poboru mocy przez odbiorców, w wyniku wezwania OSP do redukcji w ramach tej usługi.</w:t>
            </w:r>
          </w:p>
          <w:p w14:paraId="48E3EED7" w14:textId="7D3897C8" w:rsidR="00E025C0" w:rsidRPr="00E025C0" w:rsidRDefault="00E025C0" w:rsidP="00E025C0">
            <w:pPr>
              <w:spacing w:before="120" w:line="276" w:lineRule="auto"/>
              <w:ind w:left="6"/>
              <w:jc w:val="both"/>
              <w:rPr>
                <w:rFonts w:cs="Times New Roman"/>
                <w:szCs w:val="24"/>
              </w:rPr>
            </w:pPr>
            <w:r w:rsidRPr="00E025C0">
              <w:rPr>
                <w:rFonts w:cs="Times New Roman"/>
                <w:szCs w:val="24"/>
              </w:rPr>
              <w:t xml:space="preserve">OSDp, po otrzymaniu informacji od OSP dokonuje w dobie n+4 zasilenia, w ramach którego zostają przekazane dane z PPE za okres ostatnich 30 dni. Po dokonaniu zasilenia, OSDp przekazuje dane pomiarowe dla ORed w trybach, określonych </w:t>
            </w:r>
            <w:r w:rsidR="00A823F7">
              <w:rPr>
                <w:rFonts w:cs="Times New Roman"/>
                <w:szCs w:val="24"/>
              </w:rPr>
              <w:br/>
            </w:r>
            <w:r w:rsidRPr="00E025C0">
              <w:rPr>
                <w:rFonts w:cs="Times New Roman"/>
                <w:szCs w:val="24"/>
              </w:rPr>
              <w:t>w pkt A.</w:t>
            </w:r>
            <w:r w:rsidR="00A823F7">
              <w:rPr>
                <w:rFonts w:cs="Times New Roman"/>
                <w:szCs w:val="24"/>
              </w:rPr>
              <w:t>10</w:t>
            </w:r>
            <w:r w:rsidRPr="00E025C0">
              <w:rPr>
                <w:rFonts w:cs="Times New Roman"/>
                <w:szCs w:val="24"/>
              </w:rPr>
              <w:t>.2.7. – A.</w:t>
            </w:r>
            <w:r w:rsidR="00A823F7">
              <w:rPr>
                <w:rFonts w:cs="Times New Roman"/>
                <w:szCs w:val="24"/>
              </w:rPr>
              <w:t>10</w:t>
            </w:r>
            <w:r w:rsidRPr="00E025C0">
              <w:rPr>
                <w:rFonts w:cs="Times New Roman"/>
                <w:szCs w:val="24"/>
              </w:rPr>
              <w:t>.2.9.</w:t>
            </w:r>
          </w:p>
          <w:p w14:paraId="6B4E7B94" w14:textId="5AC497B1" w:rsidR="00E025C0" w:rsidRPr="00E025C0" w:rsidRDefault="00E025C0" w:rsidP="00E025C0">
            <w:pPr>
              <w:spacing w:before="120" w:line="276" w:lineRule="auto"/>
              <w:ind w:left="6"/>
              <w:jc w:val="both"/>
              <w:rPr>
                <w:rFonts w:cs="Times New Roman"/>
                <w:szCs w:val="24"/>
              </w:rPr>
            </w:pPr>
            <w:r w:rsidRPr="00E025C0">
              <w:rPr>
                <w:rFonts w:cs="Times New Roman"/>
                <w:szCs w:val="24"/>
              </w:rPr>
              <w:t xml:space="preserve">OSDp przekazuje do OSP dane pomiarowe ORed przyłączonego do sieci OSDn, </w:t>
            </w:r>
            <w:r w:rsidR="00A823F7">
              <w:rPr>
                <w:rFonts w:cs="Times New Roman"/>
                <w:szCs w:val="24"/>
              </w:rPr>
              <w:br/>
            </w:r>
            <w:r w:rsidRPr="00E025C0">
              <w:rPr>
                <w:rFonts w:cs="Times New Roman"/>
                <w:szCs w:val="24"/>
              </w:rPr>
              <w:t xml:space="preserve">w tym dokonuje zasilenia inicjalnego, po otrzymaniu tych danych od OSDn, </w:t>
            </w:r>
            <w:r w:rsidR="00891E5F">
              <w:rPr>
                <w:rFonts w:cs="Times New Roman"/>
                <w:szCs w:val="24"/>
              </w:rPr>
              <w:br/>
            </w:r>
            <w:r w:rsidRPr="00E025C0">
              <w:rPr>
                <w:rFonts w:cs="Times New Roman"/>
                <w:szCs w:val="24"/>
              </w:rPr>
              <w:t>w trybie i formie określonych w pkt A.</w:t>
            </w:r>
            <w:r w:rsidR="00A823F7">
              <w:rPr>
                <w:rFonts w:cs="Times New Roman"/>
                <w:szCs w:val="24"/>
              </w:rPr>
              <w:t>10</w:t>
            </w:r>
            <w:r w:rsidRPr="00E025C0">
              <w:rPr>
                <w:rFonts w:cs="Times New Roman"/>
                <w:szCs w:val="24"/>
              </w:rPr>
              <w:t>.2.5.</w:t>
            </w:r>
          </w:p>
          <w:p w14:paraId="54D55584" w14:textId="3FB9EC51" w:rsidR="00E70AF6" w:rsidRDefault="00E70AF6" w:rsidP="00043801">
            <w:pPr>
              <w:pStyle w:val="TableParagraph"/>
              <w:spacing w:line="276" w:lineRule="auto"/>
              <w:ind w:left="33" w:right="28"/>
              <w:rPr>
                <w:b/>
                <w:i/>
              </w:rPr>
            </w:pPr>
          </w:p>
        </w:tc>
      </w:tr>
      <w:tr w:rsidR="00E70AF6" w:rsidRPr="00B96317" w14:paraId="42788EE9" w14:textId="77777777" w:rsidTr="00431378">
        <w:tc>
          <w:tcPr>
            <w:tcW w:w="1063" w:type="dxa"/>
            <w:shd w:val="clear" w:color="auto" w:fill="auto"/>
          </w:tcPr>
          <w:p w14:paraId="53240351" w14:textId="77777777" w:rsidR="00E70AF6" w:rsidRPr="00896452" w:rsidRDefault="00E70AF6">
            <w:pPr>
              <w:numPr>
                <w:ilvl w:val="0"/>
                <w:numId w:val="206"/>
              </w:numPr>
              <w:spacing w:line="276" w:lineRule="auto"/>
              <w:ind w:left="0" w:firstLine="0"/>
            </w:pPr>
          </w:p>
        </w:tc>
        <w:tc>
          <w:tcPr>
            <w:tcW w:w="8147" w:type="dxa"/>
            <w:shd w:val="clear" w:color="auto" w:fill="auto"/>
          </w:tcPr>
          <w:p w14:paraId="27A00F52" w14:textId="77777777" w:rsidR="00E70AF6" w:rsidRPr="00B96317" w:rsidRDefault="00E70AF6" w:rsidP="00043801">
            <w:pPr>
              <w:spacing w:line="276" w:lineRule="auto"/>
              <w:jc w:val="both"/>
            </w:pPr>
            <w:r w:rsidRPr="00B96317">
              <w:t>W przypadku, gdy ORed jest przyłączony do OSDn i OSDp przesyła do OSP dane pomiarowe, o których mowa w pkt</w:t>
            </w:r>
            <w:r>
              <w:t>.</w:t>
            </w:r>
            <w:r w:rsidRPr="00B96317">
              <w:t xml:space="preserve"> A.</w:t>
            </w:r>
            <w:r w:rsidR="00982382">
              <w:t>10</w:t>
            </w:r>
            <w:r w:rsidRPr="00B96317">
              <w:t xml:space="preserve">.2.3., w zakresie PPE zlokalizowanych </w:t>
            </w:r>
            <w:r w:rsidRPr="00B96317">
              <w:br/>
              <w:t>w swojej sieci dystrybucyjnej, w tym dla PPE zlokalizowanych w sieci OSDn, którego sieć jest połączona z siecią OSDp.</w:t>
            </w:r>
          </w:p>
        </w:tc>
      </w:tr>
      <w:tr w:rsidR="00E70AF6" w:rsidRPr="00B96317" w14:paraId="1CF78487" w14:textId="77777777" w:rsidTr="00431378">
        <w:tc>
          <w:tcPr>
            <w:tcW w:w="1063" w:type="dxa"/>
            <w:shd w:val="clear" w:color="auto" w:fill="auto"/>
          </w:tcPr>
          <w:p w14:paraId="260F5D7C" w14:textId="77777777" w:rsidR="00E70AF6" w:rsidRPr="00896452" w:rsidRDefault="00E70AF6">
            <w:pPr>
              <w:numPr>
                <w:ilvl w:val="0"/>
                <w:numId w:val="206"/>
              </w:numPr>
              <w:spacing w:line="276" w:lineRule="auto"/>
              <w:ind w:left="0" w:firstLine="0"/>
            </w:pPr>
          </w:p>
        </w:tc>
        <w:tc>
          <w:tcPr>
            <w:tcW w:w="8147" w:type="dxa"/>
            <w:shd w:val="clear" w:color="auto" w:fill="auto"/>
          </w:tcPr>
          <w:p w14:paraId="3682138C" w14:textId="77777777" w:rsidR="00E70AF6" w:rsidRPr="001F0197" w:rsidRDefault="00E70AF6" w:rsidP="00043801">
            <w:pPr>
              <w:spacing w:line="276" w:lineRule="auto"/>
              <w:jc w:val="both"/>
            </w:pPr>
            <w:r w:rsidRPr="001F0197">
              <w:t xml:space="preserve">OSDn, którego sieć jest połączona z siecią OSDp, przekazuje do OSDp godzinowe dane pomiarowe dotyczące PPE przyłączonych do jego sieci tworzących ORed, </w:t>
            </w:r>
            <w:r w:rsidRPr="001F0197">
              <w:br/>
              <w:t>w następującym zakresie:</w:t>
            </w:r>
          </w:p>
          <w:p w14:paraId="3734AFDC" w14:textId="77777777" w:rsidR="00E70AF6" w:rsidRPr="001F0197" w:rsidRDefault="00E70AF6">
            <w:pPr>
              <w:pStyle w:val="Akapitzlist"/>
              <w:numPr>
                <w:ilvl w:val="0"/>
                <w:numId w:val="204"/>
              </w:numPr>
              <w:spacing w:line="276" w:lineRule="auto"/>
              <w:ind w:left="355" w:hanging="355"/>
              <w:contextualSpacing/>
              <w:jc w:val="both"/>
              <w:rPr>
                <w:szCs w:val="24"/>
              </w:rPr>
            </w:pPr>
            <w:r w:rsidRPr="001F0197">
              <w:rPr>
                <w:szCs w:val="24"/>
              </w:rPr>
              <w:t xml:space="preserve">dane pomiarowe dotyczące zasilenia inicjalnego, o którym mowa </w:t>
            </w:r>
            <w:r w:rsidRPr="001F0197">
              <w:rPr>
                <w:szCs w:val="24"/>
              </w:rPr>
              <w:br/>
              <w:t>w pkt. A.</w:t>
            </w:r>
            <w:r w:rsidR="00982382" w:rsidRPr="001F0197">
              <w:rPr>
                <w:szCs w:val="24"/>
              </w:rPr>
              <w:t>10</w:t>
            </w:r>
            <w:r w:rsidRPr="001F0197">
              <w:rPr>
                <w:szCs w:val="24"/>
              </w:rPr>
              <w:t>.2.3., w terminie 2 dni kalendarzowych od otrzymania informacji od OSDp,</w:t>
            </w:r>
          </w:p>
          <w:p w14:paraId="7B4B6821" w14:textId="77777777" w:rsidR="00E70AF6" w:rsidRPr="001F0197" w:rsidRDefault="00E70AF6">
            <w:pPr>
              <w:pStyle w:val="Akapitzlist"/>
              <w:numPr>
                <w:ilvl w:val="0"/>
                <w:numId w:val="204"/>
              </w:numPr>
              <w:spacing w:line="276" w:lineRule="auto"/>
              <w:ind w:left="355" w:hanging="355"/>
              <w:contextualSpacing/>
              <w:jc w:val="both"/>
              <w:rPr>
                <w:szCs w:val="24"/>
              </w:rPr>
            </w:pPr>
            <w:r w:rsidRPr="001F0197">
              <w:rPr>
                <w:szCs w:val="24"/>
              </w:rPr>
              <w:t xml:space="preserve">dane pomiarowe w trybie wstępnym (dla doby </w:t>
            </w:r>
            <w:r w:rsidRPr="001F0197">
              <w:rPr>
                <w:i/>
                <w:szCs w:val="24"/>
              </w:rPr>
              <w:t>n</w:t>
            </w:r>
            <w:r w:rsidRPr="001F0197">
              <w:rPr>
                <w:szCs w:val="24"/>
              </w:rPr>
              <w:t xml:space="preserve">), o którym mowa </w:t>
            </w:r>
            <w:r w:rsidRPr="001F0197">
              <w:rPr>
                <w:szCs w:val="24"/>
              </w:rPr>
              <w:br/>
              <w:t>w pkt. A.</w:t>
            </w:r>
            <w:r w:rsidR="00982382" w:rsidRPr="001F0197">
              <w:rPr>
                <w:szCs w:val="24"/>
              </w:rPr>
              <w:t>10</w:t>
            </w:r>
            <w:r w:rsidRPr="001F0197">
              <w:rPr>
                <w:szCs w:val="24"/>
              </w:rPr>
              <w:t xml:space="preserve">.2.7., w terminie do doby </w:t>
            </w:r>
            <w:r w:rsidRPr="001F0197">
              <w:rPr>
                <w:i/>
                <w:szCs w:val="24"/>
              </w:rPr>
              <w:t>n+2</w:t>
            </w:r>
            <w:r w:rsidRPr="001F0197">
              <w:rPr>
                <w:szCs w:val="24"/>
              </w:rPr>
              <w:t>,</w:t>
            </w:r>
          </w:p>
          <w:p w14:paraId="16E6B8B2" w14:textId="77777777" w:rsidR="00E70AF6" w:rsidRPr="001F0197" w:rsidRDefault="00E70AF6">
            <w:pPr>
              <w:pStyle w:val="Akapitzlist"/>
              <w:numPr>
                <w:ilvl w:val="0"/>
                <w:numId w:val="204"/>
              </w:numPr>
              <w:spacing w:line="276" w:lineRule="auto"/>
              <w:ind w:left="355" w:hanging="355"/>
              <w:contextualSpacing/>
              <w:jc w:val="both"/>
              <w:rPr>
                <w:szCs w:val="24"/>
              </w:rPr>
            </w:pPr>
            <w:r w:rsidRPr="001F0197">
              <w:rPr>
                <w:szCs w:val="24"/>
              </w:rPr>
              <w:t xml:space="preserve">dane pomiarowe w trybie podstawowym (dla miesiąca m), o którym mowa </w:t>
            </w:r>
            <w:r w:rsidRPr="001F0197">
              <w:rPr>
                <w:szCs w:val="24"/>
              </w:rPr>
              <w:br/>
              <w:t>w pkt. A.</w:t>
            </w:r>
            <w:r w:rsidR="00982382" w:rsidRPr="001F0197">
              <w:rPr>
                <w:szCs w:val="24"/>
              </w:rPr>
              <w:t>10</w:t>
            </w:r>
            <w:r w:rsidRPr="001F0197">
              <w:rPr>
                <w:szCs w:val="24"/>
              </w:rPr>
              <w:t xml:space="preserve">.2.8, w terminie od 1 do 2 dnia miesiąca </w:t>
            </w:r>
            <w:r w:rsidRPr="001F0197">
              <w:rPr>
                <w:i/>
                <w:szCs w:val="24"/>
              </w:rPr>
              <w:t>m+1</w:t>
            </w:r>
            <w:r w:rsidRPr="001F0197">
              <w:rPr>
                <w:szCs w:val="24"/>
              </w:rPr>
              <w:t>,</w:t>
            </w:r>
          </w:p>
          <w:p w14:paraId="2C483E23" w14:textId="77777777" w:rsidR="00E70AF6" w:rsidRPr="001F0197" w:rsidRDefault="00E70AF6">
            <w:pPr>
              <w:pStyle w:val="Akapitzlist"/>
              <w:numPr>
                <w:ilvl w:val="0"/>
                <w:numId w:val="204"/>
              </w:numPr>
              <w:spacing w:line="276" w:lineRule="auto"/>
              <w:ind w:left="355" w:hanging="355"/>
              <w:contextualSpacing/>
              <w:jc w:val="both"/>
              <w:rPr>
                <w:szCs w:val="24"/>
              </w:rPr>
            </w:pPr>
            <w:r w:rsidRPr="001F0197">
              <w:rPr>
                <w:szCs w:val="24"/>
              </w:rPr>
              <w:t xml:space="preserve">dane pomiarowe w trybie korekt, o których mowa w pkt. A.8.2.9., za miesiąc </w:t>
            </w:r>
            <w:r w:rsidRPr="001F0197">
              <w:rPr>
                <w:i/>
                <w:szCs w:val="24"/>
              </w:rPr>
              <w:t>m</w:t>
            </w:r>
            <w:r w:rsidRPr="001F0197">
              <w:rPr>
                <w:szCs w:val="24"/>
              </w:rPr>
              <w:t xml:space="preserve">, w terminie od 1 do 2 dnia odpowiednio miesiąca </w:t>
            </w:r>
            <w:r w:rsidRPr="001F0197">
              <w:rPr>
                <w:i/>
                <w:szCs w:val="24"/>
              </w:rPr>
              <w:t>m+2</w:t>
            </w:r>
            <w:r w:rsidRPr="001F0197">
              <w:rPr>
                <w:szCs w:val="24"/>
              </w:rPr>
              <w:t xml:space="preserve"> lub </w:t>
            </w:r>
            <w:r w:rsidRPr="001F0197">
              <w:rPr>
                <w:i/>
                <w:szCs w:val="24"/>
              </w:rPr>
              <w:t>m+4</w:t>
            </w:r>
            <w:r w:rsidRPr="001F0197">
              <w:rPr>
                <w:szCs w:val="24"/>
              </w:rPr>
              <w:t>.</w:t>
            </w:r>
          </w:p>
          <w:p w14:paraId="6A848467" w14:textId="77777777" w:rsidR="00E70AF6" w:rsidRPr="001F0197" w:rsidRDefault="00E70AF6" w:rsidP="00043801">
            <w:pPr>
              <w:spacing w:line="276" w:lineRule="auto"/>
              <w:jc w:val="both"/>
              <w:rPr>
                <w:strike/>
              </w:rPr>
            </w:pPr>
            <w:r w:rsidRPr="001F0197">
              <w:t>OSDn przekazuje do OSDp godzinowe dane pomiarowe w formie elektronicznej poprzez wskazany przez OSDp dedykowany serwer. Dane te są przekazywane wraz ze statusami (0 - dana poprawna, 1 - dana niepoprawna) dla każdego PPE, dla ilości energii elektrycznej oddzielnie dla pobranej/oddanej z/do sieci elektroenergetycznej, z dokładnością do 1 kWh.</w:t>
            </w:r>
          </w:p>
          <w:p w14:paraId="78D84C64" w14:textId="77777777" w:rsidR="00E70AF6" w:rsidRPr="001F0197" w:rsidRDefault="00E70AF6" w:rsidP="00043801">
            <w:pPr>
              <w:spacing w:line="276" w:lineRule="auto"/>
              <w:jc w:val="both"/>
            </w:pPr>
            <w:r w:rsidRPr="001F0197">
              <w:lastRenderedPageBreak/>
              <w:t xml:space="preserve">Wymiana informacji i komunikatów pomiędzy OSDn i OSDp dotyczących powyższych danych pomiarowych odbywa się wyłącznie w formie elektronicznej na adresy poczty elektronicznej/serwery określone w umowie, o której mowa </w:t>
            </w:r>
            <w:r w:rsidRPr="001F0197">
              <w:br/>
              <w:t>w pkt. A.4.1.</w:t>
            </w:r>
          </w:p>
        </w:tc>
      </w:tr>
      <w:tr w:rsidR="00E70AF6" w:rsidRPr="00B96317" w14:paraId="7DADD01D" w14:textId="77777777" w:rsidTr="00431378">
        <w:tc>
          <w:tcPr>
            <w:tcW w:w="1063" w:type="dxa"/>
            <w:shd w:val="clear" w:color="auto" w:fill="auto"/>
          </w:tcPr>
          <w:p w14:paraId="5EA3ED9B" w14:textId="77777777" w:rsidR="00E70AF6" w:rsidRPr="00896452" w:rsidRDefault="00E70AF6">
            <w:pPr>
              <w:numPr>
                <w:ilvl w:val="0"/>
                <w:numId w:val="206"/>
              </w:numPr>
              <w:spacing w:line="276" w:lineRule="auto"/>
              <w:ind w:left="0" w:firstLine="0"/>
            </w:pPr>
          </w:p>
        </w:tc>
        <w:tc>
          <w:tcPr>
            <w:tcW w:w="8147" w:type="dxa"/>
            <w:shd w:val="clear" w:color="auto" w:fill="auto"/>
          </w:tcPr>
          <w:p w14:paraId="51DF46D9" w14:textId="77777777" w:rsidR="00E70AF6" w:rsidRPr="001F0197" w:rsidRDefault="00E70AF6" w:rsidP="00043801">
            <w:pPr>
              <w:spacing w:line="276" w:lineRule="auto"/>
              <w:jc w:val="both"/>
            </w:pPr>
            <w:r w:rsidRPr="001F0197">
              <w:t xml:space="preserve">OSDp przekazuje do OSP godzinowe dane pomiarowe poprzez system WIRE. Dane te są przekazywane wraz ze statusami (0 - dana poprawna, </w:t>
            </w:r>
            <w:r w:rsidRPr="001F0197">
              <w:br/>
              <w:t>1 - dana niepoprawna) dla każdego PPE, dla ilości energii elektrycznej oddzielnie dla pobranej/oddanej z/do sieci elektroenergetycznej, z dokładnością do 1 kWh.</w:t>
            </w:r>
          </w:p>
        </w:tc>
      </w:tr>
      <w:tr w:rsidR="00E70AF6" w:rsidRPr="00E169CC" w14:paraId="6BF30449" w14:textId="77777777" w:rsidTr="00431378">
        <w:tc>
          <w:tcPr>
            <w:tcW w:w="1063" w:type="dxa"/>
            <w:shd w:val="clear" w:color="auto" w:fill="auto"/>
          </w:tcPr>
          <w:p w14:paraId="1015EE36" w14:textId="77777777" w:rsidR="00E70AF6" w:rsidRPr="00896452" w:rsidRDefault="00E70AF6">
            <w:pPr>
              <w:numPr>
                <w:ilvl w:val="0"/>
                <w:numId w:val="206"/>
              </w:numPr>
              <w:spacing w:line="276" w:lineRule="auto"/>
              <w:ind w:left="0" w:firstLine="0"/>
            </w:pPr>
          </w:p>
        </w:tc>
        <w:tc>
          <w:tcPr>
            <w:tcW w:w="8147" w:type="dxa"/>
            <w:shd w:val="clear" w:color="auto" w:fill="auto"/>
          </w:tcPr>
          <w:p w14:paraId="346042E4" w14:textId="77777777" w:rsidR="00E70AF6" w:rsidRPr="00E169CC" w:rsidRDefault="00E70AF6" w:rsidP="00043801">
            <w:pPr>
              <w:spacing w:line="276" w:lineRule="auto"/>
              <w:jc w:val="both"/>
            </w:pPr>
            <w:r w:rsidRPr="00E169CC">
              <w:t>Dane godzinowe dla doby n są przekazywane przez OSDp</w:t>
            </w:r>
            <w:r>
              <w:t xml:space="preserve"> </w:t>
            </w:r>
            <w:r w:rsidRPr="00E169CC">
              <w:t>do OSP w trybie wstępnym od doby n+1 do doby n+4.</w:t>
            </w:r>
          </w:p>
        </w:tc>
      </w:tr>
      <w:tr w:rsidR="00E70AF6" w:rsidRPr="00E169CC" w14:paraId="7CD3377F" w14:textId="77777777" w:rsidTr="0082792F">
        <w:tc>
          <w:tcPr>
            <w:tcW w:w="1063" w:type="dxa"/>
            <w:shd w:val="clear" w:color="auto" w:fill="auto"/>
          </w:tcPr>
          <w:p w14:paraId="64F84E17" w14:textId="77777777" w:rsidR="00E70AF6" w:rsidRPr="00896452" w:rsidRDefault="00E70AF6">
            <w:pPr>
              <w:numPr>
                <w:ilvl w:val="0"/>
                <w:numId w:val="206"/>
              </w:numPr>
              <w:spacing w:line="276" w:lineRule="auto"/>
              <w:ind w:left="0" w:firstLine="0"/>
            </w:pPr>
          </w:p>
        </w:tc>
        <w:tc>
          <w:tcPr>
            <w:tcW w:w="8147" w:type="dxa"/>
            <w:shd w:val="clear" w:color="auto" w:fill="auto"/>
          </w:tcPr>
          <w:p w14:paraId="24D8C603" w14:textId="77777777" w:rsidR="00E70AF6" w:rsidRPr="00896452" w:rsidRDefault="00E70AF6" w:rsidP="00043801">
            <w:pPr>
              <w:spacing w:line="276" w:lineRule="auto"/>
              <w:jc w:val="both"/>
            </w:pPr>
            <w:r w:rsidRPr="00896452">
              <w:t xml:space="preserve">Do 5 dnia po zakończeniu miesiąca m, OSDp dokonuje ponownej weryfikacji przekazanych do OSP danych pomiarowych ORed przyłączonych </w:t>
            </w:r>
            <w:r w:rsidRPr="00896452">
              <w:br/>
              <w:t xml:space="preserve">do sieci OSDp i w razie konieczności przekazuje zweryfikowaną wersję tych danych w trybie podstawowym </w:t>
            </w:r>
            <w:r w:rsidRPr="00896452">
              <w:rPr>
                <w:i/>
              </w:rPr>
              <w:t>m+1</w:t>
            </w:r>
            <w:r w:rsidRPr="00896452">
              <w:t>. Weryfikacji danych pomiarowych ORed przyłączonych do sieci OSDn dokonuje OSDn i w razie konieczności przekazuje je do OSDp zgodnie z pkt</w:t>
            </w:r>
            <w:r>
              <w:t xml:space="preserve">. </w:t>
            </w:r>
            <w:r w:rsidRPr="00896452">
              <w:t>A.</w:t>
            </w:r>
            <w:r w:rsidR="00435883">
              <w:t>10</w:t>
            </w:r>
            <w:r w:rsidRPr="00896452">
              <w:t xml:space="preserve">.2.5. </w:t>
            </w:r>
          </w:p>
          <w:p w14:paraId="2B312C05" w14:textId="77777777" w:rsidR="00E70AF6" w:rsidRPr="00896452" w:rsidRDefault="00E70AF6" w:rsidP="00043801">
            <w:pPr>
              <w:spacing w:line="276" w:lineRule="auto"/>
              <w:jc w:val="both"/>
            </w:pPr>
            <w:r w:rsidRPr="00896452">
              <w:t xml:space="preserve">Dane pomiarowe są przekazywane przez OSDp do OSP za miesiąc </w:t>
            </w:r>
            <w:r w:rsidRPr="00896452">
              <w:rPr>
                <w:i/>
              </w:rPr>
              <w:t>m</w:t>
            </w:r>
            <w:r w:rsidRPr="00896452">
              <w:t xml:space="preserve"> od 1 do 5 dnia miesiąca </w:t>
            </w:r>
            <w:r w:rsidRPr="00896452">
              <w:rPr>
                <w:i/>
              </w:rPr>
              <w:t>m+1</w:t>
            </w:r>
            <w:r w:rsidRPr="00896452">
              <w:t xml:space="preserve">. W przypadku stwierdzenia nieprawidłowości lub braku danych godzinowych, OSP inicjuje proces pozyskiwania danych w 5 dniu miesiąca </w:t>
            </w:r>
            <w:r w:rsidRPr="00896452">
              <w:rPr>
                <w:i/>
              </w:rPr>
              <w:t>m+1</w:t>
            </w:r>
            <w:r w:rsidRPr="00896452">
              <w:t xml:space="preserve"> poprzez wysłanie zapytania do OSDp o dane pomiarowe dla wskazanych PPE. W odpowiedzi na wysłane zapytanie, OSDp przekazuje wymagane dane pomiarowe tego samego dnia lub w dniu następnym. W przypadku nie przesłania danych przez OSDp w trybie podstawowym </w:t>
            </w:r>
            <w:r w:rsidRPr="00896452">
              <w:rPr>
                <w:i/>
              </w:rPr>
              <w:t>m+1</w:t>
            </w:r>
            <w:r w:rsidRPr="00896452">
              <w:t>, OSP do rozliczeń przyjmuje dane, o których mowa w pkt</w:t>
            </w:r>
            <w:r>
              <w:t>.</w:t>
            </w:r>
            <w:r w:rsidRPr="00896452">
              <w:t xml:space="preserve"> A.</w:t>
            </w:r>
            <w:r w:rsidR="00435883">
              <w:t>10</w:t>
            </w:r>
            <w:r w:rsidRPr="00896452">
              <w:t>.2.7.</w:t>
            </w:r>
          </w:p>
          <w:p w14:paraId="187287DF" w14:textId="77777777" w:rsidR="00E70AF6" w:rsidRPr="00E169CC" w:rsidRDefault="00E70AF6" w:rsidP="00043801">
            <w:pPr>
              <w:spacing w:line="276" w:lineRule="auto"/>
              <w:jc w:val="both"/>
            </w:pPr>
            <w:r w:rsidRPr="00E169CC">
              <w:t>W trybie podstawowym m+1 wszystkie dane pomiarowe przekazywane przez OSDp do OSP jako zweryfikowane pod względem kompletności i poprawności, muszą posiadać status danych poprawnych.</w:t>
            </w:r>
          </w:p>
        </w:tc>
      </w:tr>
      <w:tr w:rsidR="00E70AF6" w:rsidRPr="00E169CC" w14:paraId="5546596F" w14:textId="77777777" w:rsidTr="0082792F">
        <w:tc>
          <w:tcPr>
            <w:tcW w:w="1063" w:type="dxa"/>
            <w:shd w:val="clear" w:color="auto" w:fill="auto"/>
          </w:tcPr>
          <w:p w14:paraId="4E04F9E6" w14:textId="77777777" w:rsidR="00E70AF6" w:rsidRPr="00896452" w:rsidRDefault="00E70AF6">
            <w:pPr>
              <w:numPr>
                <w:ilvl w:val="0"/>
                <w:numId w:val="206"/>
              </w:numPr>
              <w:spacing w:line="276" w:lineRule="auto"/>
              <w:ind w:left="0" w:firstLine="0"/>
            </w:pPr>
          </w:p>
        </w:tc>
        <w:tc>
          <w:tcPr>
            <w:tcW w:w="8147" w:type="dxa"/>
            <w:shd w:val="clear" w:color="auto" w:fill="auto"/>
          </w:tcPr>
          <w:p w14:paraId="2FF3C2A6" w14:textId="77777777" w:rsidR="00E70AF6" w:rsidRPr="00896452" w:rsidRDefault="00E70AF6" w:rsidP="00043801">
            <w:pPr>
              <w:spacing w:line="276" w:lineRule="auto"/>
              <w:jc w:val="both"/>
            </w:pPr>
            <w:r w:rsidRPr="00896452">
              <w:t>Dopuszcza się możliwość korygowania przekazanych przez OSDp do OSP danych pomiarowych.</w:t>
            </w:r>
          </w:p>
          <w:p w14:paraId="357F28D5" w14:textId="77777777" w:rsidR="00E70AF6" w:rsidRPr="00896452" w:rsidRDefault="00E70AF6" w:rsidP="00043801">
            <w:pPr>
              <w:spacing w:line="276" w:lineRule="auto"/>
              <w:jc w:val="both"/>
            </w:pPr>
            <w:r w:rsidRPr="00896452">
              <w:t xml:space="preserve">Okresem korygowania jest miesiąc </w:t>
            </w:r>
            <w:r w:rsidRPr="00896452">
              <w:rPr>
                <w:i/>
                <w:iCs/>
              </w:rPr>
              <w:t>m+2</w:t>
            </w:r>
            <w:r w:rsidRPr="00896452">
              <w:t xml:space="preserve"> i </w:t>
            </w:r>
            <w:r w:rsidRPr="00896452">
              <w:rPr>
                <w:i/>
                <w:iCs/>
              </w:rPr>
              <w:t>m+4</w:t>
            </w:r>
            <w:r w:rsidRPr="00896452">
              <w:t xml:space="preserve"> (tryb korekt). Dane </w:t>
            </w:r>
            <w:r w:rsidRPr="00896452">
              <w:br/>
              <w:t xml:space="preserve">są przekazywane za miesiąc </w:t>
            </w:r>
            <w:r w:rsidRPr="00896452">
              <w:rPr>
                <w:i/>
                <w:iCs/>
              </w:rPr>
              <w:t>m</w:t>
            </w:r>
            <w:r w:rsidRPr="00896452">
              <w:t xml:space="preserve"> od 1 do 5 dnia miesiąca </w:t>
            </w:r>
            <w:r w:rsidRPr="00896452">
              <w:rPr>
                <w:i/>
                <w:iCs/>
              </w:rPr>
              <w:t>m+2</w:t>
            </w:r>
            <w:r w:rsidRPr="00896452">
              <w:t xml:space="preserve"> i </w:t>
            </w:r>
            <w:r w:rsidRPr="00896452">
              <w:rPr>
                <w:i/>
                <w:iCs/>
              </w:rPr>
              <w:t>m+4.</w:t>
            </w:r>
            <w:r w:rsidRPr="00896452">
              <w:t xml:space="preserve"> W przypadku stwierdzenia nieprawidłowości lub braku danych godzinowych, OSP inicjuje proces pozyskiwania danych 5 dnia miesiąca </w:t>
            </w:r>
            <w:r w:rsidRPr="00896452">
              <w:rPr>
                <w:i/>
              </w:rPr>
              <w:t>m+2</w:t>
            </w:r>
            <w:r w:rsidRPr="00896452">
              <w:t xml:space="preserve"> i </w:t>
            </w:r>
            <w:r w:rsidRPr="00896452">
              <w:rPr>
                <w:i/>
              </w:rPr>
              <w:t>m+4</w:t>
            </w:r>
            <w:r w:rsidRPr="00896452">
              <w:t xml:space="preserve"> poprzez wysłanie </w:t>
            </w:r>
            <w:r w:rsidRPr="00896452">
              <w:br/>
              <w:t xml:space="preserve">do OSDp zapytania o dane godzinowe dla wskazanych PPE. </w:t>
            </w:r>
            <w:r w:rsidRPr="00896452">
              <w:br/>
              <w:t>W odpowiedzi na wysłane zapytanie OSDp przekazuje dane pomiarowe tego samego dnia lub dnia następnego.</w:t>
            </w:r>
          </w:p>
          <w:p w14:paraId="6A4E34A4" w14:textId="4B751360" w:rsidR="00E70AF6" w:rsidRPr="00E169CC" w:rsidRDefault="007F10FF" w:rsidP="00043801">
            <w:pPr>
              <w:spacing w:line="276" w:lineRule="auto"/>
              <w:jc w:val="both"/>
            </w:pPr>
            <w:r w:rsidRPr="00850EC5">
              <w:rPr>
                <w:rFonts w:cs="Times New Roman"/>
                <w:color w:val="000000"/>
                <w:szCs w:val="24"/>
              </w:rPr>
              <w:t xml:space="preserve">Poza powyższym okresem, korekty dokonywane są na wniosek podmiotu realizującego usługę </w:t>
            </w:r>
            <w:r w:rsidR="00645AE5">
              <w:rPr>
                <w:rFonts w:cs="Times New Roman"/>
                <w:color w:val="000000"/>
                <w:szCs w:val="24"/>
              </w:rPr>
              <w:t>interwencyjnej ofertowej redukcji poboru mocy przez odbiorców n</w:t>
            </w:r>
            <w:r w:rsidRPr="00850EC5">
              <w:rPr>
                <w:rFonts w:cs="Times New Roman"/>
                <w:color w:val="000000"/>
                <w:szCs w:val="24"/>
              </w:rPr>
              <w:t xml:space="preserve">a polecenie OSP, w trybie postępowania reklamacyjnego, zgodnie </w:t>
            </w:r>
            <w:r w:rsidR="004E6BA1">
              <w:rPr>
                <w:rFonts w:cs="Times New Roman"/>
                <w:color w:val="000000"/>
                <w:szCs w:val="24"/>
              </w:rPr>
              <w:br/>
            </w:r>
            <w:r w:rsidRPr="00850EC5">
              <w:rPr>
                <w:rFonts w:cs="Times New Roman"/>
                <w:color w:val="000000"/>
                <w:szCs w:val="24"/>
              </w:rPr>
              <w:t>z WDB.</w:t>
            </w:r>
          </w:p>
        </w:tc>
      </w:tr>
      <w:tr w:rsidR="00E70AF6" w:rsidRPr="00E169CC" w14:paraId="3998D889" w14:textId="77777777" w:rsidTr="0082792F">
        <w:tc>
          <w:tcPr>
            <w:tcW w:w="1063" w:type="dxa"/>
            <w:shd w:val="clear" w:color="auto" w:fill="auto"/>
          </w:tcPr>
          <w:p w14:paraId="06E1D9B5" w14:textId="77777777" w:rsidR="00E70AF6" w:rsidRPr="00896452" w:rsidRDefault="00E70AF6">
            <w:pPr>
              <w:numPr>
                <w:ilvl w:val="0"/>
                <w:numId w:val="206"/>
              </w:numPr>
              <w:spacing w:line="276" w:lineRule="auto"/>
              <w:ind w:left="0" w:firstLine="0"/>
            </w:pPr>
          </w:p>
        </w:tc>
        <w:tc>
          <w:tcPr>
            <w:tcW w:w="8147" w:type="dxa"/>
            <w:shd w:val="clear" w:color="auto" w:fill="auto"/>
          </w:tcPr>
          <w:p w14:paraId="3AA55157" w14:textId="77777777" w:rsidR="0084038B" w:rsidRDefault="00E70AF6" w:rsidP="00AB09DA">
            <w:pPr>
              <w:spacing w:line="276" w:lineRule="auto"/>
              <w:jc w:val="both"/>
            </w:pPr>
            <w:r w:rsidRPr="00E169CC">
              <w:t xml:space="preserve">Dane pomiarowe dotyczące ORed są udostępniane podmiotowi świadczącemu usługę </w:t>
            </w:r>
            <w:r w:rsidR="005466B0">
              <w:rPr>
                <w:rFonts w:cs="Times New Roman"/>
                <w:color w:val="000000"/>
                <w:szCs w:val="24"/>
              </w:rPr>
              <w:t>interwencyjnej ofertowej redukcji poboru mocy przez odbiorców</w:t>
            </w:r>
            <w:r w:rsidR="005466B0" w:rsidRPr="00E169CC">
              <w:t xml:space="preserve"> </w:t>
            </w:r>
            <w:r w:rsidRPr="00E169CC">
              <w:t>na polecenie OSP wyłącznie przez OSP</w:t>
            </w:r>
            <w:r w:rsidR="00253B87">
              <w:t>.</w:t>
            </w:r>
          </w:p>
          <w:p w14:paraId="2285F1C6" w14:textId="77777777" w:rsidR="0082792F" w:rsidRDefault="0082792F" w:rsidP="00AB09DA">
            <w:pPr>
              <w:spacing w:line="276" w:lineRule="auto"/>
              <w:jc w:val="both"/>
            </w:pPr>
          </w:p>
          <w:p w14:paraId="703EF062" w14:textId="2A3A8826" w:rsidR="0082792F" w:rsidRPr="00E169CC" w:rsidRDefault="0082792F" w:rsidP="00AB09DA">
            <w:pPr>
              <w:spacing w:line="276" w:lineRule="auto"/>
              <w:jc w:val="both"/>
            </w:pPr>
          </w:p>
        </w:tc>
      </w:tr>
    </w:tbl>
    <w:p w14:paraId="37B7E034" w14:textId="32FEEB2B" w:rsidR="00D07ED6" w:rsidRDefault="00D07ED6" w:rsidP="00D07ED6">
      <w:pPr>
        <w:pStyle w:val="Nagwek1"/>
        <w:tabs>
          <w:tab w:val="left" w:pos="567"/>
        </w:tabs>
        <w:spacing w:before="120"/>
        <w:ind w:left="567" w:hanging="567"/>
        <w:rPr>
          <w:sz w:val="28"/>
          <w:szCs w:val="28"/>
        </w:rPr>
      </w:pPr>
      <w:bookmarkStart w:id="89" w:name="_Toc532193589"/>
      <w:bookmarkStart w:id="90" w:name="_Toc141963918"/>
      <w:r w:rsidRPr="002B5135">
        <w:rPr>
          <w:sz w:val="28"/>
          <w:szCs w:val="28"/>
        </w:rPr>
        <w:lastRenderedPageBreak/>
        <w:t>B.</w:t>
      </w:r>
      <w:r w:rsidRPr="002B5135">
        <w:rPr>
          <w:sz w:val="28"/>
          <w:szCs w:val="28"/>
        </w:rPr>
        <w:tab/>
        <w:t>ZASADY ZAWIERANIA UMÓW DYSTRYBUCJI Z URD</w:t>
      </w:r>
      <w:bookmarkEnd w:id="89"/>
      <w:bookmarkEnd w:id="90"/>
    </w:p>
    <w:p w14:paraId="2420FBF7" w14:textId="77777777" w:rsidR="00C07EB1" w:rsidRPr="00C07EB1" w:rsidRDefault="00C07EB1" w:rsidP="00C07EB1"/>
    <w:tbl>
      <w:tblPr>
        <w:tblW w:w="9210" w:type="dxa"/>
        <w:tblLayout w:type="fixed"/>
        <w:tblCellMar>
          <w:left w:w="70" w:type="dxa"/>
          <w:right w:w="70" w:type="dxa"/>
        </w:tblCellMar>
        <w:tblLook w:val="0000" w:firstRow="0" w:lastRow="0" w:firstColumn="0" w:lastColumn="0" w:noHBand="0" w:noVBand="0"/>
      </w:tblPr>
      <w:tblGrid>
        <w:gridCol w:w="1063"/>
        <w:gridCol w:w="8147"/>
      </w:tblGrid>
      <w:tr w:rsidR="00D07ED6" w:rsidRPr="002B5135" w14:paraId="7EC4C386" w14:textId="77777777" w:rsidTr="00C07EB1">
        <w:trPr>
          <w:trHeight w:val="864"/>
        </w:trPr>
        <w:tc>
          <w:tcPr>
            <w:tcW w:w="1063" w:type="dxa"/>
            <w:shd w:val="clear" w:color="auto" w:fill="auto"/>
          </w:tcPr>
          <w:p w14:paraId="206EFABD" w14:textId="77777777" w:rsidR="00D07ED6" w:rsidRPr="00581DD7" w:rsidRDefault="00D07ED6" w:rsidP="00C07EB1">
            <w:pPr>
              <w:rPr>
                <w:highlight w:val="yellow"/>
              </w:rPr>
            </w:pPr>
            <w:bookmarkStart w:id="91" w:name="_Toc459192674"/>
            <w:bookmarkStart w:id="92" w:name="_Toc481136150"/>
            <w:r w:rsidRPr="002318B6">
              <w:t>B.1.</w:t>
            </w:r>
            <w:bookmarkEnd w:id="91"/>
            <w:bookmarkEnd w:id="92"/>
          </w:p>
        </w:tc>
        <w:tc>
          <w:tcPr>
            <w:tcW w:w="8147" w:type="dxa"/>
            <w:shd w:val="clear" w:color="auto" w:fill="auto"/>
          </w:tcPr>
          <w:p w14:paraId="5C95ED7D" w14:textId="68681E45" w:rsidR="00D07ED6" w:rsidRPr="00581DD7" w:rsidRDefault="00D07ED6" w:rsidP="00C07EB1">
            <w:pPr>
              <w:pStyle w:val="Default"/>
              <w:jc w:val="both"/>
              <w:rPr>
                <w:color w:val="auto"/>
                <w:highlight w:val="yellow"/>
              </w:rPr>
            </w:pPr>
            <w:r w:rsidRPr="002318B6">
              <w:t>Umowa dystrybucji zawierana jest na wniosek URD</w:t>
            </w:r>
            <w:r w:rsidRPr="002318B6">
              <w:rPr>
                <w:vertAlign w:val="subscript"/>
              </w:rPr>
              <w:t>O</w:t>
            </w:r>
            <w:r w:rsidR="008E5F64">
              <w:t>, URD</w:t>
            </w:r>
            <w:r w:rsidR="008E5F64" w:rsidRPr="008E5F64">
              <w:rPr>
                <w:vertAlign w:val="subscript"/>
              </w:rPr>
              <w:t>W</w:t>
            </w:r>
            <w:r w:rsidR="008E5F64">
              <w:t xml:space="preserve"> oraz URD</w:t>
            </w:r>
            <w:r w:rsidR="008E5F64" w:rsidRPr="008E5F64">
              <w:rPr>
                <w:vertAlign w:val="subscript"/>
              </w:rPr>
              <w:t>ME</w:t>
            </w:r>
            <w:r w:rsidRPr="002318B6">
              <w:t xml:space="preserve"> lub podmiotu przyłączanego do sieci </w:t>
            </w:r>
            <w:r>
              <w:t>OSDn</w:t>
            </w:r>
            <w:r w:rsidRPr="002318B6">
              <w:t xml:space="preserve">. Wzór wniosku jest przygotowywany przez </w:t>
            </w:r>
            <w:r>
              <w:t>OSDn</w:t>
            </w:r>
            <w:r w:rsidRPr="002318B6">
              <w:t xml:space="preserve"> i opublikowany na stronie internetowej </w:t>
            </w:r>
            <w:r>
              <w:t>OSDn lub w siedzibie OSDn</w:t>
            </w:r>
            <w:r w:rsidRPr="002318B6">
              <w:t>.</w:t>
            </w:r>
          </w:p>
        </w:tc>
      </w:tr>
      <w:tr w:rsidR="00D07ED6" w:rsidRPr="002B5135" w14:paraId="26595A88" w14:textId="77777777" w:rsidTr="00C07EB1">
        <w:tc>
          <w:tcPr>
            <w:tcW w:w="1063" w:type="dxa"/>
            <w:shd w:val="clear" w:color="auto" w:fill="auto"/>
          </w:tcPr>
          <w:p w14:paraId="5D8DFA31" w14:textId="77777777" w:rsidR="00D07ED6" w:rsidRPr="00581DD7" w:rsidRDefault="00D07ED6" w:rsidP="00C07EB1">
            <w:pPr>
              <w:rPr>
                <w:highlight w:val="yellow"/>
              </w:rPr>
            </w:pPr>
            <w:bookmarkStart w:id="93" w:name="_Toc459192675"/>
            <w:bookmarkStart w:id="94" w:name="_Toc481136151"/>
            <w:r w:rsidRPr="002318B6">
              <w:t>B.2.</w:t>
            </w:r>
            <w:bookmarkEnd w:id="93"/>
            <w:bookmarkEnd w:id="94"/>
          </w:p>
        </w:tc>
        <w:tc>
          <w:tcPr>
            <w:tcW w:w="8147" w:type="dxa"/>
            <w:shd w:val="clear" w:color="auto" w:fill="auto"/>
          </w:tcPr>
          <w:p w14:paraId="2AC41639" w14:textId="77777777" w:rsidR="00D07ED6" w:rsidRPr="00581DD7" w:rsidRDefault="00D07ED6" w:rsidP="00C07EB1">
            <w:pPr>
              <w:widowControl w:val="0"/>
              <w:shd w:val="clear" w:color="auto" w:fill="FFFFFF"/>
              <w:autoSpaceDE w:val="0"/>
              <w:autoSpaceDN w:val="0"/>
              <w:adjustRightInd w:val="0"/>
              <w:ind w:right="10"/>
            </w:pPr>
            <w:r>
              <w:t>OSDn</w:t>
            </w:r>
            <w:r w:rsidRPr="00581DD7">
              <w:t xml:space="preserve"> </w:t>
            </w:r>
            <w:r w:rsidRPr="00581DD7">
              <w:rPr>
                <w:w w:val="102"/>
              </w:rPr>
              <w:t>w terminie:</w:t>
            </w:r>
          </w:p>
          <w:p w14:paraId="3F955C2D" w14:textId="77777777" w:rsidR="00D07ED6" w:rsidRPr="00581DD7" w:rsidRDefault="00D07ED6">
            <w:pPr>
              <w:widowControl w:val="0"/>
              <w:numPr>
                <w:ilvl w:val="0"/>
                <w:numId w:val="201"/>
              </w:numPr>
              <w:shd w:val="clear" w:color="auto" w:fill="FFFFFF"/>
              <w:autoSpaceDE w:val="0"/>
              <w:autoSpaceDN w:val="0"/>
              <w:adjustRightInd w:val="0"/>
              <w:ind w:right="10"/>
              <w:jc w:val="both"/>
            </w:pPr>
            <w:r w:rsidRPr="00581DD7">
              <w:rPr>
                <w:w w:val="102"/>
              </w:rPr>
              <w:t xml:space="preserve">do 21 dni kalendarzowych od dnia złożenia wniosku o zawarcie umowy – dla </w:t>
            </w:r>
            <w:r w:rsidRPr="00581DD7">
              <w:t>URD</w:t>
            </w:r>
            <w:r w:rsidRPr="00581DD7">
              <w:rPr>
                <w:vertAlign w:val="subscript"/>
              </w:rPr>
              <w:t>O</w:t>
            </w:r>
            <w:r w:rsidR="00690E5D">
              <w:rPr>
                <w:vertAlign w:val="subscript"/>
              </w:rPr>
              <w:t xml:space="preserve"> </w:t>
            </w:r>
            <w:r w:rsidR="00690E5D">
              <w:t>innych niż w gospodarstwie domowym</w:t>
            </w:r>
            <w:r>
              <w:rPr>
                <w:w w:val="102"/>
              </w:rPr>
              <w:t>,</w:t>
            </w:r>
          </w:p>
          <w:p w14:paraId="5FFE1186" w14:textId="77777777" w:rsidR="00D07ED6" w:rsidRPr="00581DD7" w:rsidRDefault="00D07ED6" w:rsidP="00C07EB1">
            <w:pPr>
              <w:widowControl w:val="0"/>
              <w:shd w:val="clear" w:color="auto" w:fill="FFFFFF"/>
              <w:autoSpaceDE w:val="0"/>
              <w:autoSpaceDN w:val="0"/>
              <w:adjustRightInd w:val="0"/>
              <w:ind w:right="11"/>
              <w:rPr>
                <w:w w:val="102"/>
              </w:rPr>
            </w:pPr>
            <w:r w:rsidRPr="00581DD7">
              <w:rPr>
                <w:w w:val="102"/>
              </w:rPr>
              <w:t>wysyła:</w:t>
            </w:r>
          </w:p>
          <w:p w14:paraId="30F32017" w14:textId="77777777" w:rsidR="00D07ED6" w:rsidRPr="00581DD7" w:rsidRDefault="00D07ED6">
            <w:pPr>
              <w:widowControl w:val="0"/>
              <w:numPr>
                <w:ilvl w:val="0"/>
                <w:numId w:val="202"/>
              </w:numPr>
              <w:shd w:val="clear" w:color="auto" w:fill="FFFFFF"/>
              <w:autoSpaceDE w:val="0"/>
              <w:autoSpaceDN w:val="0"/>
              <w:adjustRightInd w:val="0"/>
              <w:ind w:right="11"/>
              <w:jc w:val="both"/>
            </w:pPr>
            <w:r w:rsidRPr="00581DD7">
              <w:t xml:space="preserve"> parafowaną umowę dystrybucji w formie papierowej, </w:t>
            </w:r>
            <w:r w:rsidRPr="00581DD7">
              <w:rPr>
                <w:szCs w:val="22"/>
              </w:rPr>
              <w:t>na adres wskazany przez URDo we wniosku o zawarcie umowy o świadczenie usług dystrybucji,</w:t>
            </w:r>
          </w:p>
          <w:p w14:paraId="7A22E719" w14:textId="77777777" w:rsidR="00D07ED6" w:rsidRPr="00581DD7" w:rsidRDefault="00D07ED6" w:rsidP="00C07EB1">
            <w:pPr>
              <w:widowControl w:val="0"/>
              <w:shd w:val="clear" w:color="auto" w:fill="FFFFFF"/>
              <w:autoSpaceDE w:val="0"/>
              <w:autoSpaceDN w:val="0"/>
              <w:adjustRightInd w:val="0"/>
              <w:ind w:left="720" w:right="11"/>
            </w:pPr>
            <w:r w:rsidRPr="00581DD7">
              <w:t>albo</w:t>
            </w:r>
          </w:p>
          <w:p w14:paraId="280894A2" w14:textId="77777777" w:rsidR="00D07ED6" w:rsidRPr="00581DD7" w:rsidRDefault="00D07ED6">
            <w:pPr>
              <w:widowControl w:val="0"/>
              <w:numPr>
                <w:ilvl w:val="0"/>
                <w:numId w:val="202"/>
              </w:numPr>
              <w:shd w:val="clear" w:color="auto" w:fill="FFFFFF"/>
              <w:autoSpaceDE w:val="0"/>
              <w:autoSpaceDN w:val="0"/>
              <w:adjustRightInd w:val="0"/>
              <w:ind w:right="11"/>
              <w:jc w:val="both"/>
            </w:pPr>
            <w:r w:rsidRPr="00581DD7">
              <w:t xml:space="preserve">umowę dystrybucji w formie elektronicznej </w:t>
            </w:r>
            <w:r w:rsidRPr="00581DD7">
              <w:rPr>
                <w:szCs w:val="22"/>
              </w:rPr>
              <w:t>na adres poczty elektronicznej wskazany przez URDo we wniosku o świadczenie usług dystrybucji</w:t>
            </w:r>
            <w:r w:rsidRPr="00581DD7">
              <w:t>.</w:t>
            </w:r>
          </w:p>
          <w:p w14:paraId="7C05BD32" w14:textId="77777777" w:rsidR="00D07ED6" w:rsidRDefault="00D07ED6" w:rsidP="00C07EB1">
            <w:pPr>
              <w:pStyle w:val="Default"/>
              <w:jc w:val="both"/>
              <w:rPr>
                <w:w w:val="102"/>
              </w:rPr>
            </w:pPr>
            <w:r w:rsidRPr="002318B6">
              <w:rPr>
                <w:w w:val="102"/>
              </w:rPr>
              <w:t xml:space="preserve">Podpisana jednostronnie przez </w:t>
            </w:r>
            <w:r w:rsidRPr="002318B6">
              <w:t>URD</w:t>
            </w:r>
            <w:r w:rsidRPr="002318B6">
              <w:rPr>
                <w:vertAlign w:val="subscript"/>
              </w:rPr>
              <w:t>O</w:t>
            </w:r>
            <w:r w:rsidRPr="002318B6">
              <w:rPr>
                <w:w w:val="102"/>
              </w:rPr>
              <w:t xml:space="preserve"> umowa o świadczenie usług dystrybucji, w treści wysłanej przez </w:t>
            </w:r>
            <w:r>
              <w:t>OSDn</w:t>
            </w:r>
            <w:r w:rsidRPr="002318B6">
              <w:t xml:space="preserve"> i uzgodnionej przez </w:t>
            </w:r>
            <w:r>
              <w:t>OSDn</w:t>
            </w:r>
            <w:r w:rsidRPr="002318B6">
              <w:t xml:space="preserve"> i URD</w:t>
            </w:r>
            <w:r w:rsidRPr="002318B6">
              <w:rPr>
                <w:vertAlign w:val="subscript"/>
              </w:rPr>
              <w:t>O</w:t>
            </w:r>
            <w:r w:rsidRPr="002318B6">
              <w:t xml:space="preserve">, </w:t>
            </w:r>
            <w:r w:rsidRPr="002318B6">
              <w:rPr>
                <w:w w:val="102"/>
              </w:rPr>
              <w:t xml:space="preserve">powinna być dostarczona do </w:t>
            </w:r>
            <w:r>
              <w:t>OSDn</w:t>
            </w:r>
            <w:r w:rsidRPr="002318B6">
              <w:t xml:space="preserve"> </w:t>
            </w:r>
            <w:r w:rsidRPr="002318B6">
              <w:rPr>
                <w:w w:val="102"/>
              </w:rPr>
              <w:t xml:space="preserve">nie później niż do dnia otrzymania przez </w:t>
            </w:r>
            <w:r>
              <w:rPr>
                <w:w w:val="102"/>
              </w:rPr>
              <w:t>OSDn</w:t>
            </w:r>
            <w:r w:rsidRPr="002318B6">
              <w:rPr>
                <w:w w:val="102"/>
              </w:rPr>
              <w:t xml:space="preserve"> powiadomienia, o którym mowa w pkt</w:t>
            </w:r>
            <w:r>
              <w:rPr>
                <w:w w:val="102"/>
              </w:rPr>
              <w:t>.</w:t>
            </w:r>
            <w:r w:rsidRPr="002318B6">
              <w:rPr>
                <w:w w:val="102"/>
              </w:rPr>
              <w:t xml:space="preserve"> </w:t>
            </w:r>
            <w:r w:rsidRPr="001F0197">
              <w:rPr>
                <w:w w:val="102"/>
              </w:rPr>
              <w:t>D.2.</w:t>
            </w:r>
            <w:r w:rsidR="001F0197">
              <w:rPr>
                <w:w w:val="102"/>
              </w:rPr>
              <w:t>1</w:t>
            </w:r>
            <w:r>
              <w:rPr>
                <w:w w:val="102"/>
              </w:rPr>
              <w:t>.</w:t>
            </w:r>
            <w:r w:rsidRPr="002318B6">
              <w:rPr>
                <w:w w:val="102"/>
              </w:rPr>
              <w:t>, z zastrzeżeniem pkt</w:t>
            </w:r>
            <w:r>
              <w:rPr>
                <w:w w:val="102"/>
              </w:rPr>
              <w:t>.</w:t>
            </w:r>
            <w:r w:rsidRPr="002318B6">
              <w:rPr>
                <w:w w:val="102"/>
              </w:rPr>
              <w:t xml:space="preserve"> B.7.</w:t>
            </w:r>
          </w:p>
          <w:p w14:paraId="6C3AC9B7" w14:textId="67EA67E4" w:rsidR="005707A5" w:rsidRPr="00581DD7" w:rsidRDefault="005707A5" w:rsidP="00C07EB1">
            <w:pPr>
              <w:pStyle w:val="Default"/>
              <w:jc w:val="both"/>
              <w:rPr>
                <w:color w:val="auto"/>
                <w:highlight w:val="yellow"/>
              </w:rPr>
            </w:pPr>
            <w:r w:rsidRPr="005707A5">
              <w:rPr>
                <w:color w:val="000000" w:themeColor="text1"/>
                <w:w w:val="105"/>
              </w:rPr>
              <w:t>W przypadku, gdy Prosument, Prosument zbiorowy lub Prosument wirtualny zawrze umowę</w:t>
            </w:r>
            <w:r w:rsidRPr="005707A5">
              <w:rPr>
                <w:color w:val="000000" w:themeColor="text1"/>
                <w:spacing w:val="-16"/>
                <w:w w:val="105"/>
              </w:rPr>
              <w:t xml:space="preserve"> </w:t>
            </w:r>
            <w:r w:rsidRPr="005707A5">
              <w:rPr>
                <w:color w:val="000000" w:themeColor="text1"/>
                <w:w w:val="105"/>
              </w:rPr>
              <w:t>sprzedaży</w:t>
            </w:r>
            <w:r w:rsidRPr="005707A5">
              <w:rPr>
                <w:color w:val="000000" w:themeColor="text1"/>
                <w:spacing w:val="-11"/>
                <w:w w:val="105"/>
              </w:rPr>
              <w:t xml:space="preserve"> </w:t>
            </w:r>
            <w:r w:rsidRPr="005707A5">
              <w:rPr>
                <w:color w:val="000000" w:themeColor="text1"/>
                <w:w w:val="105"/>
              </w:rPr>
              <w:t>ze</w:t>
            </w:r>
            <w:r w:rsidRPr="005707A5">
              <w:rPr>
                <w:color w:val="000000" w:themeColor="text1"/>
                <w:spacing w:val="-26"/>
                <w:w w:val="105"/>
              </w:rPr>
              <w:t xml:space="preserve"> </w:t>
            </w:r>
            <w:r w:rsidRPr="005707A5">
              <w:rPr>
                <w:color w:val="000000" w:themeColor="text1"/>
                <w:w w:val="105"/>
              </w:rPr>
              <w:t>sprzedawcą,</w:t>
            </w:r>
            <w:r w:rsidRPr="005707A5">
              <w:rPr>
                <w:color w:val="000000" w:themeColor="text1"/>
                <w:spacing w:val="-14"/>
                <w:w w:val="105"/>
              </w:rPr>
              <w:t xml:space="preserve"> </w:t>
            </w:r>
            <w:r w:rsidRPr="005707A5">
              <w:rPr>
                <w:color w:val="000000" w:themeColor="text1"/>
                <w:w w:val="105"/>
              </w:rPr>
              <w:t>o</w:t>
            </w:r>
            <w:r w:rsidRPr="005707A5">
              <w:rPr>
                <w:color w:val="000000" w:themeColor="text1"/>
                <w:spacing w:val="-25"/>
                <w:w w:val="105"/>
              </w:rPr>
              <w:t xml:space="preserve"> </w:t>
            </w:r>
            <w:r w:rsidRPr="005707A5">
              <w:rPr>
                <w:color w:val="000000" w:themeColor="text1"/>
                <w:w w:val="105"/>
              </w:rPr>
              <w:t>którym</w:t>
            </w:r>
            <w:r w:rsidRPr="005707A5">
              <w:rPr>
                <w:color w:val="000000" w:themeColor="text1"/>
                <w:spacing w:val="-8"/>
                <w:w w:val="105"/>
              </w:rPr>
              <w:t xml:space="preserve"> </w:t>
            </w:r>
            <w:r w:rsidRPr="005707A5">
              <w:rPr>
                <w:color w:val="000000" w:themeColor="text1"/>
                <w:w w:val="105"/>
              </w:rPr>
              <w:t>mowa</w:t>
            </w:r>
            <w:r w:rsidRPr="005707A5">
              <w:rPr>
                <w:color w:val="000000" w:themeColor="text1"/>
                <w:spacing w:val="-10"/>
                <w:w w:val="105"/>
              </w:rPr>
              <w:t xml:space="preserve"> </w:t>
            </w:r>
            <w:r w:rsidRPr="005707A5">
              <w:rPr>
                <w:color w:val="000000" w:themeColor="text1"/>
                <w:w w:val="105"/>
              </w:rPr>
              <w:t>w</w:t>
            </w:r>
            <w:r w:rsidRPr="005707A5">
              <w:rPr>
                <w:color w:val="000000" w:themeColor="text1"/>
                <w:spacing w:val="-23"/>
                <w:w w:val="105"/>
              </w:rPr>
              <w:t xml:space="preserve"> </w:t>
            </w:r>
            <w:r w:rsidRPr="005707A5">
              <w:rPr>
                <w:color w:val="000000" w:themeColor="text1"/>
                <w:w w:val="105"/>
              </w:rPr>
              <w:t>art.</w:t>
            </w:r>
            <w:r w:rsidRPr="005707A5">
              <w:rPr>
                <w:color w:val="000000" w:themeColor="text1"/>
                <w:spacing w:val="-25"/>
                <w:w w:val="105"/>
              </w:rPr>
              <w:t xml:space="preserve"> </w:t>
            </w:r>
            <w:r w:rsidRPr="005707A5">
              <w:rPr>
                <w:color w:val="000000" w:themeColor="text1"/>
                <w:w w:val="105"/>
              </w:rPr>
              <w:t>40</w:t>
            </w:r>
            <w:r w:rsidRPr="005707A5">
              <w:rPr>
                <w:color w:val="000000" w:themeColor="text1"/>
                <w:spacing w:val="-19"/>
                <w:w w:val="105"/>
              </w:rPr>
              <w:t xml:space="preserve"> </w:t>
            </w:r>
            <w:r w:rsidRPr="005707A5">
              <w:rPr>
                <w:color w:val="000000" w:themeColor="text1"/>
                <w:w w:val="105"/>
              </w:rPr>
              <w:t>ust.</w:t>
            </w:r>
            <w:r w:rsidRPr="005707A5">
              <w:rPr>
                <w:color w:val="000000" w:themeColor="text1"/>
                <w:spacing w:val="-5"/>
                <w:w w:val="105"/>
              </w:rPr>
              <w:t xml:space="preserve"> </w:t>
            </w:r>
            <w:r w:rsidRPr="005707A5">
              <w:rPr>
                <w:color w:val="000000" w:themeColor="text1"/>
                <w:w w:val="105"/>
              </w:rPr>
              <w:t>la</w:t>
            </w:r>
            <w:r w:rsidRPr="005707A5">
              <w:rPr>
                <w:color w:val="000000" w:themeColor="text1"/>
                <w:spacing w:val="2"/>
                <w:w w:val="105"/>
              </w:rPr>
              <w:t xml:space="preserve"> </w:t>
            </w:r>
            <w:r w:rsidRPr="005707A5">
              <w:rPr>
                <w:color w:val="000000" w:themeColor="text1"/>
                <w:w w:val="105"/>
              </w:rPr>
              <w:t>Ustawy</w:t>
            </w:r>
            <w:r w:rsidRPr="005707A5">
              <w:rPr>
                <w:color w:val="000000" w:themeColor="text1"/>
                <w:spacing w:val="-12"/>
                <w:w w:val="105"/>
              </w:rPr>
              <w:t xml:space="preserve"> </w:t>
            </w:r>
            <w:r w:rsidRPr="005707A5">
              <w:rPr>
                <w:color w:val="000000" w:themeColor="text1"/>
                <w:w w:val="105"/>
              </w:rPr>
              <w:t>OZE,</w:t>
            </w:r>
            <w:r w:rsidRPr="005707A5">
              <w:rPr>
                <w:color w:val="000000" w:themeColor="text1"/>
                <w:spacing w:val="-11"/>
                <w:w w:val="105"/>
              </w:rPr>
              <w:t xml:space="preserve"> </w:t>
            </w:r>
            <w:r>
              <w:rPr>
                <w:color w:val="000000" w:themeColor="text1"/>
                <w:spacing w:val="-11"/>
                <w:w w:val="105"/>
              </w:rPr>
              <w:t>OSDn</w:t>
            </w:r>
            <w:r w:rsidRPr="005707A5">
              <w:rPr>
                <w:color w:val="000000" w:themeColor="text1"/>
                <w:w w:val="105"/>
              </w:rPr>
              <w:t xml:space="preserve"> zawrze z tym prosumentem umowę dystrybucji lub dokona zmiany zawartej umowy dystrybucji w terminie 21 dni kalendarzowych od dnia złożenia przez ww. prosumenta wniosku o zawarcie lub zmianę umowy</w:t>
            </w:r>
            <w:r w:rsidRPr="005707A5">
              <w:rPr>
                <w:color w:val="000000" w:themeColor="text1"/>
                <w:spacing w:val="-12"/>
                <w:w w:val="105"/>
              </w:rPr>
              <w:t xml:space="preserve"> </w:t>
            </w:r>
            <w:r w:rsidRPr="005707A5">
              <w:rPr>
                <w:color w:val="000000" w:themeColor="text1"/>
                <w:w w:val="105"/>
              </w:rPr>
              <w:t>dystrybucji.</w:t>
            </w:r>
          </w:p>
        </w:tc>
      </w:tr>
      <w:tr w:rsidR="00D07ED6" w:rsidRPr="002B5135" w14:paraId="3F6A3125" w14:textId="77777777" w:rsidTr="00C07EB1">
        <w:tc>
          <w:tcPr>
            <w:tcW w:w="1063" w:type="dxa"/>
            <w:shd w:val="clear" w:color="auto" w:fill="auto"/>
          </w:tcPr>
          <w:p w14:paraId="4CF2E05B" w14:textId="77777777" w:rsidR="00D07ED6" w:rsidRPr="00581DD7" w:rsidRDefault="00D07ED6" w:rsidP="00C07EB1">
            <w:pPr>
              <w:rPr>
                <w:highlight w:val="yellow"/>
              </w:rPr>
            </w:pPr>
            <w:bookmarkStart w:id="95" w:name="_Toc459192676"/>
            <w:bookmarkStart w:id="96" w:name="_Toc481136152"/>
            <w:r w:rsidRPr="002318B6">
              <w:t>B.3.</w:t>
            </w:r>
            <w:bookmarkEnd w:id="95"/>
            <w:bookmarkEnd w:id="96"/>
          </w:p>
        </w:tc>
        <w:tc>
          <w:tcPr>
            <w:tcW w:w="8147" w:type="dxa"/>
            <w:shd w:val="clear" w:color="auto" w:fill="auto"/>
          </w:tcPr>
          <w:p w14:paraId="1C95F1CE" w14:textId="77777777" w:rsidR="00D07ED6" w:rsidRPr="00581DD7" w:rsidRDefault="00D07ED6" w:rsidP="00C07EB1">
            <w:pPr>
              <w:pStyle w:val="Default"/>
              <w:jc w:val="both"/>
              <w:rPr>
                <w:color w:val="auto"/>
                <w:highlight w:val="yellow"/>
              </w:rPr>
            </w:pPr>
            <w:r w:rsidRPr="002318B6">
              <w:t>Umowa dystrybucji wchodzi w życie w dniu rozpoczęcia sprzedaży energii przez sprzedawcę, z którym URD</w:t>
            </w:r>
            <w:r w:rsidRPr="002318B6">
              <w:rPr>
                <w:vertAlign w:val="subscript"/>
              </w:rPr>
              <w:t>O</w:t>
            </w:r>
            <w:r w:rsidRPr="002318B6">
              <w:t xml:space="preserve"> ma zawartą umowę sprzedaży energii elektrycznej lub w dniu rozpoczęcia sprzedaży rezerwowej w przypadku</w:t>
            </w:r>
            <w:r w:rsidR="005478F8">
              <w:t>,</w:t>
            </w:r>
            <w:r w:rsidRPr="002318B6">
              <w:t xml:space="preserve"> gdy umowa sprzedaży energii zawarta przez URD</w:t>
            </w:r>
            <w:r w:rsidRPr="002318B6">
              <w:rPr>
                <w:vertAlign w:val="subscript"/>
              </w:rPr>
              <w:t>O</w:t>
            </w:r>
            <w:r w:rsidRPr="002318B6">
              <w:t xml:space="preserve"> ze sprzedawcą nie będzie mogła być realizowana.</w:t>
            </w:r>
          </w:p>
        </w:tc>
      </w:tr>
      <w:tr w:rsidR="00D07ED6" w:rsidRPr="002B5135" w14:paraId="1B98E86C" w14:textId="77777777" w:rsidTr="00273E8A">
        <w:tc>
          <w:tcPr>
            <w:tcW w:w="1063" w:type="dxa"/>
            <w:shd w:val="clear" w:color="auto" w:fill="auto"/>
          </w:tcPr>
          <w:p w14:paraId="67EC32F4" w14:textId="77777777" w:rsidR="00D07ED6" w:rsidRPr="00581DD7" w:rsidRDefault="00D07ED6" w:rsidP="00C07EB1">
            <w:pPr>
              <w:rPr>
                <w:highlight w:val="yellow"/>
              </w:rPr>
            </w:pPr>
            <w:bookmarkStart w:id="97" w:name="_Toc459192677"/>
            <w:bookmarkStart w:id="98" w:name="_Toc481136153"/>
            <w:r w:rsidRPr="002318B6">
              <w:t>B.4.</w:t>
            </w:r>
            <w:bookmarkEnd w:id="97"/>
            <w:bookmarkEnd w:id="98"/>
          </w:p>
        </w:tc>
        <w:tc>
          <w:tcPr>
            <w:tcW w:w="8147" w:type="dxa"/>
            <w:shd w:val="clear" w:color="auto" w:fill="auto"/>
          </w:tcPr>
          <w:p w14:paraId="6B6BA4A9" w14:textId="6599CE80" w:rsidR="00D07ED6" w:rsidRPr="00581DD7" w:rsidRDefault="00D07ED6" w:rsidP="00C07EB1">
            <w:pPr>
              <w:pStyle w:val="Default"/>
              <w:jc w:val="both"/>
              <w:rPr>
                <w:color w:val="auto"/>
                <w:highlight w:val="yellow"/>
              </w:rPr>
            </w:pPr>
            <w:r w:rsidRPr="002318B6">
              <w:t xml:space="preserve">Zasady świadczenia usług dystrybucji przez </w:t>
            </w:r>
            <w:r>
              <w:t>OSDn</w:t>
            </w:r>
            <w:r w:rsidRPr="002318B6">
              <w:t xml:space="preserve"> dla URD</w:t>
            </w:r>
            <w:r w:rsidR="00242369" w:rsidRPr="00242369">
              <w:rPr>
                <w:vertAlign w:val="subscript"/>
              </w:rPr>
              <w:t>O</w:t>
            </w:r>
            <w:r w:rsidRPr="002318B6">
              <w:t xml:space="preserve"> posiadających zawarte umowy kompleksowe, </w:t>
            </w:r>
            <w:r w:rsidRPr="002318B6">
              <w:rPr>
                <w:w w:val="102"/>
              </w:rPr>
              <w:t xml:space="preserve">określa się w umowie zawieranej pomiędzy </w:t>
            </w:r>
            <w:r>
              <w:rPr>
                <w:w w:val="102"/>
              </w:rPr>
              <w:t>OSDn</w:t>
            </w:r>
            <w:r w:rsidRPr="002318B6">
              <w:rPr>
                <w:w w:val="102"/>
              </w:rPr>
              <w:t xml:space="preserve"> a sprzedawcą oraz w IRiESD.</w:t>
            </w:r>
          </w:p>
        </w:tc>
      </w:tr>
      <w:tr w:rsidR="00D07ED6" w:rsidRPr="002B5135" w14:paraId="65088F99" w14:textId="77777777" w:rsidTr="00273E8A">
        <w:tc>
          <w:tcPr>
            <w:tcW w:w="1063" w:type="dxa"/>
            <w:shd w:val="clear" w:color="auto" w:fill="auto"/>
          </w:tcPr>
          <w:p w14:paraId="541948FB" w14:textId="77777777" w:rsidR="00D07ED6" w:rsidRPr="00581DD7" w:rsidRDefault="00D07ED6" w:rsidP="00C07EB1">
            <w:pPr>
              <w:rPr>
                <w:highlight w:val="yellow"/>
              </w:rPr>
            </w:pPr>
            <w:bookmarkStart w:id="99" w:name="_Toc459192678"/>
            <w:bookmarkStart w:id="100" w:name="_Toc481136154"/>
            <w:r w:rsidRPr="002318B6">
              <w:t>B.5.</w:t>
            </w:r>
            <w:bookmarkEnd w:id="99"/>
            <w:bookmarkEnd w:id="100"/>
          </w:p>
        </w:tc>
        <w:tc>
          <w:tcPr>
            <w:tcW w:w="8147" w:type="dxa"/>
            <w:shd w:val="clear" w:color="auto" w:fill="auto"/>
          </w:tcPr>
          <w:p w14:paraId="6911A58A" w14:textId="77777777" w:rsidR="00D07ED6" w:rsidRPr="00581DD7" w:rsidRDefault="00D07ED6" w:rsidP="00C07EB1">
            <w:pPr>
              <w:pStyle w:val="Default"/>
              <w:jc w:val="both"/>
              <w:rPr>
                <w:color w:val="auto"/>
                <w:highlight w:val="yellow"/>
              </w:rPr>
            </w:pPr>
            <w:r w:rsidRPr="002318B6">
              <w:t>W przypadku zawarcia przez URD</w:t>
            </w:r>
            <w:r w:rsidRPr="002318B6">
              <w:rPr>
                <w:vertAlign w:val="subscript"/>
              </w:rPr>
              <w:t>O</w:t>
            </w:r>
            <w:r w:rsidRPr="002318B6">
              <w:t xml:space="preserve"> z wybranym sprzedawcą umowy kompleksowej, z dniem rozpoczęcia świadczenia usługi kompleksowej zgodnie </w:t>
            </w:r>
            <w:r>
              <w:br/>
            </w:r>
            <w:r w:rsidRPr="002318B6">
              <w:t xml:space="preserve">z IRiESD-Bilansowanie, umowa ta w części dotyczącej świadczenia usług dystrybucji zastępuje dotychczasową umowę o świadczenie usług dystrybucji zawartą z </w:t>
            </w:r>
            <w:r>
              <w:rPr>
                <w:w w:val="102"/>
              </w:rPr>
              <w:t>OSDn</w:t>
            </w:r>
            <w:r w:rsidRPr="002318B6">
              <w:t>, której stroną był ten URD</w:t>
            </w:r>
            <w:r w:rsidRPr="002318B6">
              <w:rPr>
                <w:vertAlign w:val="subscript"/>
              </w:rPr>
              <w:t>O</w:t>
            </w:r>
            <w:r w:rsidRPr="002318B6">
              <w:t xml:space="preserve">. Dotychczasowa umowa </w:t>
            </w:r>
            <w:r>
              <w:br/>
            </w:r>
            <w:r w:rsidRPr="002318B6">
              <w:t>o świadczenie usług dystrybucji ulega z tym dniem rozwiązaniu.</w:t>
            </w:r>
          </w:p>
        </w:tc>
      </w:tr>
      <w:tr w:rsidR="00D07ED6" w:rsidRPr="002B5135" w14:paraId="331BBDB3" w14:textId="77777777" w:rsidTr="00273E8A">
        <w:tc>
          <w:tcPr>
            <w:tcW w:w="1063" w:type="dxa"/>
            <w:shd w:val="clear" w:color="auto" w:fill="auto"/>
          </w:tcPr>
          <w:p w14:paraId="1479D313" w14:textId="77777777" w:rsidR="00D07ED6" w:rsidRPr="00581DD7" w:rsidRDefault="00D07ED6" w:rsidP="00C07EB1">
            <w:pPr>
              <w:rPr>
                <w:highlight w:val="yellow"/>
              </w:rPr>
            </w:pPr>
            <w:bookmarkStart w:id="101" w:name="_Toc459192679"/>
            <w:bookmarkStart w:id="102" w:name="_Toc481136155"/>
            <w:r w:rsidRPr="002318B6">
              <w:t>B.6.</w:t>
            </w:r>
            <w:bookmarkEnd w:id="101"/>
            <w:bookmarkEnd w:id="102"/>
          </w:p>
        </w:tc>
        <w:tc>
          <w:tcPr>
            <w:tcW w:w="8147" w:type="dxa"/>
            <w:shd w:val="clear" w:color="auto" w:fill="auto"/>
          </w:tcPr>
          <w:p w14:paraId="20A3485C" w14:textId="77777777" w:rsidR="00D07ED6" w:rsidRPr="00E6320E" w:rsidRDefault="00D07ED6" w:rsidP="00C07EB1">
            <w:pPr>
              <w:pStyle w:val="Default"/>
              <w:jc w:val="both"/>
              <w:rPr>
                <w:color w:val="auto"/>
              </w:rPr>
            </w:pPr>
            <w:r w:rsidRPr="00E6320E">
              <w:t xml:space="preserve">Zasady zgłaszania umów sprzedaży energii elektrycznej oraz umów kompleksowych, w tym terminy rozpoczęcia sprzedaży energii lub świadczenia usługi kompleksowej, określa rozdział </w:t>
            </w:r>
            <w:r w:rsidR="00D36DBF" w:rsidRPr="00E6320E">
              <w:t>D</w:t>
            </w:r>
            <w:r w:rsidRPr="00E6320E">
              <w:t>.</w:t>
            </w:r>
          </w:p>
        </w:tc>
      </w:tr>
      <w:tr w:rsidR="00D07ED6" w:rsidRPr="002B5135" w14:paraId="2A800D53" w14:textId="77777777" w:rsidTr="00273E8A">
        <w:tc>
          <w:tcPr>
            <w:tcW w:w="1063" w:type="dxa"/>
            <w:shd w:val="clear" w:color="auto" w:fill="auto"/>
          </w:tcPr>
          <w:p w14:paraId="4A49526B" w14:textId="77777777" w:rsidR="00D07ED6" w:rsidRPr="00581DD7" w:rsidRDefault="00D07ED6" w:rsidP="00C07EB1">
            <w:pPr>
              <w:rPr>
                <w:highlight w:val="yellow"/>
              </w:rPr>
            </w:pPr>
            <w:bookmarkStart w:id="103" w:name="_Toc459192680"/>
            <w:bookmarkStart w:id="104" w:name="_Toc481136156"/>
            <w:r w:rsidRPr="002318B6">
              <w:t>B.7.</w:t>
            </w:r>
            <w:bookmarkEnd w:id="103"/>
            <w:bookmarkEnd w:id="104"/>
          </w:p>
        </w:tc>
        <w:tc>
          <w:tcPr>
            <w:tcW w:w="8147" w:type="dxa"/>
            <w:shd w:val="clear" w:color="auto" w:fill="auto"/>
          </w:tcPr>
          <w:p w14:paraId="79EBBD44" w14:textId="77777777" w:rsidR="00D07ED6" w:rsidRPr="00E6320E" w:rsidRDefault="00D07ED6" w:rsidP="00C07EB1">
            <w:pPr>
              <w:jc w:val="both"/>
            </w:pPr>
            <w:r w:rsidRPr="00E6320E">
              <w:t>Dla URD</w:t>
            </w:r>
            <w:r w:rsidRPr="00E6320E">
              <w:rPr>
                <w:vertAlign w:val="subscript"/>
              </w:rPr>
              <w:t>O</w:t>
            </w:r>
            <w:r w:rsidRPr="00E6320E">
              <w:t xml:space="preserve"> posiadającego umowę kompleksową, dopuszcza się zawarcie umowy </w:t>
            </w:r>
            <w:r w:rsidRPr="00E6320E">
              <w:br/>
              <w:t>o świadczenie usług dystrybucji poprzez złożenie przez upoważnionego sprzedawcę działającego w imieniu i na rzecz tego URD</w:t>
            </w:r>
            <w:r w:rsidRPr="00E6320E">
              <w:rPr>
                <w:vertAlign w:val="subscript"/>
              </w:rPr>
              <w:t>O</w:t>
            </w:r>
            <w:r w:rsidRPr="00E6320E">
              <w:t xml:space="preserve"> wraz </w:t>
            </w:r>
            <w:r w:rsidRPr="00E6320E">
              <w:br/>
              <w:t xml:space="preserve">z powiadomieniem, o którym mowa w pkt. </w:t>
            </w:r>
            <w:r w:rsidR="00D36DBF" w:rsidRPr="00E6320E">
              <w:t>D.2.</w:t>
            </w:r>
            <w:r w:rsidR="001F278B" w:rsidRPr="00E6320E">
              <w:t>1</w:t>
            </w:r>
            <w:r w:rsidR="00D36DBF" w:rsidRPr="00E6320E">
              <w:t>.</w:t>
            </w:r>
            <w:r w:rsidRPr="00E6320E">
              <w:t>, oświadczenia o posiadaniu oświadczenia woli URD</w:t>
            </w:r>
            <w:r w:rsidRPr="00E6320E">
              <w:rPr>
                <w:vertAlign w:val="subscript"/>
              </w:rPr>
              <w:t xml:space="preserve">O </w:t>
            </w:r>
            <w:r w:rsidRPr="00E6320E">
              <w:t>obejmującego zgodę URD</w:t>
            </w:r>
            <w:r w:rsidRPr="00E6320E">
              <w:rPr>
                <w:vertAlign w:val="subscript"/>
              </w:rPr>
              <w:t>O</w:t>
            </w:r>
            <w:r w:rsidRPr="00E6320E">
              <w:t xml:space="preserve"> na zawarcie umowy </w:t>
            </w:r>
            <w:r w:rsidRPr="00E6320E">
              <w:br/>
            </w:r>
            <w:r w:rsidRPr="00E6320E">
              <w:lastRenderedPageBreak/>
              <w:t xml:space="preserve">o świadczenie usług dystrybucji energii elektrycznej z </w:t>
            </w:r>
            <w:r w:rsidRPr="00E6320E">
              <w:rPr>
                <w:w w:val="102"/>
              </w:rPr>
              <w:t>OSDn</w:t>
            </w:r>
            <w:r w:rsidRPr="00E6320E">
              <w:t xml:space="preserve">, na warunkach wynikających z: </w:t>
            </w:r>
          </w:p>
          <w:p w14:paraId="63C8D735" w14:textId="77777777" w:rsidR="00D07ED6" w:rsidRPr="00E6320E" w:rsidRDefault="00D07ED6">
            <w:pPr>
              <w:widowControl w:val="0"/>
              <w:numPr>
                <w:ilvl w:val="0"/>
                <w:numId w:val="203"/>
              </w:numPr>
              <w:shd w:val="clear" w:color="auto" w:fill="FFFFFF"/>
              <w:tabs>
                <w:tab w:val="left" w:pos="355"/>
                <w:tab w:val="center" w:pos="4536"/>
                <w:tab w:val="right" w:pos="9072"/>
              </w:tabs>
              <w:autoSpaceDE w:val="0"/>
              <w:autoSpaceDN w:val="0"/>
              <w:adjustRightInd w:val="0"/>
              <w:ind w:right="10"/>
              <w:jc w:val="both"/>
            </w:pPr>
            <w:r w:rsidRPr="00E6320E">
              <w:t xml:space="preserve">wzoru umowy o świadczenie usług dystrybucji zamieszczonej na stronie internetowej </w:t>
            </w:r>
            <w:r w:rsidRPr="00E6320E">
              <w:rPr>
                <w:w w:val="102"/>
              </w:rPr>
              <w:t>OSDn lub dostępnej w siedzibie OSDn</w:t>
            </w:r>
            <w:r w:rsidRPr="00E6320E">
              <w:t xml:space="preserve">, </w:t>
            </w:r>
          </w:p>
          <w:p w14:paraId="2AF4EFAF" w14:textId="77777777" w:rsidR="00D07ED6" w:rsidRPr="00E6320E" w:rsidRDefault="00D07ED6">
            <w:pPr>
              <w:widowControl w:val="0"/>
              <w:numPr>
                <w:ilvl w:val="0"/>
                <w:numId w:val="203"/>
              </w:numPr>
              <w:shd w:val="clear" w:color="auto" w:fill="FFFFFF"/>
              <w:tabs>
                <w:tab w:val="left" w:pos="355"/>
                <w:tab w:val="center" w:pos="4536"/>
                <w:tab w:val="right" w:pos="9072"/>
              </w:tabs>
              <w:autoSpaceDE w:val="0"/>
              <w:autoSpaceDN w:val="0"/>
              <w:adjustRightInd w:val="0"/>
              <w:ind w:right="10"/>
              <w:jc w:val="both"/>
            </w:pPr>
            <w:r w:rsidRPr="00E6320E">
              <w:t xml:space="preserve">taryfy </w:t>
            </w:r>
            <w:r w:rsidRPr="00E6320E">
              <w:rPr>
                <w:w w:val="102"/>
              </w:rPr>
              <w:t>OSDn</w:t>
            </w:r>
            <w:r w:rsidRPr="00E6320E">
              <w:t xml:space="preserve"> oraz IRiESD zamieszczonych na stronie internetowej </w:t>
            </w:r>
            <w:r w:rsidRPr="00E6320E">
              <w:rPr>
                <w:w w:val="102"/>
              </w:rPr>
              <w:t>OSDn</w:t>
            </w:r>
            <w:r w:rsidRPr="00E6320E">
              <w:t xml:space="preserve">, </w:t>
            </w:r>
          </w:p>
          <w:p w14:paraId="119BE7D7" w14:textId="4085D635" w:rsidR="00D07ED6" w:rsidRDefault="00D07ED6">
            <w:pPr>
              <w:widowControl w:val="0"/>
              <w:numPr>
                <w:ilvl w:val="0"/>
                <w:numId w:val="203"/>
              </w:numPr>
              <w:shd w:val="clear" w:color="auto" w:fill="FFFFFF"/>
              <w:tabs>
                <w:tab w:val="left" w:pos="355"/>
                <w:tab w:val="center" w:pos="4536"/>
                <w:tab w:val="right" w:pos="9072"/>
              </w:tabs>
              <w:autoSpaceDE w:val="0"/>
              <w:autoSpaceDN w:val="0"/>
              <w:adjustRightInd w:val="0"/>
              <w:ind w:right="10"/>
              <w:jc w:val="both"/>
            </w:pPr>
            <w:r w:rsidRPr="00E6320E">
              <w:t xml:space="preserve">dotychczasowej umowy kompleksowej w zakresie warunków technicznych świadczenia usług dystrybucji, grupy taryfowej oraz okresu rozliczeniowego, </w:t>
            </w:r>
            <w:r w:rsidRPr="00E6320E">
              <w:br/>
              <w:t xml:space="preserve">o ile postanowienia umowy kompleksowej w tym zakresie nie są sprzeczne </w:t>
            </w:r>
            <w:r w:rsidRPr="00E6320E">
              <w:br/>
              <w:t xml:space="preserve">z taryfą </w:t>
            </w:r>
            <w:r w:rsidRPr="00E6320E">
              <w:rPr>
                <w:w w:val="102"/>
              </w:rPr>
              <w:t>OSDn</w:t>
            </w:r>
            <w:r w:rsidRPr="00E6320E">
              <w:t xml:space="preserve"> oraz wzorem umowy, o którym mowa powyżej w ppkt. a).</w:t>
            </w:r>
          </w:p>
          <w:p w14:paraId="6977868B" w14:textId="77777777" w:rsidR="0015648D" w:rsidRPr="00E6320E" w:rsidRDefault="0015648D" w:rsidP="0015648D">
            <w:pPr>
              <w:widowControl w:val="0"/>
              <w:shd w:val="clear" w:color="auto" w:fill="FFFFFF"/>
              <w:tabs>
                <w:tab w:val="left" w:pos="355"/>
                <w:tab w:val="center" w:pos="4536"/>
                <w:tab w:val="right" w:pos="9072"/>
              </w:tabs>
              <w:autoSpaceDE w:val="0"/>
              <w:autoSpaceDN w:val="0"/>
              <w:adjustRightInd w:val="0"/>
              <w:ind w:left="360" w:right="10"/>
              <w:jc w:val="both"/>
            </w:pPr>
          </w:p>
          <w:p w14:paraId="2519DFB9" w14:textId="144BF84E" w:rsidR="00D07ED6" w:rsidRDefault="00D07ED6" w:rsidP="00C07EB1">
            <w:pPr>
              <w:pStyle w:val="Default"/>
              <w:jc w:val="both"/>
            </w:pPr>
            <w:r w:rsidRPr="00E6320E">
              <w:t>Z dniem złożenia przez sprzedawcę oświadczenia, o którym mowa powyżej, następuje zawarcie umowy o świadczenie usług dystrybucji pomiędzy URD</w:t>
            </w:r>
            <w:r w:rsidRPr="00E6320E">
              <w:rPr>
                <w:vertAlign w:val="subscript"/>
              </w:rPr>
              <w:t>O</w:t>
            </w:r>
            <w:r w:rsidRPr="00E6320E">
              <w:t xml:space="preserve"> </w:t>
            </w:r>
            <w:r w:rsidRPr="00E6320E">
              <w:br/>
              <w:t xml:space="preserve">i </w:t>
            </w:r>
            <w:r w:rsidRPr="00E6320E">
              <w:rPr>
                <w:w w:val="102"/>
              </w:rPr>
              <w:t>OSDn</w:t>
            </w:r>
            <w:r w:rsidRPr="00E6320E">
              <w:t>, bez konieczności składania dodatkowych oświadczeń, pod warunkiem pozytywnej weryfikacji powiadomienia</w:t>
            </w:r>
            <w:r w:rsidR="00D35EA9">
              <w:t>,</w:t>
            </w:r>
            <w:r w:rsidRPr="00E6320E">
              <w:t xml:space="preserve"> o którym mowa w pkt. </w:t>
            </w:r>
            <w:r w:rsidR="00D36DBF" w:rsidRPr="00E6320E">
              <w:t>D.2.4</w:t>
            </w:r>
            <w:r w:rsidRPr="00E6320E">
              <w:t xml:space="preserve">. W takim przypadku </w:t>
            </w:r>
            <w:r w:rsidRPr="00E6320E">
              <w:rPr>
                <w:w w:val="102"/>
              </w:rPr>
              <w:t>OSDn</w:t>
            </w:r>
            <w:r w:rsidRPr="00E6320E">
              <w:t>, w terminie 21 dni kalendarzowych od dnia otrzymania oświadczenia, przekazuje sprzedawcy upoważnionemu przez URD</w:t>
            </w:r>
            <w:r w:rsidRPr="00E6320E">
              <w:rPr>
                <w:vertAlign w:val="subscript"/>
              </w:rPr>
              <w:t>O</w:t>
            </w:r>
            <w:r w:rsidRPr="00E6320E">
              <w:t xml:space="preserve"> potwierdzenie treści zawartej umowy o świadczenie usług dystrybucji. </w:t>
            </w:r>
          </w:p>
          <w:p w14:paraId="41817F7C" w14:textId="77777777" w:rsidR="005519FD" w:rsidRPr="00E6320E" w:rsidRDefault="005519FD" w:rsidP="00C07EB1">
            <w:pPr>
              <w:pStyle w:val="Default"/>
              <w:jc w:val="both"/>
            </w:pPr>
          </w:p>
          <w:p w14:paraId="6CA89405" w14:textId="30E0FCBD" w:rsidR="00D07ED6" w:rsidRDefault="007757B2" w:rsidP="00C07EB1">
            <w:pPr>
              <w:jc w:val="both"/>
            </w:pPr>
            <w:r>
              <w:t>O</w:t>
            </w:r>
            <w:r w:rsidR="00D07ED6" w:rsidRPr="00E6320E">
              <w:t>świadczeni</w:t>
            </w:r>
            <w:r>
              <w:t>e złożone przez</w:t>
            </w:r>
            <w:r w:rsidR="00D07ED6" w:rsidRPr="00E6320E">
              <w:t xml:space="preserve"> URD</w:t>
            </w:r>
            <w:r w:rsidR="00D07ED6" w:rsidRPr="00E6320E">
              <w:rPr>
                <w:vertAlign w:val="subscript"/>
              </w:rPr>
              <w:t>O</w:t>
            </w:r>
            <w:r w:rsidR="00D07ED6" w:rsidRPr="00E6320E">
              <w:t xml:space="preserve"> o którym mowa powyżej</w:t>
            </w:r>
            <w:r w:rsidR="009054C9">
              <w:t>, może być także złożone za pomocą środków bezpośredniego porozumiewania się na odległość. Na każde uzasadnione żądanie OSDn, sprzedaw</w:t>
            </w:r>
            <w:r w:rsidR="000357DC">
              <w:t>ca jest zobowiązany do przekazania OSDn oświadczenia URD</w:t>
            </w:r>
            <w:r w:rsidR="000357DC" w:rsidRPr="000357DC">
              <w:rPr>
                <w:vertAlign w:val="subscript"/>
              </w:rPr>
              <w:t>O</w:t>
            </w:r>
            <w:r w:rsidR="000357DC">
              <w:t xml:space="preserve"> </w:t>
            </w:r>
            <w:r w:rsidR="00F26A3B">
              <w:t xml:space="preserve">nie później niż w terminie do 7 dni kalendarzowych od otrzymania żądania w formie w jakiej to oświadczenie zostało złożone sprzedawcy. </w:t>
            </w:r>
          </w:p>
          <w:p w14:paraId="424CB86D" w14:textId="77777777" w:rsidR="005519FD" w:rsidRPr="000357DC" w:rsidRDefault="005519FD" w:rsidP="00C07EB1">
            <w:pPr>
              <w:jc w:val="both"/>
            </w:pPr>
          </w:p>
          <w:p w14:paraId="689197D4" w14:textId="2EE6C0A8" w:rsidR="00D07ED6" w:rsidRDefault="00D07ED6" w:rsidP="00C07EB1">
            <w:pPr>
              <w:pStyle w:val="Default"/>
              <w:jc w:val="both"/>
            </w:pPr>
            <w:r w:rsidRPr="00E6320E">
              <w:t xml:space="preserve">Przedłożenie może nastąpić za pośrednictwem operatora pocztowego, przesyłką kurierską lub w inny </w:t>
            </w:r>
            <w:r w:rsidR="0015648D">
              <w:t xml:space="preserve">sposób </w:t>
            </w:r>
            <w:r w:rsidRPr="00E6320E">
              <w:t>ustalony mi</w:t>
            </w:r>
            <w:r w:rsidR="004E26BA">
              <w:t>ę</w:t>
            </w:r>
            <w:r w:rsidRPr="00E6320E">
              <w:t>dzy OSD i sprzedawcą.</w:t>
            </w:r>
          </w:p>
          <w:p w14:paraId="1A437F87" w14:textId="200485E6" w:rsidR="005519FD" w:rsidRPr="00E6320E" w:rsidRDefault="005519FD" w:rsidP="00C07EB1">
            <w:pPr>
              <w:pStyle w:val="Default"/>
              <w:jc w:val="both"/>
              <w:rPr>
                <w:color w:val="auto"/>
              </w:rPr>
            </w:pPr>
          </w:p>
        </w:tc>
      </w:tr>
      <w:tr w:rsidR="00D07ED6" w:rsidRPr="002B5135" w14:paraId="2C4AEFD8" w14:textId="77777777" w:rsidTr="001024B2">
        <w:tc>
          <w:tcPr>
            <w:tcW w:w="1063" w:type="dxa"/>
            <w:shd w:val="clear" w:color="auto" w:fill="auto"/>
          </w:tcPr>
          <w:p w14:paraId="0D8BF43C" w14:textId="77777777" w:rsidR="00D07ED6" w:rsidRPr="00581DD7" w:rsidRDefault="00D07ED6" w:rsidP="00C07EB1">
            <w:pPr>
              <w:rPr>
                <w:highlight w:val="yellow"/>
              </w:rPr>
            </w:pPr>
            <w:bookmarkStart w:id="105" w:name="_Toc459192681"/>
            <w:bookmarkStart w:id="106" w:name="_Toc481136157"/>
            <w:r w:rsidRPr="003F5187">
              <w:lastRenderedPageBreak/>
              <w:t>B.8.</w:t>
            </w:r>
            <w:bookmarkEnd w:id="105"/>
            <w:bookmarkEnd w:id="106"/>
          </w:p>
        </w:tc>
        <w:tc>
          <w:tcPr>
            <w:tcW w:w="8147" w:type="dxa"/>
            <w:shd w:val="clear" w:color="auto" w:fill="auto"/>
          </w:tcPr>
          <w:p w14:paraId="4D25556C" w14:textId="77777777" w:rsidR="00D07ED6" w:rsidRPr="00581DD7" w:rsidRDefault="00D07ED6" w:rsidP="00C07EB1">
            <w:pPr>
              <w:pStyle w:val="Default"/>
              <w:jc w:val="both"/>
              <w:rPr>
                <w:color w:val="auto"/>
                <w:highlight w:val="yellow"/>
              </w:rPr>
            </w:pPr>
            <w:r w:rsidRPr="003F5187">
              <w:t>W przypadku zawarcia przez URD</w:t>
            </w:r>
            <w:r w:rsidRPr="003F5187">
              <w:rPr>
                <w:vertAlign w:val="subscript"/>
              </w:rPr>
              <w:t>O</w:t>
            </w:r>
            <w:r w:rsidRPr="003F5187">
              <w:t xml:space="preserve"> z </w:t>
            </w:r>
            <w:r>
              <w:rPr>
                <w:w w:val="102"/>
              </w:rPr>
              <w:t>OSDn</w:t>
            </w:r>
            <w:r w:rsidRPr="003F5187">
              <w:t xml:space="preserve"> umowy o świadczenie usług dystrybucji, z dniem rozpoczęcia świadczenia usługi dystrybucji w ramach tej umowy, dotychczasowa umowa kompleksowa przestaje być realizowana przez </w:t>
            </w:r>
            <w:r>
              <w:rPr>
                <w:w w:val="102"/>
              </w:rPr>
              <w:t>OSDn</w:t>
            </w:r>
            <w:r w:rsidRPr="003F5187">
              <w:rPr>
                <w:w w:val="102"/>
              </w:rPr>
              <w:t>.</w:t>
            </w:r>
          </w:p>
        </w:tc>
      </w:tr>
      <w:tr w:rsidR="00D07ED6" w:rsidRPr="002B5135" w14:paraId="1548BC65" w14:textId="77777777" w:rsidTr="001024B2">
        <w:tc>
          <w:tcPr>
            <w:tcW w:w="1063" w:type="dxa"/>
            <w:shd w:val="clear" w:color="auto" w:fill="auto"/>
          </w:tcPr>
          <w:p w14:paraId="51E0029E" w14:textId="77777777" w:rsidR="00D07ED6" w:rsidRPr="00581DD7" w:rsidRDefault="00D07ED6" w:rsidP="00C07EB1">
            <w:pPr>
              <w:rPr>
                <w:highlight w:val="yellow"/>
              </w:rPr>
            </w:pPr>
            <w:bookmarkStart w:id="107" w:name="_Toc459192682"/>
            <w:bookmarkStart w:id="108" w:name="_Toc481136158"/>
            <w:r w:rsidRPr="003F5187">
              <w:t>B.9.</w:t>
            </w:r>
            <w:bookmarkEnd w:id="107"/>
            <w:bookmarkEnd w:id="108"/>
          </w:p>
        </w:tc>
        <w:tc>
          <w:tcPr>
            <w:tcW w:w="8147" w:type="dxa"/>
            <w:shd w:val="clear" w:color="auto" w:fill="auto"/>
          </w:tcPr>
          <w:p w14:paraId="7FEBD49E" w14:textId="33F85B9C" w:rsidR="00D07ED6" w:rsidRPr="000A03AB" w:rsidRDefault="000A03AB" w:rsidP="000A03AB">
            <w:pPr>
              <w:spacing w:line="253" w:lineRule="auto"/>
              <w:jc w:val="both"/>
              <w:rPr>
                <w:rFonts w:cs="Times New Roman"/>
                <w:szCs w:val="24"/>
              </w:rPr>
            </w:pPr>
            <w:r w:rsidRPr="000A03AB">
              <w:rPr>
                <w:rFonts w:cs="Times New Roman"/>
                <w:szCs w:val="24"/>
              </w:rPr>
              <w:t>Świadczenie usług dystrybucji dla URD</w:t>
            </w:r>
            <w:r w:rsidRPr="000A03AB">
              <w:rPr>
                <w:rFonts w:cs="Times New Roman"/>
                <w:szCs w:val="24"/>
                <w:vertAlign w:val="subscript"/>
              </w:rPr>
              <w:t>W</w:t>
            </w:r>
            <w:r w:rsidRPr="000A03AB">
              <w:rPr>
                <w:rFonts w:cs="Times New Roman"/>
                <w:szCs w:val="24"/>
              </w:rPr>
              <w:t xml:space="preserve"> oraz URD</w:t>
            </w:r>
            <w:r w:rsidRPr="000A03AB">
              <w:rPr>
                <w:rFonts w:cs="Times New Roman"/>
                <w:szCs w:val="24"/>
                <w:vertAlign w:val="subscript"/>
              </w:rPr>
              <w:t>ME</w:t>
            </w:r>
            <w:r w:rsidRPr="000A03AB">
              <w:rPr>
                <w:rFonts w:cs="Times New Roman"/>
                <w:szCs w:val="24"/>
              </w:rPr>
              <w:t xml:space="preserve"> w zakresie energii pobranej z sieci oraz wprowadzonej do sieci OSDn, odbywa się wyłącznie na podstawie umowy o świadczenie usług dystrybucji zawartej z OSDn Umowa o świadczenie usług dystrybucji z URD</w:t>
            </w:r>
            <w:r w:rsidRPr="000A03AB">
              <w:rPr>
                <w:rFonts w:cs="Times New Roman"/>
                <w:szCs w:val="24"/>
                <w:vertAlign w:val="subscript"/>
              </w:rPr>
              <w:t>W</w:t>
            </w:r>
            <w:r w:rsidRPr="000A03AB">
              <w:rPr>
                <w:rFonts w:cs="Times New Roman"/>
                <w:szCs w:val="24"/>
              </w:rPr>
              <w:t xml:space="preserve"> oraz URD</w:t>
            </w:r>
            <w:r w:rsidRPr="000A03AB">
              <w:rPr>
                <w:rFonts w:cs="Times New Roman"/>
                <w:szCs w:val="24"/>
                <w:vertAlign w:val="subscript"/>
              </w:rPr>
              <w:t>ME</w:t>
            </w:r>
            <w:r w:rsidRPr="000A03AB">
              <w:rPr>
                <w:rFonts w:cs="Times New Roman"/>
                <w:szCs w:val="24"/>
              </w:rPr>
              <w:t xml:space="preserve"> jest zawierana na wniosek, o którym mowa w pkt B.1., po wskazaniu POB przez URD</w:t>
            </w:r>
            <w:r w:rsidRPr="000A03AB">
              <w:rPr>
                <w:rFonts w:cs="Times New Roman"/>
                <w:szCs w:val="24"/>
                <w:vertAlign w:val="subscript"/>
              </w:rPr>
              <w:t>W</w:t>
            </w:r>
            <w:r w:rsidRPr="000A03AB">
              <w:rPr>
                <w:rFonts w:cs="Times New Roman"/>
                <w:szCs w:val="24"/>
              </w:rPr>
              <w:t xml:space="preserve"> oraz URD</w:t>
            </w:r>
            <w:r w:rsidRPr="000A03AB">
              <w:rPr>
                <w:rFonts w:cs="Times New Roman"/>
                <w:szCs w:val="24"/>
                <w:vertAlign w:val="subscript"/>
              </w:rPr>
              <w:t>ME</w:t>
            </w:r>
            <w:r w:rsidRPr="000A03AB">
              <w:rPr>
                <w:rFonts w:cs="Times New Roman"/>
                <w:szCs w:val="24"/>
              </w:rPr>
              <w:t xml:space="preserve">. </w:t>
            </w:r>
            <w:r w:rsidR="003A3201" w:rsidRPr="000A03AB">
              <w:rPr>
                <w:rFonts w:eastAsia="Times New Roman" w:cs="Times New Roman"/>
                <w:color w:val="000000"/>
                <w:szCs w:val="24"/>
              </w:rPr>
              <w:t xml:space="preserve">Wskazanie POB następuje zgodnie z zapisami rozdziału </w:t>
            </w:r>
            <w:r w:rsidR="008B0C61" w:rsidRPr="000A03AB">
              <w:rPr>
                <w:rFonts w:eastAsia="Times New Roman" w:cs="Times New Roman"/>
                <w:color w:val="000000"/>
                <w:szCs w:val="24"/>
              </w:rPr>
              <w:t>E</w:t>
            </w:r>
            <w:r w:rsidR="003A3201" w:rsidRPr="000A03AB">
              <w:rPr>
                <w:rFonts w:eastAsia="Times New Roman" w:cs="Times New Roman"/>
                <w:color w:val="000000"/>
                <w:szCs w:val="24"/>
              </w:rPr>
              <w:t>.</w:t>
            </w:r>
          </w:p>
        </w:tc>
      </w:tr>
      <w:tr w:rsidR="00D07ED6" w:rsidRPr="002B5135" w14:paraId="04E7F27A" w14:textId="77777777" w:rsidTr="001024B2">
        <w:tc>
          <w:tcPr>
            <w:tcW w:w="1063" w:type="dxa"/>
            <w:shd w:val="clear" w:color="auto" w:fill="auto"/>
          </w:tcPr>
          <w:p w14:paraId="22702012" w14:textId="77777777" w:rsidR="00D07ED6" w:rsidRPr="00581DD7" w:rsidRDefault="00D07ED6" w:rsidP="00273E8A">
            <w:pPr>
              <w:spacing w:before="240"/>
              <w:rPr>
                <w:highlight w:val="yellow"/>
              </w:rPr>
            </w:pPr>
            <w:bookmarkStart w:id="109" w:name="_Toc459192683"/>
            <w:bookmarkStart w:id="110" w:name="_Toc481136159"/>
            <w:r w:rsidRPr="003F5187">
              <w:t>B.10.</w:t>
            </w:r>
            <w:bookmarkEnd w:id="109"/>
            <w:bookmarkEnd w:id="110"/>
          </w:p>
        </w:tc>
        <w:tc>
          <w:tcPr>
            <w:tcW w:w="8147" w:type="dxa"/>
            <w:shd w:val="clear" w:color="auto" w:fill="auto"/>
          </w:tcPr>
          <w:p w14:paraId="428B20EA" w14:textId="77777777" w:rsidR="00972FE2" w:rsidRDefault="00972FE2" w:rsidP="00C07EB1">
            <w:pPr>
              <w:pStyle w:val="Default"/>
              <w:jc w:val="both"/>
            </w:pPr>
          </w:p>
          <w:p w14:paraId="6E27B8C3" w14:textId="55BA67AA" w:rsidR="007A6E35" w:rsidRPr="006E5588" w:rsidRDefault="00D07ED6" w:rsidP="00316C78">
            <w:pPr>
              <w:pStyle w:val="Default"/>
              <w:jc w:val="both"/>
            </w:pPr>
            <w:r w:rsidRPr="003F5187">
              <w:t xml:space="preserve">Świadczenie usług dystrybucji odbywa się na podstawie tylko jednej umowy </w:t>
            </w:r>
            <w:r>
              <w:br/>
            </w:r>
            <w:r w:rsidRPr="003F5187">
              <w:t>tj. umowy o świadczenie usług dystrybucji albo umowy kompleksowej.</w:t>
            </w:r>
          </w:p>
        </w:tc>
      </w:tr>
      <w:tr w:rsidR="00A2183E" w:rsidRPr="002B5135" w14:paraId="78BDBFF9" w14:textId="77777777" w:rsidTr="00316C78">
        <w:tc>
          <w:tcPr>
            <w:tcW w:w="737" w:type="dxa"/>
            <w:shd w:val="clear" w:color="auto" w:fill="auto"/>
          </w:tcPr>
          <w:p w14:paraId="10D1D126" w14:textId="77777777" w:rsidR="008D5742" w:rsidRDefault="008D5742" w:rsidP="00273E8A">
            <w:pPr>
              <w:spacing w:before="240"/>
            </w:pPr>
          </w:p>
          <w:p w14:paraId="514DD982" w14:textId="3E7E5D65" w:rsidR="00A2183E" w:rsidRPr="003F5187" w:rsidRDefault="00A2183E" w:rsidP="008D5742">
            <w:r w:rsidRPr="003F5187">
              <w:t>B.1</w:t>
            </w:r>
            <w:r>
              <w:t>1.</w:t>
            </w:r>
          </w:p>
        </w:tc>
        <w:tc>
          <w:tcPr>
            <w:tcW w:w="8147" w:type="dxa"/>
            <w:shd w:val="clear" w:color="auto" w:fill="auto"/>
          </w:tcPr>
          <w:p w14:paraId="56A3672F" w14:textId="77777777" w:rsidR="00316C78" w:rsidRPr="004675E3" w:rsidRDefault="00316C78" w:rsidP="00C07EB1">
            <w:pPr>
              <w:pStyle w:val="Default"/>
              <w:jc w:val="both"/>
              <w:rPr>
                <w:color w:val="000000" w:themeColor="text1"/>
              </w:rPr>
            </w:pPr>
          </w:p>
          <w:p w14:paraId="329E29FE" w14:textId="21424236" w:rsidR="00A2183E" w:rsidRPr="004675E3" w:rsidRDefault="004675E3" w:rsidP="00C07EB1">
            <w:pPr>
              <w:pStyle w:val="Default"/>
              <w:jc w:val="both"/>
              <w:rPr>
                <w:color w:val="000000" w:themeColor="text1"/>
              </w:rPr>
            </w:pPr>
            <w:r w:rsidRPr="004675E3">
              <w:rPr>
                <w:color w:val="000000" w:themeColor="text1"/>
                <w:w w:val="105"/>
              </w:rPr>
              <w:t>Świadczenie usług dystrybucji w zakresie energii pobranej z s</w:t>
            </w:r>
            <w:r>
              <w:rPr>
                <w:color w:val="000000" w:themeColor="text1"/>
                <w:w w:val="105"/>
              </w:rPr>
              <w:t>i</w:t>
            </w:r>
            <w:r w:rsidRPr="004675E3">
              <w:rPr>
                <w:color w:val="000000" w:themeColor="text1"/>
                <w:w w:val="105"/>
              </w:rPr>
              <w:t>ec</w:t>
            </w:r>
            <w:r>
              <w:rPr>
                <w:color w:val="000000" w:themeColor="text1"/>
                <w:w w:val="105"/>
              </w:rPr>
              <w:t>i</w:t>
            </w:r>
            <w:r w:rsidRPr="004675E3">
              <w:rPr>
                <w:color w:val="000000" w:themeColor="text1"/>
                <w:w w:val="105"/>
              </w:rPr>
              <w:t xml:space="preserve"> oraz wprowadzonej do sieci </w:t>
            </w:r>
            <w:r>
              <w:rPr>
                <w:color w:val="000000" w:themeColor="text1"/>
                <w:w w:val="105"/>
              </w:rPr>
              <w:t>OSDn</w:t>
            </w:r>
            <w:r w:rsidRPr="004675E3">
              <w:rPr>
                <w:color w:val="000000" w:themeColor="text1"/>
                <w:w w:val="105"/>
              </w:rPr>
              <w:t>, z URDo wytwarzającymi</w:t>
            </w:r>
            <w:r>
              <w:rPr>
                <w:color w:val="000000" w:themeColor="text1"/>
                <w:w w:val="105"/>
              </w:rPr>
              <w:t xml:space="preserve"> </w:t>
            </w:r>
            <w:r w:rsidRPr="004675E3">
              <w:rPr>
                <w:color w:val="000000" w:themeColor="text1"/>
                <w:w w:val="105"/>
              </w:rPr>
              <w:t xml:space="preserve">energię </w:t>
            </w:r>
            <w:r>
              <w:rPr>
                <w:color w:val="000000" w:themeColor="text1"/>
                <w:w w:val="105"/>
              </w:rPr>
              <w:br/>
            </w:r>
            <w:r w:rsidRPr="004675E3">
              <w:rPr>
                <w:color w:val="000000" w:themeColor="text1"/>
                <w:w w:val="105"/>
              </w:rPr>
              <w:t>w mikroinstalacji odbywa się na podstawie umowy o świadczenie usług</w:t>
            </w:r>
            <w:r w:rsidRPr="004675E3">
              <w:rPr>
                <w:color w:val="000000" w:themeColor="text1"/>
                <w:spacing w:val="11"/>
                <w:w w:val="105"/>
              </w:rPr>
              <w:t xml:space="preserve"> </w:t>
            </w:r>
            <w:r w:rsidRPr="004675E3">
              <w:rPr>
                <w:color w:val="000000" w:themeColor="text1"/>
                <w:w w:val="105"/>
              </w:rPr>
              <w:t>dystrybucji z wyłączeniem Prosumentów</w:t>
            </w:r>
            <w:r>
              <w:rPr>
                <w:color w:val="000000" w:themeColor="text1"/>
                <w:w w:val="105"/>
              </w:rPr>
              <w:t xml:space="preserve"> </w:t>
            </w:r>
            <w:r w:rsidRPr="004675E3">
              <w:rPr>
                <w:color w:val="000000" w:themeColor="text1"/>
                <w:w w:val="105"/>
              </w:rPr>
              <w:t xml:space="preserve">posiadających  umowy   kompleksowe   korzystających z mechanizmu określonego w art. 4 ust. </w:t>
            </w:r>
            <w:r>
              <w:rPr>
                <w:color w:val="000000" w:themeColor="text1"/>
                <w:w w:val="105"/>
              </w:rPr>
              <w:t>1</w:t>
            </w:r>
            <w:r w:rsidRPr="004675E3">
              <w:rPr>
                <w:color w:val="000000" w:themeColor="text1"/>
                <w:w w:val="105"/>
              </w:rPr>
              <w:t xml:space="preserve"> albo </w:t>
            </w:r>
            <w:r>
              <w:rPr>
                <w:color w:val="000000" w:themeColor="text1"/>
                <w:w w:val="105"/>
              </w:rPr>
              <w:t>1</w:t>
            </w:r>
            <w:r w:rsidRPr="004675E3">
              <w:rPr>
                <w:color w:val="000000" w:themeColor="text1"/>
                <w:w w:val="105"/>
              </w:rPr>
              <w:t>a Ustawy</w:t>
            </w:r>
            <w:r w:rsidRPr="004675E3">
              <w:rPr>
                <w:color w:val="000000" w:themeColor="text1"/>
                <w:spacing w:val="-24"/>
                <w:w w:val="105"/>
              </w:rPr>
              <w:t xml:space="preserve"> </w:t>
            </w:r>
            <w:r w:rsidRPr="004675E3">
              <w:rPr>
                <w:color w:val="000000" w:themeColor="text1"/>
                <w:w w:val="105"/>
              </w:rPr>
              <w:t>OZE.</w:t>
            </w:r>
          </w:p>
        </w:tc>
      </w:tr>
      <w:tr w:rsidR="00316C78" w:rsidRPr="002B5135" w14:paraId="3A81124C" w14:textId="77777777" w:rsidTr="00316C78">
        <w:tc>
          <w:tcPr>
            <w:tcW w:w="737" w:type="dxa"/>
            <w:shd w:val="clear" w:color="auto" w:fill="auto"/>
          </w:tcPr>
          <w:p w14:paraId="0EAD7F2E" w14:textId="11B0F5EF" w:rsidR="00316C78" w:rsidRPr="003F5187" w:rsidRDefault="00316C78" w:rsidP="00273E8A">
            <w:pPr>
              <w:spacing w:before="240"/>
            </w:pPr>
            <w:r>
              <w:t>B.12.</w:t>
            </w:r>
          </w:p>
        </w:tc>
        <w:tc>
          <w:tcPr>
            <w:tcW w:w="8147" w:type="dxa"/>
            <w:shd w:val="clear" w:color="auto" w:fill="auto"/>
          </w:tcPr>
          <w:p w14:paraId="5E8A2909" w14:textId="77777777" w:rsidR="00316C78" w:rsidRDefault="00316C78" w:rsidP="00C07EB1">
            <w:pPr>
              <w:pStyle w:val="Default"/>
              <w:jc w:val="both"/>
            </w:pPr>
          </w:p>
          <w:p w14:paraId="30F4CD9F" w14:textId="19B416D3" w:rsidR="00316C78" w:rsidRPr="00C5253F" w:rsidRDefault="00316C78" w:rsidP="00C07EB1">
            <w:pPr>
              <w:pStyle w:val="Default"/>
              <w:jc w:val="both"/>
            </w:pPr>
            <w:r w:rsidRPr="00C5253F">
              <w:lastRenderedPageBreak/>
              <w:t xml:space="preserve">OSDn zamieszcza na swojej stronie internetowej wykaz informacji, które zgodnie </w:t>
            </w:r>
            <w:r w:rsidR="00AC15FC">
              <w:br/>
            </w:r>
            <w:r w:rsidRPr="00C5253F">
              <w:t>z art. 12 ust. 1 ustawy o prawach konsumenta winny być przekazane konsumentowi zamierzającemu zawrzeć umowę dystrybucji z OSDn</w:t>
            </w:r>
          </w:p>
        </w:tc>
      </w:tr>
    </w:tbl>
    <w:p w14:paraId="227AB755" w14:textId="77777777" w:rsidR="00572BA3" w:rsidRDefault="00572BA3">
      <w:pPr>
        <w:spacing w:line="131" w:lineRule="exact"/>
        <w:rPr>
          <w:rFonts w:eastAsia="Times New Roman"/>
        </w:rPr>
      </w:pPr>
    </w:p>
    <w:p w14:paraId="58D805BA" w14:textId="77777777" w:rsidR="001024B2" w:rsidRDefault="001024B2">
      <w:pPr>
        <w:spacing w:line="131" w:lineRule="exact"/>
        <w:rPr>
          <w:rFonts w:eastAsia="Times New Roman"/>
        </w:rPr>
      </w:pPr>
    </w:p>
    <w:p w14:paraId="7260A634" w14:textId="77777777" w:rsidR="001024B2" w:rsidRPr="00223603" w:rsidRDefault="001024B2" w:rsidP="00F0330B">
      <w:pPr>
        <w:pStyle w:val="Nagwek1"/>
        <w:tabs>
          <w:tab w:val="left" w:pos="709"/>
        </w:tabs>
        <w:spacing w:before="120"/>
        <w:ind w:left="709" w:hanging="709"/>
        <w:rPr>
          <w:sz w:val="28"/>
          <w:szCs w:val="28"/>
        </w:rPr>
      </w:pPr>
      <w:bookmarkStart w:id="111" w:name="_Toc346368062"/>
      <w:bookmarkStart w:id="112" w:name="_Toc532193590"/>
      <w:bookmarkStart w:id="113" w:name="_Toc141963919"/>
      <w:r w:rsidRPr="002B5135">
        <w:rPr>
          <w:sz w:val="28"/>
          <w:szCs w:val="28"/>
        </w:rPr>
        <w:t>C.</w:t>
      </w:r>
      <w:r w:rsidRPr="002B5135">
        <w:rPr>
          <w:sz w:val="28"/>
          <w:szCs w:val="28"/>
        </w:rPr>
        <w:tab/>
        <w:t xml:space="preserve">ZASADY WYZNACZANIA, PRZEKAZYWANIA </w:t>
      </w:r>
      <w:r>
        <w:rPr>
          <w:sz w:val="28"/>
          <w:szCs w:val="28"/>
        </w:rPr>
        <w:br/>
      </w:r>
      <w:r w:rsidRPr="002B5135">
        <w:rPr>
          <w:sz w:val="28"/>
          <w:szCs w:val="28"/>
        </w:rPr>
        <w:t>I UDOSTĘPNIANIA DANYCH POMIAROWYCH</w:t>
      </w:r>
      <w:bookmarkEnd w:id="111"/>
      <w:bookmarkEnd w:id="112"/>
      <w:bookmarkEnd w:id="113"/>
      <w:r>
        <w:rPr>
          <w:sz w:val="28"/>
          <w:szCs w:val="28"/>
        </w:rPr>
        <w:t xml:space="preserve"> </w:t>
      </w:r>
    </w:p>
    <w:tbl>
      <w:tblPr>
        <w:tblW w:w="9180" w:type="dxa"/>
        <w:tblInd w:w="-108" w:type="dxa"/>
        <w:tblLayout w:type="fixed"/>
        <w:tblCellMar>
          <w:left w:w="0" w:type="dxa"/>
          <w:right w:w="0" w:type="dxa"/>
        </w:tblCellMar>
        <w:tblLook w:val="01E0" w:firstRow="1" w:lastRow="1" w:firstColumn="1" w:lastColumn="1" w:noHBand="0" w:noVBand="0"/>
      </w:tblPr>
      <w:tblGrid>
        <w:gridCol w:w="1135"/>
        <w:gridCol w:w="8045"/>
      </w:tblGrid>
      <w:tr w:rsidR="001024B2" w:rsidRPr="00F33072" w14:paraId="465812C0" w14:textId="77777777" w:rsidTr="00766DFA">
        <w:tc>
          <w:tcPr>
            <w:tcW w:w="1135" w:type="dxa"/>
          </w:tcPr>
          <w:p w14:paraId="00D51FD7" w14:textId="77777777" w:rsidR="001024B2" w:rsidRPr="00F33072" w:rsidRDefault="001024B2" w:rsidP="00C07EB1">
            <w:r w:rsidRPr="00F33072">
              <w:t>C.1.</w:t>
            </w:r>
          </w:p>
        </w:tc>
        <w:tc>
          <w:tcPr>
            <w:tcW w:w="8045" w:type="dxa"/>
            <w:shd w:val="clear" w:color="auto" w:fill="auto"/>
          </w:tcPr>
          <w:p w14:paraId="0B3333D4" w14:textId="77777777" w:rsidR="001024B2" w:rsidRPr="00C753F5" w:rsidRDefault="001024B2" w:rsidP="00C07EB1">
            <w:pPr>
              <w:rPr>
                <w:highlight w:val="yellow"/>
              </w:rPr>
            </w:pPr>
            <w:r w:rsidRPr="00C753F5">
              <w:t xml:space="preserve">OSDn </w:t>
            </w:r>
            <w:r w:rsidR="009B677C">
              <w:t>realizuje zadania</w:t>
            </w:r>
            <w:r w:rsidRPr="00C753F5">
              <w:t xml:space="preserve"> Operatora Pomiarów i administruje danymi pomiarowymi </w:t>
            </w:r>
            <w:r w:rsidRPr="00C753F5">
              <w:br/>
              <w:t>w obszarze swojej sieci dystrybucyjnej. OSDn może zlecić realizację niektórych funkcji Operatora Pomiarów innemu podmiotowi.</w:t>
            </w:r>
          </w:p>
        </w:tc>
      </w:tr>
      <w:tr w:rsidR="001024B2" w:rsidRPr="00F33072" w14:paraId="1976C1BA" w14:textId="77777777" w:rsidTr="00766DFA">
        <w:tc>
          <w:tcPr>
            <w:tcW w:w="1135" w:type="dxa"/>
          </w:tcPr>
          <w:p w14:paraId="3BD420B6" w14:textId="77777777" w:rsidR="001024B2" w:rsidRPr="00F33072" w:rsidRDefault="001024B2" w:rsidP="00C07EB1">
            <w:r w:rsidRPr="00F33072">
              <w:t>C.2.</w:t>
            </w:r>
          </w:p>
        </w:tc>
        <w:tc>
          <w:tcPr>
            <w:tcW w:w="8045" w:type="dxa"/>
            <w:shd w:val="clear" w:color="auto" w:fill="auto"/>
          </w:tcPr>
          <w:p w14:paraId="53F7B6E4" w14:textId="033FBE7B" w:rsidR="001024B2" w:rsidRPr="00E6320E" w:rsidRDefault="001024B2" w:rsidP="00C07EB1">
            <w:pPr>
              <w:widowControl w:val="0"/>
              <w:adjustRightInd w:val="0"/>
              <w:jc w:val="both"/>
              <w:textAlignment w:val="baseline"/>
            </w:pPr>
            <w:r w:rsidRPr="00E6320E">
              <w:t xml:space="preserve">Administrowanie przez OSDn danymi pomiarowymi w obszarze sieci dystrybucyjnej polega na wyznaczaniu ilości dostaw energii dla potrzeb rozliczeń </w:t>
            </w:r>
            <w:r w:rsidR="009424F8">
              <w:t xml:space="preserve">m. in. </w:t>
            </w:r>
            <w:r w:rsidRPr="00E6320E">
              <w:t>na Rynku Bilansującym, Rynku Detalicznym</w:t>
            </w:r>
            <w:r w:rsidR="00546653">
              <w:t>, rynku moc</w:t>
            </w:r>
            <w:r w:rsidR="009424F8">
              <w:t xml:space="preserve">y, </w:t>
            </w:r>
            <w:r w:rsidRPr="00E6320E">
              <w:t xml:space="preserve">usług dystrybucyjnych </w:t>
            </w:r>
            <w:r w:rsidR="00F729B4">
              <w:t xml:space="preserve">oraz innych potrzeb </w:t>
            </w:r>
            <w:r w:rsidRPr="00E6320E">
              <w:t>i obejmuje następujące zadania:</w:t>
            </w:r>
          </w:p>
          <w:p w14:paraId="61301B53" w14:textId="622ADEDC" w:rsidR="001024B2" w:rsidRPr="00E6320E" w:rsidRDefault="001024B2">
            <w:pPr>
              <w:widowControl w:val="0"/>
              <w:numPr>
                <w:ilvl w:val="0"/>
                <w:numId w:val="177"/>
              </w:numPr>
              <w:adjustRightInd w:val="0"/>
              <w:jc w:val="both"/>
              <w:textAlignment w:val="baseline"/>
            </w:pPr>
            <w:r w:rsidRPr="00E6320E">
              <w:t>eksploatacja i rozwój LSPR, służącego pozyskiwaniu, przetwarzaniu oraz zarządzaniu danymi pomiarowymi,</w:t>
            </w:r>
          </w:p>
          <w:p w14:paraId="0D951878" w14:textId="77777777" w:rsidR="001024B2" w:rsidRPr="00E6320E" w:rsidRDefault="001024B2">
            <w:pPr>
              <w:widowControl w:val="0"/>
              <w:numPr>
                <w:ilvl w:val="0"/>
                <w:numId w:val="177"/>
              </w:numPr>
              <w:adjustRightInd w:val="0"/>
              <w:jc w:val="both"/>
              <w:textAlignment w:val="baseline"/>
            </w:pPr>
            <w:r w:rsidRPr="00E6320E">
              <w:t>akwizycja danych pomiarowych z układów pomiarowo-rozliczeniowych energii elektrycznej zainstalowanych na obszarze działania OSDn,</w:t>
            </w:r>
          </w:p>
          <w:p w14:paraId="2BD87ADA" w14:textId="77777777" w:rsidR="001024B2" w:rsidRPr="00E6320E" w:rsidRDefault="001024B2">
            <w:pPr>
              <w:widowControl w:val="0"/>
              <w:numPr>
                <w:ilvl w:val="0"/>
                <w:numId w:val="177"/>
              </w:numPr>
              <w:adjustRightInd w:val="0"/>
              <w:jc w:val="both"/>
              <w:textAlignment w:val="baseline"/>
            </w:pPr>
            <w:r w:rsidRPr="00E6320E">
              <w:t>wyznaczanie ilości dostaw energii elektrycznej w poszczególnych rzeczywistych punktach poboru energii z sieci dystrybucyjnej,</w:t>
            </w:r>
          </w:p>
          <w:p w14:paraId="7476047B" w14:textId="1E8A7236" w:rsidR="001024B2" w:rsidRPr="00E6320E" w:rsidRDefault="001024B2">
            <w:pPr>
              <w:widowControl w:val="0"/>
              <w:numPr>
                <w:ilvl w:val="0"/>
                <w:numId w:val="177"/>
              </w:numPr>
              <w:adjustRightInd w:val="0"/>
              <w:jc w:val="both"/>
              <w:textAlignment w:val="baseline"/>
            </w:pPr>
            <w:r w:rsidRPr="00E6320E">
              <w:t>udostępnianie OSP</w:t>
            </w:r>
            <w:r w:rsidR="009424F8">
              <w:t>, sąsiednim OSD, POB, sprzedawcom oraz URD za pośrednictwem OSDp</w:t>
            </w:r>
            <w:r w:rsidRPr="00E6320E">
              <w:t xml:space="preserve"> danych pomiarowych</w:t>
            </w:r>
            <w:r w:rsidR="009424F8">
              <w:t xml:space="preserve"> </w:t>
            </w:r>
            <w:r w:rsidRPr="00E6320E">
              <w:t xml:space="preserve">i pomiarowo-rozliczeniowych, </w:t>
            </w:r>
          </w:p>
          <w:p w14:paraId="6E96CBCE" w14:textId="24D2FA9D" w:rsidR="001024B2" w:rsidRPr="00E6320E" w:rsidRDefault="001024B2">
            <w:pPr>
              <w:numPr>
                <w:ilvl w:val="0"/>
                <w:numId w:val="177"/>
              </w:numPr>
              <w:jc w:val="both"/>
            </w:pPr>
            <w:r w:rsidRPr="00E6320E">
              <w:t xml:space="preserve">rozpatrywanie reklamacji, zgłaszanych przez podmioty wymienione w ppkt. </w:t>
            </w:r>
            <w:r w:rsidR="00042C91">
              <w:t>d</w:t>
            </w:r>
            <w:r w:rsidRPr="00E6320E">
              <w:t xml:space="preserve">), dotyczących </w:t>
            </w:r>
            <w:r w:rsidR="00042C91">
              <w:t xml:space="preserve">nieudostępnionych danych pomiarowych lub </w:t>
            </w:r>
            <w:r w:rsidRPr="00E6320E">
              <w:t xml:space="preserve">przyporządkowanych </w:t>
            </w:r>
            <w:r w:rsidR="00042C91">
              <w:t xml:space="preserve">tym podmiotom </w:t>
            </w:r>
            <w:r w:rsidRPr="00E6320E">
              <w:t>ilości dostarczanej energii elektrycznej</w:t>
            </w:r>
            <w:r w:rsidR="00042C91">
              <w:t xml:space="preserve"> </w:t>
            </w:r>
            <w:r w:rsidRPr="00E6320E">
              <w:t>i wprowadzanie niezbędnych korekt w wymagających tego przypadkach.</w:t>
            </w:r>
          </w:p>
          <w:p w14:paraId="2A15980C" w14:textId="77777777" w:rsidR="001024B2" w:rsidRPr="00E6320E" w:rsidRDefault="001024B2" w:rsidP="00C07EB1">
            <w:pPr>
              <w:jc w:val="both"/>
            </w:pPr>
            <w:r w:rsidRPr="00E6320E">
              <w:t xml:space="preserve">Przekazywanie danych pomiarowych i pomiarowo-rozliczeniowych do OSP, </w:t>
            </w:r>
            <w:r w:rsidRPr="00E6320E">
              <w:br/>
              <w:t>o którym mowa w ppkt. f) odbywa się na zasadach określonych w umowie zawartej z OSDp, o której mowa w pkt. A.4.1. oraz IRiESD OSDp.</w:t>
            </w:r>
          </w:p>
        </w:tc>
      </w:tr>
      <w:tr w:rsidR="001024B2" w:rsidRPr="00F33072" w14:paraId="7F595713" w14:textId="77777777" w:rsidTr="00766DFA">
        <w:trPr>
          <w:trHeight w:val="727"/>
        </w:trPr>
        <w:tc>
          <w:tcPr>
            <w:tcW w:w="1135" w:type="dxa"/>
          </w:tcPr>
          <w:p w14:paraId="7BF2CD57" w14:textId="77777777" w:rsidR="001024B2" w:rsidRPr="00F33072" w:rsidRDefault="001024B2" w:rsidP="002B020B">
            <w:r w:rsidRPr="00F33072">
              <w:t>C.3.</w:t>
            </w:r>
          </w:p>
        </w:tc>
        <w:tc>
          <w:tcPr>
            <w:tcW w:w="8045" w:type="dxa"/>
            <w:shd w:val="clear" w:color="auto" w:fill="auto"/>
          </w:tcPr>
          <w:p w14:paraId="5042FEAE" w14:textId="26AA45A4" w:rsidR="00801683" w:rsidRPr="00801683" w:rsidRDefault="008849AA" w:rsidP="002B020B">
            <w:pPr>
              <w:pStyle w:val="Tekstpodstawowy"/>
              <w:spacing w:before="0" w:line="240" w:lineRule="auto"/>
              <w:ind w:right="4"/>
              <w:rPr>
                <w:color w:val="000000" w:themeColor="text1"/>
                <w:szCs w:val="24"/>
              </w:rPr>
            </w:pPr>
            <w:r>
              <w:rPr>
                <w:color w:val="000000" w:themeColor="text1"/>
                <w:w w:val="105"/>
                <w:szCs w:val="24"/>
                <w:lang w:val="pl-PL"/>
              </w:rPr>
              <w:t xml:space="preserve">OSDn </w:t>
            </w:r>
            <w:r w:rsidR="00801683" w:rsidRPr="00801683">
              <w:rPr>
                <w:color w:val="000000" w:themeColor="text1"/>
                <w:w w:val="105"/>
                <w:szCs w:val="24"/>
              </w:rPr>
              <w:t xml:space="preserve">pozyskuje dane pomiarowe i wyznacza rzeczywiste ilości energii elektrycznej poprzez LSPR. </w:t>
            </w:r>
            <w:r>
              <w:rPr>
                <w:color w:val="000000" w:themeColor="text1"/>
                <w:w w:val="105"/>
                <w:szCs w:val="24"/>
                <w:lang w:val="pl-PL"/>
              </w:rPr>
              <w:t>O</w:t>
            </w:r>
            <w:r w:rsidR="003A5463">
              <w:rPr>
                <w:color w:val="000000" w:themeColor="text1"/>
                <w:w w:val="105"/>
                <w:szCs w:val="24"/>
                <w:lang w:val="pl-PL"/>
              </w:rPr>
              <w:t xml:space="preserve">SDn </w:t>
            </w:r>
            <w:r w:rsidR="00801683" w:rsidRPr="00801683">
              <w:rPr>
                <w:color w:val="000000" w:themeColor="text1"/>
                <w:w w:val="105"/>
                <w:szCs w:val="24"/>
              </w:rPr>
              <w:t>pozyskuje te dane w postaci:</w:t>
            </w:r>
          </w:p>
          <w:p w14:paraId="35314841" w14:textId="7E97FB5A" w:rsidR="00801683" w:rsidRPr="00801683" w:rsidRDefault="00060865">
            <w:pPr>
              <w:pStyle w:val="Akapitzlist"/>
              <w:widowControl w:val="0"/>
              <w:numPr>
                <w:ilvl w:val="0"/>
                <w:numId w:val="348"/>
              </w:numPr>
              <w:tabs>
                <w:tab w:val="left" w:pos="1039"/>
              </w:tabs>
              <w:autoSpaceDE w:val="0"/>
              <w:autoSpaceDN w:val="0"/>
              <w:spacing w:before="120"/>
              <w:ind w:left="0" w:right="4"/>
              <w:jc w:val="both"/>
              <w:rPr>
                <w:color w:val="000000" w:themeColor="text1"/>
                <w:szCs w:val="24"/>
              </w:rPr>
            </w:pPr>
            <w:r>
              <w:rPr>
                <w:color w:val="000000" w:themeColor="text1"/>
                <w:w w:val="105"/>
                <w:szCs w:val="24"/>
              </w:rPr>
              <w:t xml:space="preserve">a) </w:t>
            </w:r>
            <w:r w:rsidR="00801683" w:rsidRPr="00801683">
              <w:rPr>
                <w:color w:val="000000" w:themeColor="text1"/>
                <w:w w:val="105"/>
                <w:szCs w:val="24"/>
              </w:rPr>
              <w:t xml:space="preserve">ilości energii elektrycznej pobranej z sieci dystrybucyjnej </w:t>
            </w:r>
            <w:r w:rsidR="0070206E">
              <w:rPr>
                <w:color w:val="000000" w:themeColor="text1"/>
                <w:w w:val="105"/>
                <w:szCs w:val="24"/>
              </w:rPr>
              <w:t>OSDn</w:t>
            </w:r>
            <w:r w:rsidR="00801683" w:rsidRPr="00801683">
              <w:rPr>
                <w:color w:val="000000" w:themeColor="text1"/>
                <w:w w:val="105"/>
                <w:szCs w:val="24"/>
              </w:rPr>
              <w:t xml:space="preserve"> lub wprowadzonej do tej sieci przez URD, wyznaczone na podstawie profilu energii elektrycznej pochodzącego z licznika zdalnego</w:t>
            </w:r>
            <w:r w:rsidR="00801683" w:rsidRPr="00801683">
              <w:rPr>
                <w:color w:val="000000" w:themeColor="text1"/>
                <w:spacing w:val="53"/>
                <w:w w:val="105"/>
                <w:szCs w:val="24"/>
              </w:rPr>
              <w:t xml:space="preserve"> </w:t>
            </w:r>
            <w:r w:rsidR="00801683" w:rsidRPr="00801683">
              <w:rPr>
                <w:color w:val="000000" w:themeColor="text1"/>
                <w:w w:val="105"/>
                <w:szCs w:val="24"/>
              </w:rPr>
              <w:t>odczytu,</w:t>
            </w:r>
          </w:p>
          <w:p w14:paraId="3EADC6CC" w14:textId="77777777" w:rsidR="00801683" w:rsidRPr="0070206E" w:rsidRDefault="00801683">
            <w:pPr>
              <w:pStyle w:val="Akapitzlist"/>
              <w:widowControl w:val="0"/>
              <w:numPr>
                <w:ilvl w:val="0"/>
                <w:numId w:val="348"/>
              </w:numPr>
              <w:autoSpaceDE w:val="0"/>
              <w:autoSpaceDN w:val="0"/>
              <w:spacing w:before="119"/>
              <w:ind w:left="393" w:right="4" w:hanging="393"/>
              <w:jc w:val="both"/>
              <w:rPr>
                <w:color w:val="000000" w:themeColor="text1"/>
                <w:szCs w:val="24"/>
              </w:rPr>
            </w:pPr>
            <w:r w:rsidRPr="0070206E">
              <w:rPr>
                <w:color w:val="000000" w:themeColor="text1"/>
                <w:w w:val="105"/>
                <w:szCs w:val="24"/>
              </w:rPr>
              <w:t>okresowych stanów (wskazań) liczydeł</w:t>
            </w:r>
            <w:r w:rsidRPr="0070206E">
              <w:rPr>
                <w:color w:val="000000" w:themeColor="text1"/>
                <w:spacing w:val="50"/>
                <w:w w:val="105"/>
                <w:szCs w:val="24"/>
              </w:rPr>
              <w:t xml:space="preserve"> </w:t>
            </w:r>
            <w:r w:rsidRPr="0070206E">
              <w:rPr>
                <w:color w:val="000000" w:themeColor="text1"/>
                <w:w w:val="105"/>
                <w:szCs w:val="24"/>
              </w:rPr>
              <w:t>liczników.</w:t>
            </w:r>
          </w:p>
          <w:p w14:paraId="2BB04A24" w14:textId="25F0A513" w:rsidR="00801683" w:rsidRPr="00801683" w:rsidRDefault="00801683" w:rsidP="002B020B">
            <w:pPr>
              <w:pStyle w:val="Tekstpodstawowy"/>
              <w:spacing w:before="132" w:line="240" w:lineRule="auto"/>
              <w:ind w:right="4" w:hanging="4"/>
              <w:rPr>
                <w:color w:val="000000" w:themeColor="text1"/>
                <w:szCs w:val="24"/>
              </w:rPr>
            </w:pPr>
            <w:r w:rsidRPr="00801683">
              <w:rPr>
                <w:color w:val="000000" w:themeColor="text1"/>
                <w:w w:val="105"/>
                <w:szCs w:val="24"/>
              </w:rPr>
              <w:t xml:space="preserve">Ilości energii, które ze względu na dokładność nie zostały zarejestrowane </w:t>
            </w:r>
            <w:r w:rsidR="000B5618">
              <w:rPr>
                <w:color w:val="000000" w:themeColor="text1"/>
                <w:w w:val="105"/>
                <w:szCs w:val="24"/>
              </w:rPr>
              <w:br/>
            </w:r>
            <w:r w:rsidRPr="00801683">
              <w:rPr>
                <w:color w:val="000000" w:themeColor="text1"/>
                <w:w w:val="105"/>
                <w:szCs w:val="24"/>
              </w:rPr>
              <w:t>w okresie rozliczeniowym powinny zostać przeniesione do następnego</w:t>
            </w:r>
            <w:r w:rsidRPr="00801683">
              <w:rPr>
                <w:color w:val="000000" w:themeColor="text1"/>
                <w:spacing w:val="42"/>
                <w:w w:val="105"/>
                <w:szCs w:val="24"/>
              </w:rPr>
              <w:t xml:space="preserve"> </w:t>
            </w:r>
            <w:r w:rsidRPr="00801683">
              <w:rPr>
                <w:color w:val="000000" w:themeColor="text1"/>
                <w:w w:val="105"/>
                <w:szCs w:val="24"/>
              </w:rPr>
              <w:t>okresu.</w:t>
            </w:r>
          </w:p>
          <w:p w14:paraId="25190C3D" w14:textId="7F0551E2" w:rsidR="00801683" w:rsidRPr="00801683" w:rsidRDefault="000B5618" w:rsidP="002B020B">
            <w:pPr>
              <w:pStyle w:val="Tekstpodstawowy"/>
              <w:spacing w:before="116" w:line="240" w:lineRule="auto"/>
              <w:ind w:right="4"/>
              <w:rPr>
                <w:color w:val="000000" w:themeColor="text1"/>
                <w:szCs w:val="24"/>
              </w:rPr>
            </w:pPr>
            <w:r>
              <w:rPr>
                <w:color w:val="000000" w:themeColor="text1"/>
                <w:w w:val="105"/>
                <w:szCs w:val="24"/>
                <w:lang w:val="pl-PL"/>
              </w:rPr>
              <w:t xml:space="preserve">OSDn </w:t>
            </w:r>
            <w:r w:rsidR="00801683" w:rsidRPr="00801683">
              <w:rPr>
                <w:color w:val="000000" w:themeColor="text1"/>
                <w:w w:val="105"/>
                <w:szCs w:val="24"/>
              </w:rPr>
              <w:t>pozyskuje dane pomiarowe, o</w:t>
            </w:r>
            <w:r w:rsidR="00801683" w:rsidRPr="00801683">
              <w:rPr>
                <w:color w:val="000000" w:themeColor="text1"/>
                <w:spacing w:val="-45"/>
                <w:w w:val="105"/>
                <w:szCs w:val="24"/>
              </w:rPr>
              <w:t xml:space="preserve"> </w:t>
            </w:r>
            <w:r w:rsidR="00801683" w:rsidRPr="00801683">
              <w:rPr>
                <w:color w:val="000000" w:themeColor="text1"/>
                <w:w w:val="105"/>
                <w:szCs w:val="24"/>
              </w:rPr>
              <w:t>których mowa:</w:t>
            </w:r>
          </w:p>
          <w:p w14:paraId="4CF74CBD" w14:textId="2183E161" w:rsidR="00801683" w:rsidRPr="00801683" w:rsidRDefault="00996D31" w:rsidP="002B020B">
            <w:pPr>
              <w:pStyle w:val="Tekstpodstawowy"/>
              <w:spacing w:before="150" w:line="240" w:lineRule="auto"/>
              <w:ind w:right="4"/>
              <w:rPr>
                <w:color w:val="000000" w:themeColor="text1"/>
                <w:szCs w:val="24"/>
              </w:rPr>
            </w:pPr>
            <w:r>
              <w:rPr>
                <w:color w:val="000000" w:themeColor="text1"/>
                <w:w w:val="105"/>
                <w:szCs w:val="24"/>
                <w:lang w:val="pl-PL"/>
              </w:rPr>
              <w:t>1</w:t>
            </w:r>
            <w:r w:rsidR="00801683" w:rsidRPr="00801683">
              <w:rPr>
                <w:color w:val="000000" w:themeColor="text1"/>
                <w:w w:val="105"/>
                <w:szCs w:val="24"/>
              </w:rPr>
              <w:t xml:space="preserve">) w lit. a) - nie rzadziej niż </w:t>
            </w:r>
            <w:r>
              <w:rPr>
                <w:color w:val="000000" w:themeColor="text1"/>
                <w:w w:val="105"/>
                <w:szCs w:val="24"/>
                <w:lang w:val="pl-PL"/>
              </w:rPr>
              <w:t>1</w:t>
            </w:r>
            <w:r w:rsidR="00801683" w:rsidRPr="00801683">
              <w:rPr>
                <w:color w:val="000000" w:themeColor="text1"/>
                <w:w w:val="105"/>
                <w:szCs w:val="24"/>
              </w:rPr>
              <w:t xml:space="preserve"> raz na dobę,</w:t>
            </w:r>
          </w:p>
          <w:p w14:paraId="4883B23B" w14:textId="7E44EA0C" w:rsidR="001024B2" w:rsidRPr="00801683" w:rsidRDefault="00801683" w:rsidP="002B020B">
            <w:pPr>
              <w:pStyle w:val="Default"/>
              <w:ind w:right="4"/>
              <w:jc w:val="both"/>
              <w:rPr>
                <w:color w:val="000000" w:themeColor="text1"/>
              </w:rPr>
            </w:pPr>
            <w:r w:rsidRPr="00801683">
              <w:rPr>
                <w:color w:val="000000" w:themeColor="text1"/>
                <w:w w:val="105"/>
              </w:rPr>
              <w:t xml:space="preserve">2) w lit. b) - w cyklach zgodnych z okresem rozliczeniowym usług dystrybucji energii elektrycznej będących przedmiotem umów dystrybucyjnych zawartych pomiędzy </w:t>
            </w:r>
            <w:r w:rsidR="00996D31">
              <w:rPr>
                <w:color w:val="000000" w:themeColor="text1"/>
                <w:w w:val="105"/>
              </w:rPr>
              <w:t>OSDn</w:t>
            </w:r>
            <w:r w:rsidRPr="00801683">
              <w:rPr>
                <w:color w:val="000000" w:themeColor="text1"/>
                <w:w w:val="105"/>
              </w:rPr>
              <w:t xml:space="preserve">, a URD albo umów kompleksowych zawartych pomiędzy sprzedawcą a URD. Okres rozliczeniowy wynika z przyjętego przez </w:t>
            </w:r>
            <w:r w:rsidR="00DD2F22">
              <w:rPr>
                <w:color w:val="000000" w:themeColor="text1"/>
                <w:w w:val="105"/>
              </w:rPr>
              <w:t>OSDn</w:t>
            </w:r>
            <w:r w:rsidRPr="00801683">
              <w:rPr>
                <w:color w:val="000000" w:themeColor="text1"/>
                <w:w w:val="105"/>
              </w:rPr>
              <w:t xml:space="preserve"> harmonogramu odczytów wskazań układów pomiarowo-rozliczeniowych i jest określany w umowach dystrybucyjnych albo w umowach</w:t>
            </w:r>
            <w:r w:rsidRPr="00801683">
              <w:rPr>
                <w:color w:val="000000" w:themeColor="text1"/>
                <w:spacing w:val="32"/>
                <w:w w:val="105"/>
              </w:rPr>
              <w:t xml:space="preserve"> </w:t>
            </w:r>
            <w:r w:rsidRPr="00801683">
              <w:rPr>
                <w:color w:val="000000" w:themeColor="text1"/>
                <w:w w:val="105"/>
              </w:rPr>
              <w:t>kompleksowych</w:t>
            </w:r>
            <w:r w:rsidR="00595F8A">
              <w:rPr>
                <w:color w:val="000000" w:themeColor="text1"/>
                <w:w w:val="105"/>
              </w:rPr>
              <w:t>.</w:t>
            </w:r>
          </w:p>
        </w:tc>
      </w:tr>
      <w:tr w:rsidR="001024B2" w:rsidRPr="00F33072" w14:paraId="6C40E85A" w14:textId="77777777" w:rsidTr="00766DFA">
        <w:tc>
          <w:tcPr>
            <w:tcW w:w="1135" w:type="dxa"/>
          </w:tcPr>
          <w:p w14:paraId="216E6559" w14:textId="77777777" w:rsidR="001024B2" w:rsidRPr="00F33072" w:rsidRDefault="001024B2" w:rsidP="00C07EB1">
            <w:r w:rsidRPr="00F33072">
              <w:lastRenderedPageBreak/>
              <w:t>C.4.</w:t>
            </w:r>
          </w:p>
        </w:tc>
        <w:tc>
          <w:tcPr>
            <w:tcW w:w="8045" w:type="dxa"/>
            <w:shd w:val="clear" w:color="auto" w:fill="auto"/>
          </w:tcPr>
          <w:p w14:paraId="2332BB1C" w14:textId="76E575DD" w:rsidR="001024B2" w:rsidRPr="00C753F5" w:rsidRDefault="001024B2" w:rsidP="00C07EB1">
            <w:pPr>
              <w:jc w:val="both"/>
            </w:pPr>
            <w:r w:rsidRPr="00C753F5">
              <w:t xml:space="preserve">OSDn wyznacza rzeczywiste godzinowe ilości energii, o których mowa </w:t>
            </w:r>
            <w:r>
              <w:br/>
            </w:r>
            <w:r w:rsidRPr="00C753F5">
              <w:t>w pkt</w:t>
            </w:r>
            <w:r>
              <w:t>.</w:t>
            </w:r>
            <w:r w:rsidRPr="00C753F5">
              <w:t xml:space="preserve"> C.2.c), pkt</w:t>
            </w:r>
            <w:r>
              <w:t>.</w:t>
            </w:r>
            <w:r w:rsidRPr="00C753F5">
              <w:t xml:space="preserve"> C.2.e) i pkt</w:t>
            </w:r>
            <w:r>
              <w:t>.</w:t>
            </w:r>
            <w:r w:rsidRPr="00C753F5">
              <w:t xml:space="preserve"> C.2.f), w podziale na </w:t>
            </w:r>
            <w:r w:rsidR="006305E6">
              <w:t>energię pobraną z sieci dystrybucyjnej OSDn lub wprowadzoną</w:t>
            </w:r>
            <w:r w:rsidRPr="00C753F5">
              <w:t xml:space="preserve"> do </w:t>
            </w:r>
            <w:r w:rsidR="006305E6">
              <w:t xml:space="preserve">tej </w:t>
            </w:r>
            <w:r w:rsidRPr="00C753F5">
              <w:t>sieci.</w:t>
            </w:r>
          </w:p>
        </w:tc>
      </w:tr>
      <w:tr w:rsidR="009D5DAF" w:rsidRPr="009D5DAF" w14:paraId="0B61C2B6" w14:textId="77777777" w:rsidTr="00766DFA">
        <w:trPr>
          <w:trHeight w:val="356"/>
        </w:trPr>
        <w:tc>
          <w:tcPr>
            <w:tcW w:w="1135" w:type="dxa"/>
          </w:tcPr>
          <w:p w14:paraId="111EB3F8" w14:textId="77777777" w:rsidR="001024B2" w:rsidRPr="003F5187" w:rsidRDefault="001024B2" w:rsidP="00C07EB1">
            <w:r w:rsidRPr="003F5187">
              <w:t>C.5.</w:t>
            </w:r>
          </w:p>
        </w:tc>
        <w:tc>
          <w:tcPr>
            <w:tcW w:w="8045" w:type="dxa"/>
            <w:shd w:val="clear" w:color="auto" w:fill="auto"/>
          </w:tcPr>
          <w:p w14:paraId="2A6F6D36" w14:textId="4E8CA4A4" w:rsidR="009D5DAF" w:rsidRPr="009D5DAF" w:rsidRDefault="009D5DAF" w:rsidP="009D5DAF">
            <w:pPr>
              <w:pStyle w:val="Tekstpodstawowy"/>
              <w:spacing w:before="126" w:line="240" w:lineRule="auto"/>
              <w:ind w:right="4"/>
              <w:rPr>
                <w:color w:val="000000" w:themeColor="text1"/>
                <w:szCs w:val="24"/>
              </w:rPr>
            </w:pPr>
            <w:r>
              <w:rPr>
                <w:color w:val="000000" w:themeColor="text1"/>
                <w:w w:val="105"/>
                <w:szCs w:val="24"/>
                <w:lang w:val="pl-PL"/>
              </w:rPr>
              <w:t xml:space="preserve">OSDn </w:t>
            </w:r>
            <w:r w:rsidRPr="009D5DAF">
              <w:rPr>
                <w:color w:val="000000" w:themeColor="text1"/>
                <w:w w:val="105"/>
                <w:szCs w:val="24"/>
              </w:rPr>
              <w:t xml:space="preserve">wyznacza ilości energii elektrycznej pobranej z sieci dystrybucyjnej </w:t>
            </w:r>
            <w:r w:rsidR="00F95EE1">
              <w:rPr>
                <w:color w:val="000000" w:themeColor="text1"/>
                <w:w w:val="105"/>
                <w:szCs w:val="24"/>
                <w:lang w:val="pl-PL"/>
              </w:rPr>
              <w:t>OSDn</w:t>
            </w:r>
            <w:r w:rsidRPr="009D5DAF">
              <w:rPr>
                <w:color w:val="000000" w:themeColor="text1"/>
                <w:w w:val="105"/>
                <w:szCs w:val="24"/>
              </w:rPr>
              <w:t xml:space="preserve"> lub wprowadzonej do tej sieci na podstawie:</w:t>
            </w:r>
          </w:p>
          <w:p w14:paraId="0FBD7EB2" w14:textId="59634988" w:rsidR="009D5DAF" w:rsidRPr="009D5DAF" w:rsidRDefault="009D5DAF">
            <w:pPr>
              <w:pStyle w:val="Akapitzlist"/>
              <w:widowControl w:val="0"/>
              <w:numPr>
                <w:ilvl w:val="0"/>
                <w:numId w:val="349"/>
              </w:numPr>
              <w:tabs>
                <w:tab w:val="left" w:pos="1067"/>
              </w:tabs>
              <w:autoSpaceDE w:val="0"/>
              <w:autoSpaceDN w:val="0"/>
              <w:spacing w:before="154"/>
              <w:ind w:left="251" w:right="4" w:hanging="251"/>
              <w:jc w:val="both"/>
              <w:rPr>
                <w:color w:val="000000" w:themeColor="text1"/>
                <w:szCs w:val="24"/>
              </w:rPr>
            </w:pPr>
            <w:r w:rsidRPr="009D5DAF">
              <w:rPr>
                <w:color w:val="000000" w:themeColor="text1"/>
                <w:w w:val="105"/>
                <w:szCs w:val="24"/>
              </w:rPr>
              <w:t>danych pomiarowych pozyskanych z punktów pomiarowych</w:t>
            </w:r>
            <w:r w:rsidRPr="009D5DAF">
              <w:rPr>
                <w:color w:val="000000" w:themeColor="text1"/>
                <w:spacing w:val="39"/>
                <w:w w:val="105"/>
                <w:szCs w:val="24"/>
              </w:rPr>
              <w:t xml:space="preserve"> </w:t>
            </w:r>
            <w:r w:rsidRPr="009D5DAF">
              <w:rPr>
                <w:color w:val="000000" w:themeColor="text1"/>
                <w:w w:val="105"/>
                <w:szCs w:val="24"/>
              </w:rPr>
              <w:t>lub</w:t>
            </w:r>
          </w:p>
          <w:p w14:paraId="73B2307A" w14:textId="004A5D61" w:rsidR="009D5DAF" w:rsidRPr="009D5DAF" w:rsidRDefault="009D5DAF">
            <w:pPr>
              <w:pStyle w:val="Akapitzlist"/>
              <w:widowControl w:val="0"/>
              <w:numPr>
                <w:ilvl w:val="0"/>
                <w:numId w:val="349"/>
              </w:numPr>
              <w:tabs>
                <w:tab w:val="left" w:pos="1065"/>
              </w:tabs>
              <w:autoSpaceDE w:val="0"/>
              <w:autoSpaceDN w:val="0"/>
              <w:spacing w:before="127"/>
              <w:ind w:left="251" w:right="4" w:hanging="251"/>
              <w:jc w:val="both"/>
              <w:rPr>
                <w:color w:val="000000" w:themeColor="text1"/>
                <w:szCs w:val="24"/>
              </w:rPr>
            </w:pPr>
            <w:r w:rsidRPr="009D5DAF">
              <w:rPr>
                <w:color w:val="000000" w:themeColor="text1"/>
                <w:w w:val="105"/>
                <w:szCs w:val="24"/>
              </w:rPr>
              <w:t>zastępczych danych pomiarowych, wyznaczonych na podstawie</w:t>
            </w:r>
            <w:r w:rsidR="001131AF">
              <w:rPr>
                <w:color w:val="000000" w:themeColor="text1"/>
                <w:w w:val="105"/>
                <w:szCs w:val="24"/>
              </w:rPr>
              <w:t xml:space="preserve"> r</w:t>
            </w:r>
            <w:r w:rsidRPr="009D5DAF">
              <w:rPr>
                <w:color w:val="000000" w:themeColor="text1"/>
                <w:w w:val="105"/>
                <w:szCs w:val="24"/>
              </w:rPr>
              <w:t>zeczywistych ilości energii</w:t>
            </w:r>
            <w:r w:rsidRPr="009D5DAF">
              <w:rPr>
                <w:color w:val="000000" w:themeColor="text1"/>
                <w:spacing w:val="-7"/>
                <w:w w:val="105"/>
                <w:szCs w:val="24"/>
              </w:rPr>
              <w:t xml:space="preserve"> </w:t>
            </w:r>
            <w:r w:rsidRPr="009D5DAF">
              <w:rPr>
                <w:color w:val="000000" w:themeColor="text1"/>
                <w:w w:val="105"/>
                <w:szCs w:val="24"/>
              </w:rPr>
              <w:t>elektrycznej</w:t>
            </w:r>
            <w:r w:rsidRPr="009D5DAF">
              <w:rPr>
                <w:color w:val="000000" w:themeColor="text1"/>
                <w:spacing w:val="-7"/>
                <w:w w:val="105"/>
                <w:szCs w:val="24"/>
              </w:rPr>
              <w:t xml:space="preserve"> </w:t>
            </w:r>
            <w:r w:rsidRPr="009D5DAF">
              <w:rPr>
                <w:color w:val="000000" w:themeColor="text1"/>
                <w:w w:val="105"/>
                <w:szCs w:val="24"/>
              </w:rPr>
              <w:t>oraz</w:t>
            </w:r>
            <w:r w:rsidRPr="009D5DAF">
              <w:rPr>
                <w:color w:val="000000" w:themeColor="text1"/>
                <w:spacing w:val="-10"/>
                <w:w w:val="105"/>
                <w:szCs w:val="24"/>
              </w:rPr>
              <w:t xml:space="preserve"> </w:t>
            </w:r>
            <w:r w:rsidRPr="009D5DAF">
              <w:rPr>
                <w:color w:val="000000" w:themeColor="text1"/>
                <w:w w:val="105"/>
                <w:szCs w:val="24"/>
              </w:rPr>
              <w:t>w</w:t>
            </w:r>
            <w:r w:rsidRPr="009D5DAF">
              <w:rPr>
                <w:color w:val="000000" w:themeColor="text1"/>
                <w:spacing w:val="-22"/>
                <w:w w:val="105"/>
                <w:szCs w:val="24"/>
              </w:rPr>
              <w:t xml:space="preserve"> </w:t>
            </w:r>
            <w:r w:rsidRPr="009D5DAF">
              <w:rPr>
                <w:color w:val="000000" w:themeColor="text1"/>
                <w:w w:val="105"/>
                <w:szCs w:val="24"/>
              </w:rPr>
              <w:t>oparciu</w:t>
            </w:r>
            <w:r w:rsidRPr="009D5DAF">
              <w:rPr>
                <w:color w:val="000000" w:themeColor="text1"/>
                <w:spacing w:val="-7"/>
                <w:w w:val="105"/>
                <w:szCs w:val="24"/>
              </w:rPr>
              <w:t xml:space="preserve"> </w:t>
            </w:r>
            <w:r w:rsidRPr="009D5DAF">
              <w:rPr>
                <w:color w:val="000000" w:themeColor="text1"/>
                <w:w w:val="105"/>
                <w:szCs w:val="24"/>
              </w:rPr>
              <w:t>o</w:t>
            </w:r>
            <w:r w:rsidRPr="009D5DAF">
              <w:rPr>
                <w:color w:val="000000" w:themeColor="text1"/>
                <w:spacing w:val="-22"/>
                <w:w w:val="105"/>
                <w:szCs w:val="24"/>
              </w:rPr>
              <w:t xml:space="preserve"> </w:t>
            </w:r>
            <w:r w:rsidRPr="009D5DAF">
              <w:rPr>
                <w:color w:val="000000" w:themeColor="text1"/>
                <w:w w:val="105"/>
                <w:szCs w:val="24"/>
              </w:rPr>
              <w:t>zasady</w:t>
            </w:r>
            <w:r w:rsidRPr="009D5DAF">
              <w:rPr>
                <w:color w:val="000000" w:themeColor="text1"/>
                <w:spacing w:val="-15"/>
                <w:w w:val="105"/>
                <w:szCs w:val="24"/>
              </w:rPr>
              <w:t xml:space="preserve"> </w:t>
            </w:r>
            <w:r w:rsidRPr="009D5DAF">
              <w:rPr>
                <w:color w:val="000000" w:themeColor="text1"/>
                <w:w w:val="105"/>
                <w:szCs w:val="24"/>
              </w:rPr>
              <w:t>określone</w:t>
            </w:r>
            <w:r w:rsidRPr="009D5DAF">
              <w:rPr>
                <w:color w:val="000000" w:themeColor="text1"/>
                <w:spacing w:val="-7"/>
                <w:w w:val="105"/>
                <w:szCs w:val="24"/>
              </w:rPr>
              <w:t xml:space="preserve"> </w:t>
            </w:r>
            <w:r w:rsidR="001131AF">
              <w:rPr>
                <w:color w:val="000000" w:themeColor="text1"/>
                <w:spacing w:val="-7"/>
                <w:w w:val="105"/>
                <w:szCs w:val="24"/>
              </w:rPr>
              <w:br/>
            </w:r>
            <w:r w:rsidRPr="009D5DAF">
              <w:rPr>
                <w:color w:val="000000" w:themeColor="text1"/>
                <w:w w:val="105"/>
                <w:szCs w:val="24"/>
              </w:rPr>
              <w:t>w</w:t>
            </w:r>
            <w:r w:rsidRPr="009D5DAF">
              <w:rPr>
                <w:color w:val="000000" w:themeColor="text1"/>
                <w:spacing w:val="-16"/>
                <w:w w:val="105"/>
                <w:szCs w:val="24"/>
              </w:rPr>
              <w:t xml:space="preserve"> </w:t>
            </w:r>
            <w:r w:rsidRPr="009D5DAF">
              <w:rPr>
                <w:color w:val="000000" w:themeColor="text1"/>
                <w:w w:val="105"/>
                <w:szCs w:val="24"/>
              </w:rPr>
              <w:t>IRiESD,</w:t>
            </w:r>
            <w:r w:rsidRPr="009D5DAF">
              <w:rPr>
                <w:color w:val="000000" w:themeColor="text1"/>
                <w:spacing w:val="-15"/>
                <w:w w:val="105"/>
                <w:szCs w:val="24"/>
              </w:rPr>
              <w:t xml:space="preserve"> </w:t>
            </w:r>
            <w:r w:rsidRPr="009D5DAF">
              <w:rPr>
                <w:color w:val="000000" w:themeColor="text1"/>
                <w:w w:val="105"/>
                <w:szCs w:val="24"/>
              </w:rPr>
              <w:t>w</w:t>
            </w:r>
            <w:r w:rsidRPr="009D5DAF">
              <w:rPr>
                <w:color w:val="000000" w:themeColor="text1"/>
                <w:spacing w:val="-20"/>
                <w:w w:val="105"/>
                <w:szCs w:val="24"/>
              </w:rPr>
              <w:t xml:space="preserve"> </w:t>
            </w:r>
            <w:r w:rsidRPr="009D5DAF">
              <w:rPr>
                <w:color w:val="000000" w:themeColor="text1"/>
                <w:w w:val="105"/>
                <w:szCs w:val="24"/>
              </w:rPr>
              <w:t>przypadku</w:t>
            </w:r>
            <w:r w:rsidRPr="009D5DAF">
              <w:rPr>
                <w:color w:val="000000" w:themeColor="text1"/>
                <w:spacing w:val="1"/>
                <w:w w:val="105"/>
                <w:szCs w:val="24"/>
              </w:rPr>
              <w:t xml:space="preserve"> </w:t>
            </w:r>
            <w:r w:rsidRPr="009D5DAF">
              <w:rPr>
                <w:color w:val="000000" w:themeColor="text1"/>
                <w:w w:val="105"/>
                <w:szCs w:val="24"/>
              </w:rPr>
              <w:t>awarii układu pomiarowo-rozliczeniowego lub systemu zdalnego odczytu lub braku układu transmisji danych,</w:t>
            </w:r>
            <w:r w:rsidRPr="009D5DAF">
              <w:rPr>
                <w:color w:val="000000" w:themeColor="text1"/>
                <w:spacing w:val="-26"/>
                <w:w w:val="105"/>
                <w:szCs w:val="24"/>
              </w:rPr>
              <w:t xml:space="preserve"> </w:t>
            </w:r>
            <w:r w:rsidRPr="009D5DAF">
              <w:rPr>
                <w:color w:val="000000" w:themeColor="text1"/>
                <w:w w:val="105"/>
                <w:szCs w:val="24"/>
              </w:rPr>
              <w:t>lub</w:t>
            </w:r>
          </w:p>
          <w:p w14:paraId="15FAB2E8" w14:textId="3FED00B2" w:rsidR="009D5DAF" w:rsidRPr="009D5DAF" w:rsidRDefault="009D5DAF">
            <w:pPr>
              <w:pStyle w:val="Akapitzlist"/>
              <w:widowControl w:val="0"/>
              <w:numPr>
                <w:ilvl w:val="0"/>
                <w:numId w:val="349"/>
              </w:numPr>
              <w:tabs>
                <w:tab w:val="left" w:pos="1070"/>
              </w:tabs>
              <w:autoSpaceDE w:val="0"/>
              <w:autoSpaceDN w:val="0"/>
              <w:spacing w:before="120"/>
              <w:ind w:left="251" w:right="4" w:hanging="251"/>
              <w:jc w:val="both"/>
              <w:rPr>
                <w:color w:val="000000" w:themeColor="text1"/>
                <w:szCs w:val="24"/>
              </w:rPr>
            </w:pPr>
            <w:r w:rsidRPr="009D5DAF">
              <w:rPr>
                <w:color w:val="000000" w:themeColor="text1"/>
                <w:w w:val="105"/>
                <w:szCs w:val="24"/>
              </w:rPr>
              <w:t>zastępczych danych pomiarowych w przypadku nowo przyłączanych URD, do czasu pozyskania rzeczywistych danych pomiarowych</w:t>
            </w:r>
            <w:r w:rsidRPr="009D5DAF">
              <w:rPr>
                <w:color w:val="000000" w:themeColor="text1"/>
                <w:spacing w:val="-22"/>
                <w:w w:val="105"/>
                <w:szCs w:val="24"/>
              </w:rPr>
              <w:t xml:space="preserve"> </w:t>
            </w:r>
            <w:r w:rsidRPr="009D5DAF">
              <w:rPr>
                <w:color w:val="000000" w:themeColor="text1"/>
                <w:w w:val="105"/>
                <w:szCs w:val="24"/>
              </w:rPr>
              <w:t>lub</w:t>
            </w:r>
          </w:p>
          <w:p w14:paraId="261EEC73" w14:textId="3A57F9E9" w:rsidR="001024B2" w:rsidRPr="001131AF" w:rsidRDefault="009D5DAF">
            <w:pPr>
              <w:pStyle w:val="Akapitzlist"/>
              <w:numPr>
                <w:ilvl w:val="0"/>
                <w:numId w:val="349"/>
              </w:numPr>
              <w:ind w:left="251" w:right="4" w:hanging="251"/>
              <w:jc w:val="both"/>
              <w:rPr>
                <w:color w:val="000000" w:themeColor="text1"/>
                <w:szCs w:val="24"/>
              </w:rPr>
            </w:pPr>
            <w:r w:rsidRPr="001131AF">
              <w:rPr>
                <w:color w:val="000000" w:themeColor="text1"/>
                <w:w w:val="105"/>
                <w:szCs w:val="24"/>
              </w:rPr>
              <w:t xml:space="preserve">standardowych profili zużycia, o których mowa w rozdziale </w:t>
            </w:r>
            <w:r w:rsidR="00334E8C">
              <w:rPr>
                <w:color w:val="000000" w:themeColor="text1"/>
                <w:w w:val="105"/>
                <w:szCs w:val="24"/>
              </w:rPr>
              <w:t>F</w:t>
            </w:r>
            <w:r w:rsidRPr="001131AF">
              <w:rPr>
                <w:color w:val="000000" w:themeColor="text1"/>
                <w:w w:val="105"/>
                <w:szCs w:val="24"/>
              </w:rPr>
              <w:t>., ilości energii elektrycznej wyznaczonej w sposób określony w lit. a), b) lub c) oraz algorytmów agregacji</w:t>
            </w:r>
            <w:r w:rsidRPr="001131AF">
              <w:rPr>
                <w:color w:val="000000" w:themeColor="text1"/>
                <w:spacing w:val="-9"/>
                <w:w w:val="105"/>
                <w:szCs w:val="24"/>
              </w:rPr>
              <w:t xml:space="preserve"> </w:t>
            </w:r>
            <w:r w:rsidRPr="001131AF">
              <w:rPr>
                <w:color w:val="000000" w:themeColor="text1"/>
                <w:w w:val="105"/>
                <w:szCs w:val="24"/>
              </w:rPr>
              <w:t>dla</w:t>
            </w:r>
            <w:r w:rsidRPr="001131AF">
              <w:rPr>
                <w:color w:val="000000" w:themeColor="text1"/>
                <w:spacing w:val="-26"/>
                <w:w w:val="105"/>
                <w:szCs w:val="24"/>
              </w:rPr>
              <w:t xml:space="preserve"> </w:t>
            </w:r>
            <w:r w:rsidRPr="001131AF">
              <w:rPr>
                <w:color w:val="000000" w:themeColor="text1"/>
                <w:w w:val="105"/>
                <w:szCs w:val="24"/>
              </w:rPr>
              <w:t>tych</w:t>
            </w:r>
            <w:r w:rsidRPr="001131AF">
              <w:rPr>
                <w:color w:val="000000" w:themeColor="text1"/>
                <w:spacing w:val="-13"/>
                <w:w w:val="105"/>
                <w:szCs w:val="24"/>
              </w:rPr>
              <w:t xml:space="preserve"> </w:t>
            </w:r>
            <w:r w:rsidRPr="001131AF">
              <w:rPr>
                <w:color w:val="000000" w:themeColor="text1"/>
                <w:w w:val="105"/>
                <w:szCs w:val="24"/>
              </w:rPr>
              <w:t>PPE,</w:t>
            </w:r>
            <w:r w:rsidRPr="001131AF">
              <w:rPr>
                <w:color w:val="000000" w:themeColor="text1"/>
                <w:spacing w:val="-17"/>
                <w:w w:val="105"/>
                <w:szCs w:val="24"/>
              </w:rPr>
              <w:t xml:space="preserve"> </w:t>
            </w:r>
            <w:r w:rsidRPr="001131AF">
              <w:rPr>
                <w:color w:val="000000" w:themeColor="text1"/>
                <w:w w:val="105"/>
                <w:szCs w:val="24"/>
              </w:rPr>
              <w:t>którym</w:t>
            </w:r>
            <w:r w:rsidRPr="001131AF">
              <w:rPr>
                <w:color w:val="000000" w:themeColor="text1"/>
                <w:spacing w:val="-12"/>
                <w:w w:val="105"/>
                <w:szCs w:val="24"/>
              </w:rPr>
              <w:t xml:space="preserve"> </w:t>
            </w:r>
            <w:r w:rsidRPr="001131AF">
              <w:rPr>
                <w:color w:val="000000" w:themeColor="text1"/>
                <w:w w:val="105"/>
                <w:szCs w:val="24"/>
              </w:rPr>
              <w:t>został</w:t>
            </w:r>
            <w:r w:rsidRPr="001131AF">
              <w:rPr>
                <w:color w:val="000000" w:themeColor="text1"/>
                <w:spacing w:val="-17"/>
                <w:w w:val="105"/>
                <w:szCs w:val="24"/>
              </w:rPr>
              <w:t xml:space="preserve"> </w:t>
            </w:r>
            <w:r w:rsidRPr="001131AF">
              <w:rPr>
                <w:color w:val="000000" w:themeColor="text1"/>
                <w:w w:val="105"/>
                <w:szCs w:val="24"/>
              </w:rPr>
              <w:t>przyporządkowany</w:t>
            </w:r>
            <w:r w:rsidRPr="001131AF">
              <w:rPr>
                <w:color w:val="000000" w:themeColor="text1"/>
                <w:spacing w:val="-20"/>
                <w:w w:val="105"/>
                <w:szCs w:val="24"/>
              </w:rPr>
              <w:t xml:space="preserve"> </w:t>
            </w:r>
            <w:r w:rsidRPr="001131AF">
              <w:rPr>
                <w:color w:val="000000" w:themeColor="text1"/>
                <w:w w:val="105"/>
                <w:szCs w:val="24"/>
              </w:rPr>
              <w:t>standardowy</w:t>
            </w:r>
            <w:r w:rsidRPr="001131AF">
              <w:rPr>
                <w:color w:val="000000" w:themeColor="text1"/>
                <w:spacing w:val="-10"/>
                <w:w w:val="105"/>
                <w:szCs w:val="24"/>
              </w:rPr>
              <w:t xml:space="preserve"> </w:t>
            </w:r>
            <w:r w:rsidRPr="001131AF">
              <w:rPr>
                <w:color w:val="000000" w:themeColor="text1"/>
                <w:w w:val="105"/>
                <w:szCs w:val="24"/>
              </w:rPr>
              <w:t>profil</w:t>
            </w:r>
            <w:r w:rsidRPr="001131AF">
              <w:rPr>
                <w:color w:val="000000" w:themeColor="text1"/>
                <w:spacing w:val="-14"/>
                <w:w w:val="105"/>
                <w:szCs w:val="24"/>
              </w:rPr>
              <w:t xml:space="preserve"> </w:t>
            </w:r>
            <w:r w:rsidRPr="001131AF">
              <w:rPr>
                <w:color w:val="000000" w:themeColor="text1"/>
                <w:w w:val="105"/>
                <w:szCs w:val="24"/>
              </w:rPr>
              <w:t>zużycia</w:t>
            </w:r>
          </w:p>
        </w:tc>
      </w:tr>
      <w:tr w:rsidR="001024B2" w:rsidRPr="00A40EE7" w14:paraId="17C16B57" w14:textId="77777777" w:rsidTr="00766DFA">
        <w:trPr>
          <w:trHeight w:val="1219"/>
        </w:trPr>
        <w:tc>
          <w:tcPr>
            <w:tcW w:w="1135" w:type="dxa"/>
          </w:tcPr>
          <w:p w14:paraId="407765CE" w14:textId="77777777" w:rsidR="001024B2" w:rsidRPr="00A40EE7" w:rsidRDefault="001024B2" w:rsidP="00C07EB1">
            <w:r w:rsidRPr="00A40EE7">
              <w:t>C.6.</w:t>
            </w:r>
          </w:p>
        </w:tc>
        <w:tc>
          <w:tcPr>
            <w:tcW w:w="8045" w:type="dxa"/>
            <w:shd w:val="clear" w:color="auto" w:fill="auto"/>
          </w:tcPr>
          <w:p w14:paraId="3F8977B0" w14:textId="628D8238" w:rsidR="001024B2" w:rsidRPr="00A40EE7" w:rsidRDefault="001024B2" w:rsidP="00C07EB1">
            <w:pPr>
              <w:pStyle w:val="styl0"/>
            </w:pPr>
            <w:r w:rsidRPr="00A40EE7">
              <w:t xml:space="preserve">Do określenia ilości energii elektrycznej </w:t>
            </w:r>
            <w:r w:rsidR="00E61F66">
              <w:t>pobranej z sieci dystrybucyjnej OSDn lub wprowadzonej do tej sieci,</w:t>
            </w:r>
            <w:r w:rsidRPr="00A40EE7">
              <w:t xml:space="preserve"> wykorzystuje się w pierwszej kolejności </w:t>
            </w:r>
            <w:r w:rsidR="00E61F66">
              <w:t>u</w:t>
            </w:r>
            <w:r w:rsidRPr="00A40EE7">
              <w:t>kład pomiarowo-rozliczenio</w:t>
            </w:r>
            <w:r w:rsidR="00E61F66">
              <w:t>wy podstawowy</w:t>
            </w:r>
            <w:r w:rsidRPr="00A40EE7">
              <w:t xml:space="preserve">. W przypadku awarii lub wadliwego działania </w:t>
            </w:r>
            <w:r w:rsidR="00E61F66">
              <w:t>układu pomiarowo-rozliczeniowego podstawowego lub braku możliwości pozyskania przez OSDn danych pomiarowych, OSDn wyznacza dane pomiarowe zgodnie z pkt C.7.</w:t>
            </w:r>
          </w:p>
        </w:tc>
      </w:tr>
      <w:tr w:rsidR="001024B2" w:rsidRPr="00F33072" w14:paraId="20FC58A7" w14:textId="77777777" w:rsidTr="00766DFA">
        <w:tc>
          <w:tcPr>
            <w:tcW w:w="1135" w:type="dxa"/>
          </w:tcPr>
          <w:p w14:paraId="723F9842" w14:textId="77777777" w:rsidR="001024B2" w:rsidRPr="00A40EE7" w:rsidRDefault="001024B2" w:rsidP="00C07EB1">
            <w:r w:rsidRPr="00A40EE7">
              <w:t>C.7.</w:t>
            </w:r>
          </w:p>
        </w:tc>
        <w:tc>
          <w:tcPr>
            <w:tcW w:w="8045" w:type="dxa"/>
            <w:shd w:val="clear" w:color="auto" w:fill="auto"/>
          </w:tcPr>
          <w:p w14:paraId="7C8AFA94" w14:textId="4D9EA84A" w:rsidR="00A02663" w:rsidRPr="00A02663" w:rsidRDefault="00A02663" w:rsidP="00350F48">
            <w:pPr>
              <w:pStyle w:val="Tekstpodstawowy"/>
              <w:spacing w:before="0" w:line="240" w:lineRule="auto"/>
              <w:rPr>
                <w:color w:val="000000" w:themeColor="text1"/>
                <w:szCs w:val="24"/>
              </w:rPr>
            </w:pPr>
            <w:r>
              <w:rPr>
                <w:color w:val="000000" w:themeColor="text1"/>
                <w:w w:val="105"/>
                <w:szCs w:val="24"/>
                <w:lang w:val="pl-PL"/>
              </w:rPr>
              <w:t>OSD</w:t>
            </w:r>
            <w:r w:rsidR="005D2F28">
              <w:rPr>
                <w:color w:val="000000" w:themeColor="text1"/>
                <w:w w:val="105"/>
                <w:szCs w:val="24"/>
                <w:lang w:val="pl-PL"/>
              </w:rPr>
              <w:t xml:space="preserve">n </w:t>
            </w:r>
            <w:r w:rsidRPr="00A02663">
              <w:rPr>
                <w:color w:val="000000" w:themeColor="text1"/>
                <w:w w:val="105"/>
                <w:szCs w:val="24"/>
              </w:rPr>
              <w:t>wyznacza zastępcze dane pomiarowe:</w:t>
            </w:r>
          </w:p>
          <w:p w14:paraId="7ABBF822" w14:textId="51DA79F7" w:rsidR="00A02663" w:rsidRPr="00A02663" w:rsidRDefault="00A02663">
            <w:pPr>
              <w:pStyle w:val="Akapitzlist"/>
              <w:widowControl w:val="0"/>
              <w:numPr>
                <w:ilvl w:val="0"/>
                <w:numId w:val="350"/>
              </w:numPr>
              <w:autoSpaceDE w:val="0"/>
              <w:autoSpaceDN w:val="0"/>
              <w:spacing w:before="155"/>
              <w:ind w:left="251" w:right="145" w:hanging="251"/>
              <w:jc w:val="both"/>
              <w:rPr>
                <w:color w:val="000000" w:themeColor="text1"/>
                <w:szCs w:val="24"/>
              </w:rPr>
            </w:pPr>
            <w:r w:rsidRPr="00A02663">
              <w:rPr>
                <w:color w:val="000000" w:themeColor="text1"/>
                <w:w w:val="105"/>
                <w:szCs w:val="24"/>
              </w:rPr>
              <w:t>dla punktu pomiarowego, w którym jest zainstalowany licznik</w:t>
            </w:r>
            <w:r w:rsidR="00350F48">
              <w:rPr>
                <w:color w:val="000000" w:themeColor="text1"/>
                <w:w w:val="105"/>
                <w:szCs w:val="24"/>
              </w:rPr>
              <w:t xml:space="preserve"> </w:t>
            </w:r>
            <w:r w:rsidRPr="00A02663">
              <w:rPr>
                <w:color w:val="000000" w:themeColor="text1"/>
                <w:w w:val="105"/>
                <w:szCs w:val="24"/>
              </w:rPr>
              <w:t>zdalnego odczytu, z</w:t>
            </w:r>
            <w:r w:rsidRPr="00A02663">
              <w:rPr>
                <w:color w:val="000000" w:themeColor="text1"/>
                <w:spacing w:val="8"/>
                <w:w w:val="105"/>
                <w:szCs w:val="24"/>
              </w:rPr>
              <w:t xml:space="preserve"> </w:t>
            </w:r>
            <w:r w:rsidRPr="00A02663">
              <w:rPr>
                <w:color w:val="000000" w:themeColor="text1"/>
                <w:w w:val="105"/>
                <w:szCs w:val="24"/>
              </w:rPr>
              <w:t>uwzględnieniem:</w:t>
            </w:r>
          </w:p>
          <w:p w14:paraId="182B3C65" w14:textId="4585EBAC" w:rsidR="00A02663" w:rsidRPr="00A02663" w:rsidRDefault="00A02663">
            <w:pPr>
              <w:pStyle w:val="Akapitzlist"/>
              <w:widowControl w:val="0"/>
              <w:numPr>
                <w:ilvl w:val="1"/>
                <w:numId w:val="350"/>
              </w:numPr>
              <w:autoSpaceDE w:val="0"/>
              <w:autoSpaceDN w:val="0"/>
              <w:ind w:left="535" w:right="145" w:hanging="426"/>
              <w:jc w:val="both"/>
              <w:rPr>
                <w:color w:val="000000" w:themeColor="text1"/>
                <w:szCs w:val="24"/>
              </w:rPr>
            </w:pPr>
            <w:r w:rsidRPr="00A02663">
              <w:rPr>
                <w:color w:val="000000" w:themeColor="text1"/>
                <w:w w:val="105"/>
                <w:szCs w:val="24"/>
              </w:rPr>
              <w:t>rzeczywistych danych pomiarowych pochodzących z innych układów</w:t>
            </w:r>
            <w:r w:rsidRPr="00A02663">
              <w:rPr>
                <w:color w:val="000000" w:themeColor="text1"/>
                <w:spacing w:val="-18"/>
                <w:w w:val="105"/>
                <w:szCs w:val="24"/>
              </w:rPr>
              <w:t xml:space="preserve"> </w:t>
            </w:r>
            <w:r w:rsidRPr="00A02663">
              <w:rPr>
                <w:color w:val="000000" w:themeColor="text1"/>
                <w:w w:val="105"/>
                <w:szCs w:val="24"/>
              </w:rPr>
              <w:t>pomiarowo­rozliczeniowych</w:t>
            </w:r>
            <w:r w:rsidRPr="00A02663">
              <w:rPr>
                <w:color w:val="000000" w:themeColor="text1"/>
                <w:spacing w:val="-13"/>
                <w:w w:val="105"/>
                <w:szCs w:val="24"/>
              </w:rPr>
              <w:t xml:space="preserve"> </w:t>
            </w:r>
            <w:r w:rsidRPr="00A02663">
              <w:rPr>
                <w:color w:val="000000" w:themeColor="text1"/>
                <w:w w:val="105"/>
                <w:szCs w:val="24"/>
              </w:rPr>
              <w:t>lub</w:t>
            </w:r>
            <w:r w:rsidRPr="00A02663">
              <w:rPr>
                <w:color w:val="000000" w:themeColor="text1"/>
                <w:spacing w:val="-24"/>
                <w:w w:val="105"/>
                <w:szCs w:val="24"/>
              </w:rPr>
              <w:t xml:space="preserve"> </w:t>
            </w:r>
            <w:r w:rsidRPr="00A02663">
              <w:rPr>
                <w:color w:val="000000" w:themeColor="text1"/>
                <w:w w:val="105"/>
                <w:szCs w:val="24"/>
              </w:rPr>
              <w:t>elementów</w:t>
            </w:r>
            <w:r w:rsidRPr="00A02663">
              <w:rPr>
                <w:color w:val="000000" w:themeColor="text1"/>
                <w:spacing w:val="-9"/>
                <w:w w:val="105"/>
                <w:szCs w:val="24"/>
              </w:rPr>
              <w:t xml:space="preserve"> </w:t>
            </w:r>
            <w:r w:rsidRPr="00A02663">
              <w:rPr>
                <w:color w:val="000000" w:themeColor="text1"/>
                <w:w w:val="105"/>
                <w:szCs w:val="24"/>
              </w:rPr>
              <w:t>układu</w:t>
            </w:r>
            <w:r w:rsidRPr="00A02663">
              <w:rPr>
                <w:color w:val="000000" w:themeColor="text1"/>
                <w:spacing w:val="-12"/>
                <w:w w:val="105"/>
                <w:szCs w:val="24"/>
              </w:rPr>
              <w:t xml:space="preserve"> </w:t>
            </w:r>
            <w:r w:rsidRPr="00A02663">
              <w:rPr>
                <w:color w:val="000000" w:themeColor="text1"/>
                <w:w w:val="105"/>
                <w:szCs w:val="24"/>
              </w:rPr>
              <w:t>pomiarowo-rozliczeniowego</w:t>
            </w:r>
            <w:r w:rsidRPr="00A02663">
              <w:rPr>
                <w:color w:val="000000" w:themeColor="text1"/>
                <w:spacing w:val="-21"/>
                <w:w w:val="105"/>
                <w:szCs w:val="24"/>
              </w:rPr>
              <w:t xml:space="preserve"> </w:t>
            </w:r>
            <w:r w:rsidRPr="00A02663">
              <w:rPr>
                <w:color w:val="000000" w:themeColor="text1"/>
                <w:w w:val="105"/>
                <w:szCs w:val="24"/>
              </w:rPr>
              <w:t>z</w:t>
            </w:r>
            <w:r w:rsidRPr="00A02663">
              <w:rPr>
                <w:color w:val="000000" w:themeColor="text1"/>
                <w:spacing w:val="-16"/>
                <w:w w:val="105"/>
                <w:szCs w:val="24"/>
              </w:rPr>
              <w:t xml:space="preserve"> </w:t>
            </w:r>
            <w:r w:rsidRPr="00A02663">
              <w:rPr>
                <w:color w:val="000000" w:themeColor="text1"/>
                <w:w w:val="105"/>
                <w:szCs w:val="24"/>
              </w:rPr>
              <w:t>tego</w:t>
            </w:r>
            <w:r w:rsidRPr="00A02663">
              <w:rPr>
                <w:color w:val="000000" w:themeColor="text1"/>
                <w:spacing w:val="-21"/>
                <w:w w:val="105"/>
                <w:szCs w:val="24"/>
              </w:rPr>
              <w:t xml:space="preserve"> </w:t>
            </w:r>
            <w:r w:rsidRPr="00A02663">
              <w:rPr>
                <w:color w:val="000000" w:themeColor="text1"/>
                <w:w w:val="105"/>
                <w:szCs w:val="24"/>
              </w:rPr>
              <w:t>samego okresu,</w:t>
            </w:r>
            <w:r w:rsidRPr="00A02663">
              <w:rPr>
                <w:color w:val="000000" w:themeColor="text1"/>
                <w:spacing w:val="10"/>
                <w:w w:val="105"/>
                <w:szCs w:val="24"/>
              </w:rPr>
              <w:t xml:space="preserve"> </w:t>
            </w:r>
            <w:r w:rsidRPr="00A02663">
              <w:rPr>
                <w:color w:val="000000" w:themeColor="text1"/>
                <w:w w:val="105"/>
                <w:szCs w:val="24"/>
              </w:rPr>
              <w:t>lub</w:t>
            </w:r>
          </w:p>
          <w:p w14:paraId="4200BCF6" w14:textId="00544462" w:rsidR="00A02663" w:rsidRPr="00CF6CAC" w:rsidRDefault="00A02663">
            <w:pPr>
              <w:pStyle w:val="Akapitzlist"/>
              <w:widowControl w:val="0"/>
              <w:numPr>
                <w:ilvl w:val="1"/>
                <w:numId w:val="350"/>
              </w:numPr>
              <w:autoSpaceDE w:val="0"/>
              <w:autoSpaceDN w:val="0"/>
              <w:spacing w:before="1"/>
              <w:ind w:left="535" w:right="4" w:hanging="426"/>
              <w:jc w:val="both"/>
              <w:rPr>
                <w:color w:val="000000" w:themeColor="text1"/>
                <w:szCs w:val="24"/>
              </w:rPr>
            </w:pPr>
            <w:r w:rsidRPr="00CF6CAC">
              <w:rPr>
                <w:color w:val="000000" w:themeColor="text1"/>
                <w:w w:val="105"/>
                <w:szCs w:val="24"/>
              </w:rPr>
              <w:t>rzeczywistych danych pomiarowych pochodzących z tego samego układu pomiarowo-rozliczeniowego,</w:t>
            </w:r>
            <w:r w:rsidRPr="00CF6CAC">
              <w:rPr>
                <w:color w:val="000000" w:themeColor="text1"/>
                <w:spacing w:val="-26"/>
                <w:w w:val="105"/>
                <w:szCs w:val="24"/>
              </w:rPr>
              <w:t xml:space="preserve"> </w:t>
            </w:r>
            <w:r w:rsidRPr="00CF6CAC">
              <w:rPr>
                <w:color w:val="000000" w:themeColor="text1"/>
                <w:w w:val="105"/>
                <w:szCs w:val="24"/>
              </w:rPr>
              <w:t>z</w:t>
            </w:r>
            <w:r w:rsidRPr="00CF6CAC">
              <w:rPr>
                <w:color w:val="000000" w:themeColor="text1"/>
                <w:spacing w:val="-19"/>
                <w:w w:val="105"/>
                <w:szCs w:val="24"/>
              </w:rPr>
              <w:t xml:space="preserve"> </w:t>
            </w:r>
            <w:r w:rsidRPr="00CF6CAC">
              <w:rPr>
                <w:color w:val="000000" w:themeColor="text1"/>
                <w:w w:val="105"/>
                <w:szCs w:val="24"/>
              </w:rPr>
              <w:t>okresu poprzedzającego</w:t>
            </w:r>
            <w:r w:rsidRPr="00CF6CAC">
              <w:rPr>
                <w:color w:val="000000" w:themeColor="text1"/>
                <w:spacing w:val="-16"/>
                <w:w w:val="105"/>
                <w:szCs w:val="24"/>
              </w:rPr>
              <w:t xml:space="preserve"> </w:t>
            </w:r>
            <w:r w:rsidRPr="00CF6CAC">
              <w:rPr>
                <w:color w:val="000000" w:themeColor="text1"/>
                <w:w w:val="105"/>
                <w:szCs w:val="24"/>
              </w:rPr>
              <w:t>okres</w:t>
            </w:r>
            <w:r w:rsidRPr="00CF6CAC">
              <w:rPr>
                <w:color w:val="000000" w:themeColor="text1"/>
                <w:spacing w:val="-7"/>
                <w:w w:val="105"/>
                <w:szCs w:val="24"/>
              </w:rPr>
              <w:t xml:space="preserve"> </w:t>
            </w:r>
            <w:r w:rsidRPr="00CF6CAC">
              <w:rPr>
                <w:color w:val="000000" w:themeColor="text1"/>
                <w:w w:val="105"/>
                <w:szCs w:val="24"/>
              </w:rPr>
              <w:t>braku</w:t>
            </w:r>
            <w:r w:rsidRPr="00CF6CAC">
              <w:rPr>
                <w:color w:val="000000" w:themeColor="text1"/>
                <w:spacing w:val="3"/>
                <w:w w:val="105"/>
                <w:szCs w:val="24"/>
              </w:rPr>
              <w:t xml:space="preserve"> </w:t>
            </w:r>
            <w:r w:rsidRPr="00CF6CAC">
              <w:rPr>
                <w:color w:val="000000" w:themeColor="text1"/>
                <w:w w:val="105"/>
                <w:szCs w:val="24"/>
              </w:rPr>
              <w:t xml:space="preserve">rzeczywistych danych pomiarowych lub następującego po tym okresie, </w:t>
            </w:r>
            <w:r w:rsidR="00CF6CAC">
              <w:rPr>
                <w:color w:val="000000" w:themeColor="text1"/>
                <w:w w:val="105"/>
                <w:szCs w:val="24"/>
              </w:rPr>
              <w:br/>
            </w:r>
            <w:r w:rsidRPr="00CF6CAC">
              <w:rPr>
                <w:color w:val="000000" w:themeColor="text1"/>
                <w:w w:val="105"/>
                <w:szCs w:val="24"/>
              </w:rPr>
              <w:t>z uwzględnieniem charakterystyki zmienności przepływu energii elektrycznej oraz innych udokumentowanych okoliczności mających wpływ na przepływ energ</w:t>
            </w:r>
            <w:r w:rsidR="00350F48" w:rsidRPr="00CF6CAC">
              <w:rPr>
                <w:color w:val="000000" w:themeColor="text1"/>
                <w:w w:val="105"/>
                <w:szCs w:val="24"/>
              </w:rPr>
              <w:t>ii</w:t>
            </w:r>
            <w:r w:rsidRPr="00CF6CAC">
              <w:rPr>
                <w:color w:val="000000" w:themeColor="text1"/>
                <w:w w:val="105"/>
                <w:szCs w:val="24"/>
              </w:rPr>
              <w:t xml:space="preserve"> elektrycznej w okresie braku rzeczywistych danych</w:t>
            </w:r>
            <w:r w:rsidRPr="00CF6CAC">
              <w:rPr>
                <w:color w:val="000000" w:themeColor="text1"/>
                <w:spacing w:val="53"/>
                <w:w w:val="105"/>
                <w:szCs w:val="24"/>
              </w:rPr>
              <w:t xml:space="preserve"> </w:t>
            </w:r>
            <w:r w:rsidRPr="00CF6CAC">
              <w:rPr>
                <w:color w:val="000000" w:themeColor="text1"/>
                <w:w w:val="105"/>
                <w:szCs w:val="24"/>
              </w:rPr>
              <w:t>pomiarowych;</w:t>
            </w:r>
          </w:p>
          <w:p w14:paraId="5D63FF02" w14:textId="494226AA" w:rsidR="00A02663" w:rsidRPr="00A02663" w:rsidRDefault="00A02663">
            <w:pPr>
              <w:pStyle w:val="Tekstpodstawowy"/>
              <w:numPr>
                <w:ilvl w:val="0"/>
                <w:numId w:val="350"/>
              </w:numPr>
              <w:spacing w:before="91" w:line="240" w:lineRule="auto"/>
              <w:ind w:left="535" w:hanging="535"/>
              <w:rPr>
                <w:color w:val="000000" w:themeColor="text1"/>
                <w:szCs w:val="24"/>
              </w:rPr>
            </w:pPr>
            <w:r w:rsidRPr="00A02663">
              <w:rPr>
                <w:color w:val="000000" w:themeColor="text1"/>
                <w:w w:val="105"/>
                <w:szCs w:val="24"/>
              </w:rPr>
              <w:t xml:space="preserve">dla punktu pomiarowego, w którym jest zainstalowany licznik  konwencjonalny, z uwzględnieniem średniodobowego przepływu energii elektrycznej w ostatnim okresie rozliczeniowym za świadczone usługi dystrybucji, z uwzględnieniem sezonowości poboru energii elektrycznej </w:t>
            </w:r>
            <w:r w:rsidR="00CF6CAC">
              <w:rPr>
                <w:color w:val="000000" w:themeColor="text1"/>
                <w:w w:val="105"/>
                <w:szCs w:val="24"/>
              </w:rPr>
              <w:br/>
            </w:r>
            <w:r w:rsidRPr="00A02663">
              <w:rPr>
                <w:color w:val="000000" w:themeColor="text1"/>
                <w:w w:val="105"/>
                <w:szCs w:val="24"/>
              </w:rPr>
              <w:t xml:space="preserve">i standardowych profili przepływu energii elektrycznej. Jeżeli nie można ustalić średniodobowego przepływu energii elektrycznej na podstawie poprzedniego okresu rozliczeniowego, podstawą wyliczenia ilości energii elektrycznej jest wskazanie układu pomiarowo­ rozliczeniowego </w:t>
            </w:r>
            <w:r w:rsidR="00E7291B">
              <w:rPr>
                <w:color w:val="000000" w:themeColor="text1"/>
                <w:w w:val="105"/>
                <w:szCs w:val="24"/>
              </w:rPr>
              <w:br/>
            </w:r>
            <w:r w:rsidRPr="00A02663">
              <w:rPr>
                <w:color w:val="000000" w:themeColor="text1"/>
                <w:w w:val="105"/>
                <w:szCs w:val="24"/>
              </w:rPr>
              <w:t>z następnego okresu rozliczeniowego, z uwzględnieniem sezonowości przepływu energii elektrycznej oraz innych</w:t>
            </w:r>
            <w:r w:rsidRPr="00A02663">
              <w:rPr>
                <w:color w:val="000000" w:themeColor="text1"/>
                <w:spacing w:val="24"/>
                <w:w w:val="105"/>
                <w:szCs w:val="24"/>
              </w:rPr>
              <w:t xml:space="preserve"> </w:t>
            </w:r>
            <w:r w:rsidRPr="00A02663">
              <w:rPr>
                <w:color w:val="000000" w:themeColor="text1"/>
                <w:w w:val="105"/>
                <w:szCs w:val="24"/>
              </w:rPr>
              <w:t>udokumentowanych okoliczności mających wpływ na wielkość przepływu tej energii.</w:t>
            </w:r>
          </w:p>
          <w:p w14:paraId="603ADBC6" w14:textId="0B6F9CB7" w:rsidR="00A02663" w:rsidRPr="00A02663" w:rsidRDefault="00CF6CAC" w:rsidP="00954D60">
            <w:pPr>
              <w:pStyle w:val="Tekstpodstawowy"/>
              <w:spacing w:before="126" w:line="240" w:lineRule="auto"/>
              <w:ind w:left="109"/>
              <w:rPr>
                <w:color w:val="000000" w:themeColor="text1"/>
                <w:szCs w:val="24"/>
              </w:rPr>
            </w:pPr>
            <w:r>
              <w:rPr>
                <w:color w:val="000000" w:themeColor="text1"/>
                <w:w w:val="105"/>
                <w:szCs w:val="24"/>
                <w:lang w:val="pl-PL"/>
              </w:rPr>
              <w:lastRenderedPageBreak/>
              <w:t xml:space="preserve">OSDn </w:t>
            </w:r>
            <w:r w:rsidR="00A02663" w:rsidRPr="00A02663">
              <w:rPr>
                <w:color w:val="000000" w:themeColor="text1"/>
                <w:w w:val="105"/>
                <w:szCs w:val="24"/>
              </w:rPr>
              <w:t>wyznacza skorygowane dane pomiarowe:</w:t>
            </w:r>
          </w:p>
          <w:p w14:paraId="4D0E11EC" w14:textId="77777777" w:rsidR="00A02663" w:rsidRPr="00A02663" w:rsidRDefault="00A02663">
            <w:pPr>
              <w:pStyle w:val="Akapitzlist"/>
              <w:widowControl w:val="0"/>
              <w:numPr>
                <w:ilvl w:val="0"/>
                <w:numId w:val="351"/>
              </w:numPr>
              <w:autoSpaceDE w:val="0"/>
              <w:autoSpaceDN w:val="0"/>
              <w:spacing w:before="156"/>
              <w:ind w:left="818" w:right="4" w:hanging="425"/>
              <w:jc w:val="both"/>
              <w:rPr>
                <w:color w:val="000000" w:themeColor="text1"/>
                <w:szCs w:val="24"/>
              </w:rPr>
            </w:pPr>
            <w:r w:rsidRPr="00A02663">
              <w:rPr>
                <w:color w:val="000000" w:themeColor="text1"/>
                <w:w w:val="105"/>
                <w:szCs w:val="24"/>
              </w:rPr>
              <w:t>z uwzględnieniem współczynników korekcyjnych właściwych dla stwierdzonej nieprawidłowości lub awarii, o ile jest możliwe ich określenie,</w:t>
            </w:r>
            <w:r w:rsidRPr="00A02663">
              <w:rPr>
                <w:color w:val="000000" w:themeColor="text1"/>
                <w:spacing w:val="41"/>
                <w:w w:val="105"/>
                <w:szCs w:val="24"/>
              </w:rPr>
              <w:t xml:space="preserve"> </w:t>
            </w:r>
            <w:r w:rsidRPr="00A02663">
              <w:rPr>
                <w:color w:val="000000" w:themeColor="text1"/>
                <w:w w:val="105"/>
                <w:szCs w:val="24"/>
              </w:rPr>
              <w:t>lub</w:t>
            </w:r>
          </w:p>
          <w:p w14:paraId="2FD26027" w14:textId="77777777" w:rsidR="00A02663" w:rsidRPr="00A02663" w:rsidRDefault="00A02663">
            <w:pPr>
              <w:pStyle w:val="Akapitzlist"/>
              <w:widowControl w:val="0"/>
              <w:numPr>
                <w:ilvl w:val="0"/>
                <w:numId w:val="351"/>
              </w:numPr>
              <w:autoSpaceDE w:val="0"/>
              <w:autoSpaceDN w:val="0"/>
              <w:spacing w:before="12"/>
              <w:ind w:left="818" w:right="4" w:hanging="425"/>
              <w:jc w:val="both"/>
              <w:rPr>
                <w:color w:val="000000" w:themeColor="text1"/>
                <w:szCs w:val="24"/>
              </w:rPr>
            </w:pPr>
            <w:r w:rsidRPr="00A02663">
              <w:rPr>
                <w:color w:val="000000" w:themeColor="text1"/>
                <w:w w:val="105"/>
                <w:szCs w:val="24"/>
              </w:rPr>
              <w:t>analogicznie jak w przypadku wyznaczania danych zastępczych, jeżeli określenie współczynników korekcyjnych nie jest</w:t>
            </w:r>
            <w:r w:rsidRPr="00A02663">
              <w:rPr>
                <w:color w:val="000000" w:themeColor="text1"/>
                <w:spacing w:val="-27"/>
                <w:w w:val="105"/>
                <w:szCs w:val="24"/>
              </w:rPr>
              <w:t xml:space="preserve"> </w:t>
            </w:r>
            <w:r w:rsidRPr="00A02663">
              <w:rPr>
                <w:color w:val="000000" w:themeColor="text1"/>
                <w:w w:val="105"/>
                <w:szCs w:val="24"/>
              </w:rPr>
              <w:t>możliwe.</w:t>
            </w:r>
          </w:p>
          <w:p w14:paraId="2AB94798" w14:textId="4EE4170A" w:rsidR="00A02663" w:rsidRPr="00A02663" w:rsidRDefault="00A02663" w:rsidP="004F43DE">
            <w:pPr>
              <w:widowControl w:val="0"/>
              <w:tabs>
                <w:tab w:val="left" w:pos="1086"/>
              </w:tabs>
              <w:autoSpaceDE w:val="0"/>
              <w:autoSpaceDN w:val="0"/>
              <w:spacing w:before="1"/>
              <w:ind w:left="109"/>
              <w:jc w:val="both"/>
              <w:rPr>
                <w:color w:val="000000" w:themeColor="text1"/>
                <w:szCs w:val="24"/>
              </w:rPr>
            </w:pPr>
            <w:r w:rsidRPr="00CF6CAC">
              <w:rPr>
                <w:color w:val="000000" w:themeColor="text1"/>
                <w:w w:val="105"/>
                <w:szCs w:val="24"/>
              </w:rPr>
              <w:t>Powyższe zasady nie mają zastosowania</w:t>
            </w:r>
            <w:r w:rsidR="00CF6CAC">
              <w:rPr>
                <w:color w:val="000000" w:themeColor="text1"/>
                <w:w w:val="105"/>
                <w:szCs w:val="24"/>
              </w:rPr>
              <w:t xml:space="preserve">, </w:t>
            </w:r>
            <w:r w:rsidRPr="00CF6CAC">
              <w:rPr>
                <w:color w:val="000000" w:themeColor="text1"/>
                <w:w w:val="105"/>
                <w:szCs w:val="24"/>
              </w:rPr>
              <w:t>jeżeli w punkcie pomiarowym, dla którego zachodzi</w:t>
            </w:r>
            <w:r w:rsidRPr="00CF6CAC">
              <w:rPr>
                <w:color w:val="000000" w:themeColor="text1"/>
                <w:spacing w:val="-14"/>
                <w:w w:val="105"/>
                <w:szCs w:val="24"/>
              </w:rPr>
              <w:t xml:space="preserve"> </w:t>
            </w:r>
            <w:r w:rsidRPr="00CF6CAC">
              <w:rPr>
                <w:color w:val="000000" w:themeColor="text1"/>
                <w:w w:val="105"/>
                <w:szCs w:val="24"/>
              </w:rPr>
              <w:t>konieczność</w:t>
            </w:r>
            <w:r w:rsidRPr="00CF6CAC">
              <w:rPr>
                <w:color w:val="000000" w:themeColor="text1"/>
                <w:spacing w:val="-13"/>
                <w:w w:val="105"/>
                <w:szCs w:val="24"/>
              </w:rPr>
              <w:t xml:space="preserve"> </w:t>
            </w:r>
            <w:r w:rsidRPr="00CF6CAC">
              <w:rPr>
                <w:color w:val="000000" w:themeColor="text1"/>
                <w:w w:val="105"/>
                <w:szCs w:val="24"/>
              </w:rPr>
              <w:t>wyznaczenia</w:t>
            </w:r>
            <w:r w:rsidRPr="00CF6CAC">
              <w:rPr>
                <w:color w:val="000000" w:themeColor="text1"/>
                <w:spacing w:val="-15"/>
                <w:w w:val="105"/>
                <w:szCs w:val="24"/>
              </w:rPr>
              <w:t xml:space="preserve"> </w:t>
            </w:r>
            <w:r w:rsidRPr="00CF6CAC">
              <w:rPr>
                <w:color w:val="000000" w:themeColor="text1"/>
                <w:w w:val="105"/>
                <w:szCs w:val="24"/>
              </w:rPr>
              <w:t>zastępczych</w:t>
            </w:r>
            <w:r w:rsidRPr="00CF6CAC">
              <w:rPr>
                <w:color w:val="000000" w:themeColor="text1"/>
                <w:spacing w:val="-13"/>
                <w:w w:val="105"/>
                <w:szCs w:val="24"/>
              </w:rPr>
              <w:t xml:space="preserve"> </w:t>
            </w:r>
            <w:r w:rsidRPr="00CF6CAC">
              <w:rPr>
                <w:color w:val="000000" w:themeColor="text1"/>
                <w:w w:val="105"/>
                <w:szCs w:val="24"/>
              </w:rPr>
              <w:t>danych</w:t>
            </w:r>
            <w:r w:rsidRPr="00CF6CAC">
              <w:rPr>
                <w:color w:val="000000" w:themeColor="text1"/>
                <w:spacing w:val="-18"/>
                <w:w w:val="105"/>
                <w:szCs w:val="24"/>
              </w:rPr>
              <w:t xml:space="preserve"> </w:t>
            </w:r>
            <w:r w:rsidRPr="00CF6CAC">
              <w:rPr>
                <w:color w:val="000000" w:themeColor="text1"/>
                <w:w w:val="105"/>
                <w:szCs w:val="24"/>
              </w:rPr>
              <w:t>pomiarowych</w:t>
            </w:r>
            <w:r w:rsidRPr="00CF6CAC">
              <w:rPr>
                <w:color w:val="000000" w:themeColor="text1"/>
                <w:spacing w:val="-5"/>
                <w:w w:val="105"/>
                <w:szCs w:val="24"/>
              </w:rPr>
              <w:t xml:space="preserve"> </w:t>
            </w:r>
            <w:r w:rsidRPr="00CF6CAC">
              <w:rPr>
                <w:color w:val="000000" w:themeColor="text1"/>
                <w:w w:val="105"/>
                <w:szCs w:val="24"/>
              </w:rPr>
              <w:t>lub</w:t>
            </w:r>
            <w:r w:rsidRPr="00CF6CAC">
              <w:rPr>
                <w:color w:val="000000" w:themeColor="text1"/>
                <w:spacing w:val="-27"/>
                <w:w w:val="105"/>
                <w:szCs w:val="24"/>
              </w:rPr>
              <w:t xml:space="preserve"> </w:t>
            </w:r>
            <w:r w:rsidRPr="00CF6CAC">
              <w:rPr>
                <w:color w:val="000000" w:themeColor="text1"/>
                <w:w w:val="105"/>
                <w:szCs w:val="24"/>
              </w:rPr>
              <w:t>skorygowanych danych pomiarowych, jest zainstalowany rezerwowy układ pomiarowo-rozliczeniowy. W takim przypadku ilość energii elektrycznej wyznacza się na podstawie wskazań układu pomiarowo-rozliczeniowego rezerwowego pod warunkiem, że ten układ zarejestrował poprawne dane</w:t>
            </w:r>
            <w:r w:rsidRPr="00CF6CAC">
              <w:rPr>
                <w:color w:val="000000" w:themeColor="text1"/>
                <w:spacing w:val="22"/>
                <w:w w:val="105"/>
                <w:szCs w:val="24"/>
              </w:rPr>
              <w:t xml:space="preserve"> </w:t>
            </w:r>
            <w:r w:rsidRPr="00CF6CAC">
              <w:rPr>
                <w:color w:val="000000" w:themeColor="text1"/>
                <w:w w:val="105"/>
                <w:szCs w:val="24"/>
              </w:rPr>
              <w:t>pomiarowe</w:t>
            </w:r>
            <w:r w:rsidR="00CF6CAC">
              <w:rPr>
                <w:color w:val="000000" w:themeColor="text1"/>
                <w:w w:val="105"/>
                <w:szCs w:val="24"/>
              </w:rPr>
              <w:t>.</w:t>
            </w:r>
          </w:p>
        </w:tc>
      </w:tr>
      <w:tr w:rsidR="001024B2" w:rsidRPr="00F33072" w14:paraId="1DAEEB61" w14:textId="77777777" w:rsidTr="00766DFA">
        <w:trPr>
          <w:trHeight w:val="1278"/>
        </w:trPr>
        <w:tc>
          <w:tcPr>
            <w:tcW w:w="1135" w:type="dxa"/>
          </w:tcPr>
          <w:p w14:paraId="0BE1CE9F" w14:textId="77777777" w:rsidR="001024B2" w:rsidRPr="00DF4999" w:rsidRDefault="001024B2" w:rsidP="00C07EB1">
            <w:pPr>
              <w:rPr>
                <w:color w:val="000000" w:themeColor="text1"/>
                <w:szCs w:val="24"/>
              </w:rPr>
            </w:pPr>
            <w:r w:rsidRPr="00DF4999">
              <w:rPr>
                <w:color w:val="000000" w:themeColor="text1"/>
                <w:szCs w:val="24"/>
              </w:rPr>
              <w:lastRenderedPageBreak/>
              <w:t>C.8.</w:t>
            </w:r>
          </w:p>
        </w:tc>
        <w:tc>
          <w:tcPr>
            <w:tcW w:w="8045" w:type="dxa"/>
            <w:shd w:val="clear" w:color="auto" w:fill="auto"/>
          </w:tcPr>
          <w:p w14:paraId="280C8EA6" w14:textId="7EEE455B" w:rsidR="00DF4999" w:rsidRPr="00DF4999" w:rsidRDefault="00DF4999" w:rsidP="00DF4999">
            <w:pPr>
              <w:pStyle w:val="Tekstpodstawowy"/>
              <w:spacing w:before="0" w:line="249" w:lineRule="auto"/>
              <w:ind w:left="102" w:hanging="6"/>
              <w:rPr>
                <w:color w:val="000000" w:themeColor="text1"/>
                <w:szCs w:val="24"/>
              </w:rPr>
            </w:pPr>
            <w:r w:rsidRPr="00DF4999">
              <w:rPr>
                <w:color w:val="000000" w:themeColor="text1"/>
                <w:w w:val="105"/>
                <w:szCs w:val="24"/>
              </w:rPr>
              <w:t xml:space="preserve">W przypadku braku możliwości pozyskania przez </w:t>
            </w:r>
            <w:r w:rsidR="00CE3518">
              <w:rPr>
                <w:color w:val="000000" w:themeColor="text1"/>
                <w:w w:val="105"/>
                <w:szCs w:val="24"/>
                <w:lang w:val="pl-PL"/>
              </w:rPr>
              <w:t>OSDn</w:t>
            </w:r>
            <w:r w:rsidRPr="00DF4999">
              <w:rPr>
                <w:color w:val="000000" w:themeColor="text1"/>
                <w:w w:val="105"/>
                <w:szCs w:val="24"/>
              </w:rPr>
              <w:t xml:space="preserve"> rzeczywistych odczytów wskazań układów pomiarowo-rozliczeniowych z przyczyn niezależnych od </w:t>
            </w:r>
            <w:r w:rsidR="00CE3518">
              <w:rPr>
                <w:color w:val="000000" w:themeColor="text1"/>
                <w:w w:val="105"/>
                <w:szCs w:val="24"/>
                <w:lang w:val="pl-PL"/>
              </w:rPr>
              <w:t>OSDn</w:t>
            </w:r>
            <w:r w:rsidRPr="00DF4999">
              <w:rPr>
                <w:color w:val="000000" w:themeColor="text1"/>
                <w:w w:val="105"/>
                <w:szCs w:val="24"/>
              </w:rPr>
              <w:t xml:space="preserve">, </w:t>
            </w:r>
            <w:r w:rsidR="00CE3518">
              <w:rPr>
                <w:color w:val="000000" w:themeColor="text1"/>
                <w:w w:val="105"/>
                <w:szCs w:val="24"/>
                <w:lang w:val="pl-PL"/>
              </w:rPr>
              <w:t>OSDn</w:t>
            </w:r>
            <w:r w:rsidRPr="00DF4999">
              <w:rPr>
                <w:color w:val="000000" w:themeColor="text1"/>
                <w:w w:val="105"/>
                <w:szCs w:val="24"/>
              </w:rPr>
              <w:t xml:space="preserve"> wzywa URD do umożliwienia dostępu do układu pomiarowo-rozliczeniowego:</w:t>
            </w:r>
          </w:p>
          <w:p w14:paraId="04C92BF5" w14:textId="181ADDAD" w:rsidR="00DF4999" w:rsidRPr="00DF4999" w:rsidRDefault="006F0421">
            <w:pPr>
              <w:pStyle w:val="Akapitzlist"/>
              <w:widowControl w:val="0"/>
              <w:numPr>
                <w:ilvl w:val="0"/>
                <w:numId w:val="352"/>
              </w:numPr>
              <w:tabs>
                <w:tab w:val="left" w:pos="1023"/>
              </w:tabs>
              <w:autoSpaceDE w:val="0"/>
              <w:autoSpaceDN w:val="0"/>
              <w:spacing w:before="120" w:line="249" w:lineRule="auto"/>
              <w:ind w:left="102" w:hanging="344"/>
              <w:jc w:val="both"/>
              <w:rPr>
                <w:color w:val="000000" w:themeColor="text1"/>
                <w:szCs w:val="24"/>
              </w:rPr>
            </w:pPr>
            <w:r>
              <w:rPr>
                <w:color w:val="000000" w:themeColor="text1"/>
                <w:w w:val="105"/>
                <w:szCs w:val="24"/>
              </w:rPr>
              <w:t xml:space="preserve">1) </w:t>
            </w:r>
            <w:r w:rsidR="00DF4999" w:rsidRPr="00DF4999">
              <w:rPr>
                <w:color w:val="000000" w:themeColor="text1"/>
                <w:w w:val="105"/>
                <w:szCs w:val="24"/>
              </w:rPr>
              <w:t>po upływie trzech kolejnych okresów rozliczeniowych od dnia uzyskania danych pomiarowych z PPE - dla URD posiadających okresy rozliczeniowe nie dłuższe niż</w:t>
            </w:r>
            <w:r w:rsidR="00DF4999" w:rsidRPr="00DF4999">
              <w:rPr>
                <w:color w:val="000000" w:themeColor="text1"/>
                <w:spacing w:val="-13"/>
                <w:w w:val="105"/>
                <w:szCs w:val="24"/>
              </w:rPr>
              <w:t xml:space="preserve"> </w:t>
            </w:r>
            <w:r w:rsidR="00DF4999" w:rsidRPr="00DF4999">
              <w:rPr>
                <w:color w:val="000000" w:themeColor="text1"/>
                <w:w w:val="105"/>
                <w:szCs w:val="24"/>
              </w:rPr>
              <w:t>4 m</w:t>
            </w:r>
            <w:r>
              <w:rPr>
                <w:color w:val="000000" w:themeColor="text1"/>
                <w:w w:val="105"/>
                <w:szCs w:val="24"/>
              </w:rPr>
              <w:t>iesiące</w:t>
            </w:r>
            <w:r w:rsidR="00DF4999" w:rsidRPr="00DF4999">
              <w:rPr>
                <w:color w:val="000000" w:themeColor="text1"/>
                <w:w w:val="105"/>
                <w:szCs w:val="24"/>
              </w:rPr>
              <w:t>,</w:t>
            </w:r>
          </w:p>
          <w:p w14:paraId="70C055F7" w14:textId="34A80B94" w:rsidR="001024B2" w:rsidRPr="00DF4999" w:rsidRDefault="00DF4999">
            <w:pPr>
              <w:pStyle w:val="styl0"/>
              <w:numPr>
                <w:ilvl w:val="0"/>
                <w:numId w:val="352"/>
              </w:numPr>
              <w:ind w:left="386" w:hanging="284"/>
              <w:rPr>
                <w:color w:val="000000" w:themeColor="text1"/>
                <w:szCs w:val="24"/>
              </w:rPr>
            </w:pPr>
            <w:r w:rsidRPr="00DF4999">
              <w:rPr>
                <w:color w:val="000000" w:themeColor="text1"/>
                <w:w w:val="105"/>
                <w:szCs w:val="24"/>
              </w:rPr>
              <w:t>po upływie 12 miesięcy od dnia uzyskania danych pomiarowych z PPE - dla pozostałych</w:t>
            </w:r>
            <w:r w:rsidRPr="00DF4999">
              <w:rPr>
                <w:color w:val="000000" w:themeColor="text1"/>
                <w:spacing w:val="22"/>
                <w:w w:val="105"/>
                <w:szCs w:val="24"/>
              </w:rPr>
              <w:t xml:space="preserve"> </w:t>
            </w:r>
            <w:r w:rsidRPr="00DF4999">
              <w:rPr>
                <w:color w:val="000000" w:themeColor="text1"/>
                <w:w w:val="105"/>
                <w:szCs w:val="24"/>
              </w:rPr>
              <w:t>URD</w:t>
            </w:r>
            <w:r w:rsidR="001024B2" w:rsidRPr="00DF4999">
              <w:rPr>
                <w:color w:val="000000" w:themeColor="text1"/>
                <w:szCs w:val="24"/>
              </w:rPr>
              <w:t>.</w:t>
            </w:r>
          </w:p>
        </w:tc>
      </w:tr>
      <w:tr w:rsidR="001024B2" w:rsidRPr="00F33072" w14:paraId="7C58C798" w14:textId="77777777" w:rsidTr="00766DFA">
        <w:trPr>
          <w:trHeight w:val="1095"/>
        </w:trPr>
        <w:tc>
          <w:tcPr>
            <w:tcW w:w="1135" w:type="dxa"/>
          </w:tcPr>
          <w:p w14:paraId="5A88AB73" w14:textId="77777777" w:rsidR="001024B2" w:rsidRPr="00F33072" w:rsidRDefault="001024B2" w:rsidP="00C07EB1">
            <w:r w:rsidRPr="00F33072">
              <w:t>C.9.</w:t>
            </w:r>
          </w:p>
        </w:tc>
        <w:tc>
          <w:tcPr>
            <w:tcW w:w="8045" w:type="dxa"/>
            <w:shd w:val="clear" w:color="auto" w:fill="auto"/>
          </w:tcPr>
          <w:p w14:paraId="482631FE" w14:textId="77777777" w:rsidR="001024B2" w:rsidRPr="00C753F5" w:rsidRDefault="001024B2" w:rsidP="00C07EB1">
            <w:pPr>
              <w:jc w:val="both"/>
            </w:pPr>
            <w:r w:rsidRPr="00C753F5">
              <w:t xml:space="preserve">Dane pomiarowe i pomiarowo-rozliczeniowe udostępniane są przez OSDn dla </w:t>
            </w:r>
            <w:r w:rsidRPr="00C753F5">
              <w:rPr>
                <w:bCs/>
              </w:rPr>
              <w:t>podmiotów posiadających zawarte umowy o</w:t>
            </w:r>
            <w:r>
              <w:rPr>
                <w:bCs/>
              </w:rPr>
              <w:t xml:space="preserve"> </w:t>
            </w:r>
            <w:r w:rsidRPr="00C753F5">
              <w:rPr>
                <w:bCs/>
              </w:rPr>
              <w:t xml:space="preserve">świadczenie usług dystrybucji lub GUD, bądź GUD-K </w:t>
            </w:r>
            <w:r w:rsidRPr="00C753F5">
              <w:t xml:space="preserve">poprzez systemy wymiany informacji OSDn, na zasadach </w:t>
            </w:r>
            <w:r w:rsidRPr="00C753F5">
              <w:br/>
              <w:t>i w terminach określonych w niniejszej IRiESD.</w:t>
            </w:r>
          </w:p>
        </w:tc>
      </w:tr>
      <w:tr w:rsidR="001024B2" w:rsidRPr="00F33072" w14:paraId="31792398" w14:textId="77777777" w:rsidTr="00766DFA">
        <w:tc>
          <w:tcPr>
            <w:tcW w:w="1135" w:type="dxa"/>
          </w:tcPr>
          <w:p w14:paraId="74EE08C1" w14:textId="77777777" w:rsidR="001024B2" w:rsidRPr="00F33072" w:rsidRDefault="001024B2" w:rsidP="00C07EB1">
            <w:r w:rsidRPr="00F33072">
              <w:t>C.10.</w:t>
            </w:r>
          </w:p>
        </w:tc>
        <w:tc>
          <w:tcPr>
            <w:tcW w:w="8045" w:type="dxa"/>
            <w:shd w:val="clear" w:color="auto" w:fill="auto"/>
          </w:tcPr>
          <w:p w14:paraId="7A163641" w14:textId="77777777" w:rsidR="00E052AD" w:rsidRDefault="001024B2" w:rsidP="00C07EB1">
            <w:pPr>
              <w:jc w:val="both"/>
              <w:rPr>
                <w:bCs/>
              </w:rPr>
            </w:pPr>
            <w:r w:rsidRPr="00C753F5">
              <w:rPr>
                <w:bCs/>
              </w:rPr>
              <w:t>Na potrzeby rozliczeń Rynku Bilansującego, OSDn</w:t>
            </w:r>
            <w:r w:rsidRPr="00C753F5">
              <w:t xml:space="preserve"> </w:t>
            </w:r>
            <w:r w:rsidRPr="00C753F5">
              <w:rPr>
                <w:bCs/>
              </w:rPr>
              <w:t>wyznacza i udostępnia godzinowe dane pomiarowe i pomiarowo-rozliczeniowe dla</w:t>
            </w:r>
            <w:r w:rsidR="00E052AD">
              <w:rPr>
                <w:bCs/>
              </w:rPr>
              <w:t>:</w:t>
            </w:r>
          </w:p>
          <w:p w14:paraId="22EB9AF1" w14:textId="0C1F912F" w:rsidR="001024B2" w:rsidRDefault="001024B2">
            <w:pPr>
              <w:pStyle w:val="Akapitzlist"/>
              <w:numPr>
                <w:ilvl w:val="3"/>
                <w:numId w:val="55"/>
              </w:numPr>
              <w:ind w:left="244" w:hanging="244"/>
              <w:jc w:val="both"/>
              <w:rPr>
                <w:bCs/>
              </w:rPr>
            </w:pPr>
            <w:r w:rsidRPr="00E052AD">
              <w:rPr>
                <w:bCs/>
              </w:rPr>
              <w:t xml:space="preserve">OSP </w:t>
            </w:r>
            <w:r w:rsidR="00E052AD">
              <w:rPr>
                <w:bCs/>
              </w:rPr>
              <w:t xml:space="preserve">jako zagregowane MB RB, zgodnie z zasadami i terminami określonymi </w:t>
            </w:r>
            <w:r w:rsidR="00D731C5">
              <w:rPr>
                <w:bCs/>
              </w:rPr>
              <w:br/>
            </w:r>
            <w:r w:rsidR="00E052AD">
              <w:rPr>
                <w:bCs/>
              </w:rPr>
              <w:t>w WDB,</w:t>
            </w:r>
          </w:p>
          <w:p w14:paraId="38931CC2" w14:textId="77777777" w:rsidR="00E052AD" w:rsidRDefault="00E052AD">
            <w:pPr>
              <w:pStyle w:val="Akapitzlist"/>
              <w:numPr>
                <w:ilvl w:val="3"/>
                <w:numId w:val="55"/>
              </w:numPr>
              <w:ind w:left="244" w:hanging="244"/>
              <w:jc w:val="both"/>
              <w:rPr>
                <w:bCs/>
              </w:rPr>
            </w:pPr>
            <w:r>
              <w:rPr>
                <w:bCs/>
              </w:rPr>
              <w:t>POB jako zagregowane MB RB i MDD bilansowych sprzedawców oraz dane bilansowych URD</w:t>
            </w:r>
            <w:r>
              <w:rPr>
                <w:bCs/>
                <w:vertAlign w:val="subscript"/>
              </w:rPr>
              <w:t>W</w:t>
            </w:r>
            <w:r>
              <w:rPr>
                <w:bCs/>
              </w:rPr>
              <w:t xml:space="preserve"> i URD</w:t>
            </w:r>
            <w:r w:rsidRPr="00E052AD">
              <w:rPr>
                <w:bCs/>
                <w:vertAlign w:val="subscript"/>
              </w:rPr>
              <w:t>ME</w:t>
            </w:r>
            <w:r>
              <w:rPr>
                <w:bCs/>
              </w:rPr>
              <w:t>,</w:t>
            </w:r>
          </w:p>
          <w:p w14:paraId="2FEC25D2" w14:textId="77777777" w:rsidR="00E052AD" w:rsidRDefault="00286B6C">
            <w:pPr>
              <w:pStyle w:val="Akapitzlist"/>
              <w:numPr>
                <w:ilvl w:val="3"/>
                <w:numId w:val="55"/>
              </w:numPr>
              <w:ind w:left="244" w:hanging="244"/>
              <w:jc w:val="both"/>
              <w:rPr>
                <w:bCs/>
              </w:rPr>
            </w:pPr>
            <w:r>
              <w:rPr>
                <w:bCs/>
              </w:rPr>
              <w:t>Sprzedawców jako zagregowane MDD,</w:t>
            </w:r>
          </w:p>
          <w:p w14:paraId="6AD2BBBD" w14:textId="642D4D28" w:rsidR="00286B6C" w:rsidRPr="00622B82" w:rsidRDefault="00622B82" w:rsidP="00622B82">
            <w:pPr>
              <w:jc w:val="both"/>
              <w:rPr>
                <w:bCs/>
              </w:rPr>
            </w:pPr>
            <w:r>
              <w:rPr>
                <w:bCs/>
              </w:rPr>
              <w:t xml:space="preserve">zachowując zgodność przekazywanych danych ww. podmiotom. </w:t>
            </w:r>
          </w:p>
        </w:tc>
      </w:tr>
      <w:tr w:rsidR="001024B2" w:rsidRPr="00F33072" w14:paraId="04FAF420" w14:textId="77777777" w:rsidTr="00766DFA">
        <w:tc>
          <w:tcPr>
            <w:tcW w:w="1135" w:type="dxa"/>
          </w:tcPr>
          <w:p w14:paraId="0F574148" w14:textId="77777777" w:rsidR="001024B2" w:rsidRPr="00F33072" w:rsidRDefault="001024B2" w:rsidP="00C07EB1">
            <w:r w:rsidRPr="00F33072">
              <w:t>C.11.</w:t>
            </w:r>
          </w:p>
        </w:tc>
        <w:tc>
          <w:tcPr>
            <w:tcW w:w="8045" w:type="dxa"/>
            <w:shd w:val="clear" w:color="auto" w:fill="auto"/>
          </w:tcPr>
          <w:p w14:paraId="21703070" w14:textId="77777777" w:rsidR="001024B2" w:rsidRPr="00C753F5" w:rsidRDefault="001024B2" w:rsidP="00C07EB1">
            <w:pPr>
              <w:jc w:val="both"/>
            </w:pPr>
            <w:r w:rsidRPr="00C753F5">
              <w:t>Na potrzeby rozliczeń Rynku Detalicznego, OSDn udostępnia następujące dane pomiarowe:</w:t>
            </w:r>
          </w:p>
          <w:p w14:paraId="67FF04E3" w14:textId="77777777" w:rsidR="001024B2" w:rsidRPr="00C753F5" w:rsidRDefault="001024B2" w:rsidP="00C07EB1">
            <w:pPr>
              <w:jc w:val="both"/>
            </w:pPr>
            <w:r w:rsidRPr="00C753F5">
              <w:t>Sprzedawcom:</w:t>
            </w:r>
          </w:p>
          <w:p w14:paraId="3D6B6E41" w14:textId="77777777" w:rsidR="001024B2" w:rsidRPr="00C753F5" w:rsidRDefault="001024B2">
            <w:pPr>
              <w:numPr>
                <w:ilvl w:val="0"/>
                <w:numId w:val="193"/>
              </w:numPr>
              <w:ind w:left="283" w:hanging="283"/>
              <w:jc w:val="both"/>
            </w:pPr>
            <w:r w:rsidRPr="00C753F5">
              <w:t xml:space="preserve">o zużyciu energii elektrycznej przez odbiorców w okresie rozliczeniowym usług dystrybucyjnych oraz w każdym przypadku wpływającym na rozliczenie usługi dystrybucji pomiędzy sprzedawcą a URD, w szczególności w przypadku zmiany taryfy OSDn, zmiany grupy taryfowej, wymiany układu pomiarowo-rozliczeniowego, zmiany odbiorcy przyjętej przez OSDn, </w:t>
            </w:r>
            <w:r w:rsidRPr="00C753F5">
              <w:br/>
              <w:t xml:space="preserve">z wyłączeniem przypadku zmiany taryfy OSDn, umożliwiające wyznaczenie rzeczywistego zużycia energii elektrycznej poszczególnych URD – przekazywane do piątego dnia roboczego po zakończeniu okresu rozliczeniowego usług dystrybucyjnych, </w:t>
            </w:r>
          </w:p>
          <w:p w14:paraId="5D717BC5" w14:textId="77777777" w:rsidR="001024B2" w:rsidRDefault="001024B2">
            <w:pPr>
              <w:numPr>
                <w:ilvl w:val="0"/>
                <w:numId w:val="193"/>
              </w:numPr>
              <w:ind w:left="283" w:hanging="283"/>
              <w:jc w:val="both"/>
            </w:pPr>
            <w:r w:rsidRPr="00A070FB">
              <w:rPr>
                <w:bCs/>
              </w:rPr>
              <w:lastRenderedPageBreak/>
              <w:t>za zgodą URD</w:t>
            </w:r>
            <w:r>
              <w:rPr>
                <w:bCs/>
              </w:rPr>
              <w:t xml:space="preserve"> </w:t>
            </w:r>
            <w:r w:rsidRPr="007E6531">
              <w:rPr>
                <w:bCs/>
                <w:iCs/>
              </w:rPr>
              <w:t>będącego osobą fizyczną</w:t>
            </w:r>
            <w:r w:rsidRPr="00A070FB">
              <w:rPr>
                <w:bCs/>
              </w:rPr>
              <w:t xml:space="preserve">, dane </w:t>
            </w:r>
            <w:r w:rsidRPr="00C753F5">
              <w:t>godzinowe URD po ich pozyskaniu przez OSDn, w przypadku URD będącego osobą fizyczną za zgodą tego URD</w:t>
            </w:r>
            <w:r w:rsidR="009729EE">
              <w:t>,</w:t>
            </w:r>
          </w:p>
          <w:p w14:paraId="65A60B55" w14:textId="77777777" w:rsidR="009729EE" w:rsidRPr="00C753F5" w:rsidRDefault="00316949">
            <w:pPr>
              <w:numPr>
                <w:ilvl w:val="0"/>
                <w:numId w:val="193"/>
              </w:numPr>
              <w:ind w:left="283" w:hanging="283"/>
              <w:jc w:val="both"/>
            </w:pPr>
            <w:r w:rsidRPr="00D80DE5">
              <w:rPr>
                <w:rFonts w:eastAsia="Times New Roman" w:cs="Times New Roman"/>
                <w:color w:val="000000"/>
                <w:szCs w:val="24"/>
              </w:rPr>
              <w:t>oddzielnie w formie okresowych stanów (wskazań) liczydeł liczników energii elektrycznej dane o ilości energii wprowadzonej i pobranej z sieci przez URD posiadającego mikroinstalację</w:t>
            </w:r>
            <w:r w:rsidR="009729EE" w:rsidRPr="003B5EA2">
              <w:rPr>
                <w:rFonts w:eastAsia="Times New Roman" w:cs="Times New Roman"/>
                <w:color w:val="000000"/>
                <w:szCs w:val="24"/>
              </w:rPr>
              <w:t>;</w:t>
            </w:r>
          </w:p>
          <w:p w14:paraId="2E0DA2C2" w14:textId="77777777" w:rsidR="001024B2" w:rsidRPr="00C753F5" w:rsidRDefault="001024B2" w:rsidP="00C07EB1">
            <w:pPr>
              <w:jc w:val="both"/>
            </w:pPr>
            <w:r w:rsidRPr="00C753F5">
              <w:t>URD:</w:t>
            </w:r>
          </w:p>
          <w:p w14:paraId="5C29AF03" w14:textId="77777777" w:rsidR="001024B2" w:rsidRPr="00C753F5" w:rsidRDefault="001024B2" w:rsidP="00C07EB1">
            <w:pPr>
              <w:ind w:left="339" w:hanging="339"/>
              <w:jc w:val="both"/>
            </w:pPr>
            <w:r>
              <w:t>1</w:t>
            </w:r>
            <w:r w:rsidRPr="00C753F5">
              <w:t>) o zużyciu w PPE za okres rozliczeniowy lub umożliwiające wyznaczenie rzeczywistego zużycia energii elektrycznej, przekazywane wraz z fakturą za usługi dystrybucyjne,</w:t>
            </w:r>
          </w:p>
          <w:p w14:paraId="462BEB51" w14:textId="77777777" w:rsidR="001024B2" w:rsidRPr="00C753F5" w:rsidRDefault="001024B2" w:rsidP="00C07EB1">
            <w:pPr>
              <w:ind w:left="339" w:hanging="360"/>
              <w:jc w:val="both"/>
            </w:pPr>
            <w:r>
              <w:t>2</w:t>
            </w:r>
            <w:r w:rsidRPr="00C753F5">
              <w:t xml:space="preserve">) godzinowe URD - na zlecenie URD, na zasadach i warunkach określonych </w:t>
            </w:r>
            <w:r w:rsidRPr="00C753F5">
              <w:br/>
              <w:t>w umowie o świadczenie usług dystrybucji lub odrębnej umowie zawartej pomiędzy OSDn i URD.</w:t>
            </w:r>
          </w:p>
          <w:p w14:paraId="1DEF6B7A" w14:textId="77777777" w:rsidR="001024B2" w:rsidRPr="00C753F5" w:rsidRDefault="001024B2" w:rsidP="00C07EB1">
            <w:pPr>
              <w:jc w:val="both"/>
            </w:pPr>
            <w:r w:rsidRPr="00C753F5">
              <w:t>zachowując zgodność przekazywanych danych w/w podmiotom. Dane pomiarowe są udostępniane z dokładnością do 1kWh.</w:t>
            </w:r>
          </w:p>
        </w:tc>
      </w:tr>
      <w:tr w:rsidR="001024B2" w:rsidRPr="00F33072" w14:paraId="2AE8C61F" w14:textId="77777777" w:rsidTr="00766DFA">
        <w:tc>
          <w:tcPr>
            <w:tcW w:w="1135" w:type="dxa"/>
          </w:tcPr>
          <w:p w14:paraId="2A742A12" w14:textId="77777777" w:rsidR="001024B2" w:rsidRPr="00F33072" w:rsidRDefault="001024B2" w:rsidP="00C07EB1">
            <w:r w:rsidRPr="00F33072">
              <w:lastRenderedPageBreak/>
              <w:t>C.12.</w:t>
            </w:r>
          </w:p>
        </w:tc>
        <w:tc>
          <w:tcPr>
            <w:tcW w:w="8045" w:type="dxa"/>
            <w:shd w:val="clear" w:color="auto" w:fill="auto"/>
          </w:tcPr>
          <w:p w14:paraId="62A82DCA" w14:textId="034F6267" w:rsidR="00F05825" w:rsidRPr="00F05825" w:rsidRDefault="00F05825" w:rsidP="00F05825">
            <w:pPr>
              <w:pStyle w:val="Tekstpodstawowy"/>
              <w:spacing w:line="271" w:lineRule="auto"/>
              <w:ind w:firstLine="1"/>
              <w:rPr>
                <w:color w:val="000000" w:themeColor="text1"/>
                <w:szCs w:val="24"/>
              </w:rPr>
            </w:pPr>
            <w:r w:rsidRPr="00F05825">
              <w:rPr>
                <w:color w:val="000000" w:themeColor="text1"/>
                <w:w w:val="105"/>
                <w:szCs w:val="24"/>
              </w:rPr>
              <w:t xml:space="preserve">W przypadku braku danych pomiarowych, spowodowanych brakiem lub awarią układu transmisji danych pomiarowych lub zakłóceniem w procesie zdalnego pozyskiwania danych z układów  pomiarowo-rozliczeniowych, </w:t>
            </w:r>
            <w:r w:rsidR="00797AF6">
              <w:rPr>
                <w:color w:val="000000" w:themeColor="text1"/>
                <w:w w:val="105"/>
                <w:szCs w:val="24"/>
                <w:lang w:val="pl-PL"/>
              </w:rPr>
              <w:t>OSDn</w:t>
            </w:r>
            <w:r w:rsidRPr="00F05825">
              <w:rPr>
                <w:color w:val="000000" w:themeColor="text1"/>
                <w:w w:val="105"/>
                <w:szCs w:val="24"/>
              </w:rPr>
              <w:t xml:space="preserve"> </w:t>
            </w:r>
            <w:r w:rsidR="00797AF6">
              <w:rPr>
                <w:color w:val="000000" w:themeColor="text1"/>
                <w:w w:val="105"/>
                <w:szCs w:val="24"/>
              </w:rPr>
              <w:br/>
            </w:r>
            <w:r w:rsidRPr="00F05825">
              <w:rPr>
                <w:color w:val="000000" w:themeColor="text1"/>
                <w:w w:val="105"/>
                <w:szCs w:val="24"/>
              </w:rPr>
              <w:t>w procesie udostępniania danych pomiarowych może wykorzystać dane wyznaczone zgodnie z</w:t>
            </w:r>
            <w:r w:rsidRPr="00F05825">
              <w:rPr>
                <w:color w:val="000000" w:themeColor="text1"/>
                <w:spacing w:val="9"/>
                <w:w w:val="105"/>
                <w:szCs w:val="24"/>
              </w:rPr>
              <w:t xml:space="preserve"> </w:t>
            </w:r>
            <w:r w:rsidRPr="00F05825">
              <w:rPr>
                <w:color w:val="000000" w:themeColor="text1"/>
                <w:w w:val="105"/>
                <w:szCs w:val="24"/>
              </w:rPr>
              <w:t>IRiESD.</w:t>
            </w:r>
          </w:p>
          <w:p w14:paraId="457EC217" w14:textId="726C8285" w:rsidR="001024B2" w:rsidRPr="00C753F5" w:rsidRDefault="00F05825" w:rsidP="00F05825">
            <w:pPr>
              <w:pStyle w:val="Tekstpodstawowy"/>
              <w:spacing w:before="8" w:line="268" w:lineRule="auto"/>
              <w:ind w:hanging="7"/>
            </w:pPr>
            <w:r w:rsidRPr="00F05825">
              <w:rPr>
                <w:color w:val="000000" w:themeColor="text1"/>
                <w:w w:val="105"/>
                <w:szCs w:val="24"/>
              </w:rPr>
              <w:t>Sposób udostępniania sprzedawcom danych pomiarowych  wskazanych  w pkt C.11. lit. a) określają umowy, o których mowa w pkt A.4.3.6. oraz</w:t>
            </w:r>
            <w:r w:rsidRPr="00F05825">
              <w:rPr>
                <w:color w:val="000000" w:themeColor="text1"/>
                <w:spacing w:val="34"/>
                <w:w w:val="105"/>
                <w:szCs w:val="24"/>
              </w:rPr>
              <w:t xml:space="preserve"> </w:t>
            </w:r>
            <w:r w:rsidRPr="00F05825">
              <w:rPr>
                <w:color w:val="000000" w:themeColor="text1"/>
                <w:w w:val="105"/>
                <w:szCs w:val="24"/>
              </w:rPr>
              <w:t>A.4.3.7.</w:t>
            </w:r>
          </w:p>
        </w:tc>
      </w:tr>
      <w:tr w:rsidR="001024B2" w:rsidRPr="00F33072" w14:paraId="21FB6308" w14:textId="77777777" w:rsidTr="00766DFA">
        <w:tc>
          <w:tcPr>
            <w:tcW w:w="1135" w:type="dxa"/>
          </w:tcPr>
          <w:p w14:paraId="3F055DF7" w14:textId="77777777" w:rsidR="001024B2" w:rsidRPr="00F33072" w:rsidRDefault="001024B2" w:rsidP="00C07EB1">
            <w:r w:rsidRPr="00F33072">
              <w:t>C.13.</w:t>
            </w:r>
          </w:p>
        </w:tc>
        <w:tc>
          <w:tcPr>
            <w:tcW w:w="8045" w:type="dxa"/>
            <w:shd w:val="clear" w:color="auto" w:fill="auto"/>
          </w:tcPr>
          <w:p w14:paraId="4BF2AA3E" w14:textId="77777777" w:rsidR="001024B2" w:rsidRPr="00A40EE7" w:rsidRDefault="001024B2" w:rsidP="00C07EB1">
            <w:pPr>
              <w:pStyle w:val="Default"/>
              <w:jc w:val="both"/>
              <w:rPr>
                <w:color w:val="auto"/>
              </w:rPr>
            </w:pPr>
            <w:r w:rsidRPr="00A40EE7">
              <w:rPr>
                <w:color w:val="auto"/>
              </w:rPr>
              <w:t xml:space="preserve">Dane pomiarowe wyznaczone przez OSDn na potrzeby rozliczeń: </w:t>
            </w:r>
          </w:p>
          <w:p w14:paraId="3779DA60" w14:textId="77777777" w:rsidR="001024B2" w:rsidRPr="005D3DE1" w:rsidRDefault="001024B2">
            <w:pPr>
              <w:pStyle w:val="Default"/>
              <w:numPr>
                <w:ilvl w:val="0"/>
                <w:numId w:val="194"/>
              </w:numPr>
              <w:tabs>
                <w:tab w:val="left" w:pos="283"/>
              </w:tabs>
              <w:ind w:hanging="2340"/>
              <w:jc w:val="both"/>
              <w:rPr>
                <w:color w:val="auto"/>
              </w:rPr>
            </w:pPr>
            <w:r w:rsidRPr="005D3DE1">
              <w:rPr>
                <w:color w:val="auto"/>
              </w:rPr>
              <w:t xml:space="preserve">Rynku Bilansującego, korygowane są w przypadku: </w:t>
            </w:r>
          </w:p>
          <w:p w14:paraId="58BB6426" w14:textId="77777777" w:rsidR="001024B2" w:rsidRPr="00E80BA8" w:rsidRDefault="001024B2">
            <w:pPr>
              <w:pStyle w:val="Default"/>
              <w:numPr>
                <w:ilvl w:val="0"/>
                <w:numId w:val="184"/>
              </w:numPr>
              <w:ind w:left="566" w:hanging="283"/>
              <w:jc w:val="both"/>
              <w:rPr>
                <w:color w:val="auto"/>
              </w:rPr>
            </w:pPr>
            <w:r w:rsidRPr="00E94E29">
              <w:rPr>
                <w:color w:val="auto"/>
              </w:rPr>
              <w:t>pozysk</w:t>
            </w:r>
            <w:r w:rsidRPr="00E80BA8">
              <w:rPr>
                <w:color w:val="auto"/>
              </w:rPr>
              <w:t xml:space="preserve">ania danych rzeczywistych w miejsce szacowanych, </w:t>
            </w:r>
          </w:p>
          <w:p w14:paraId="27FDE664" w14:textId="77777777" w:rsidR="001024B2" w:rsidRPr="004D0F8F" w:rsidRDefault="001024B2">
            <w:pPr>
              <w:pStyle w:val="Default"/>
              <w:numPr>
                <w:ilvl w:val="0"/>
                <w:numId w:val="184"/>
              </w:numPr>
              <w:ind w:left="566" w:hanging="283"/>
              <w:jc w:val="both"/>
              <w:rPr>
                <w:color w:val="auto"/>
              </w:rPr>
            </w:pPr>
            <w:r w:rsidRPr="004D0F8F">
              <w:rPr>
                <w:color w:val="auto"/>
              </w:rPr>
              <w:t xml:space="preserve">korekty danych składowych, </w:t>
            </w:r>
          </w:p>
          <w:p w14:paraId="527C42F9" w14:textId="77777777" w:rsidR="001024B2" w:rsidRPr="004D0F8F" w:rsidRDefault="001024B2">
            <w:pPr>
              <w:pStyle w:val="Default"/>
              <w:numPr>
                <w:ilvl w:val="0"/>
                <w:numId w:val="184"/>
              </w:numPr>
              <w:ind w:left="566" w:hanging="283"/>
              <w:jc w:val="both"/>
              <w:rPr>
                <w:color w:val="auto"/>
              </w:rPr>
            </w:pPr>
            <w:r w:rsidRPr="004D0F8F">
              <w:rPr>
                <w:color w:val="auto"/>
              </w:rPr>
              <w:t xml:space="preserve">rozpatrzenia reklamacji w zakresie poprawności danych, </w:t>
            </w:r>
          </w:p>
          <w:p w14:paraId="04223097" w14:textId="77777777" w:rsidR="001024B2" w:rsidRPr="004D0F8F" w:rsidRDefault="001024B2" w:rsidP="00C07EB1">
            <w:pPr>
              <w:pStyle w:val="Default"/>
              <w:jc w:val="both"/>
              <w:rPr>
                <w:color w:val="auto"/>
              </w:rPr>
            </w:pPr>
            <w:r w:rsidRPr="004D0F8F">
              <w:rPr>
                <w:color w:val="auto"/>
              </w:rPr>
              <w:t xml:space="preserve">i zgłaszane są do OSDp zgodnie z umową, o której </w:t>
            </w:r>
            <w:r w:rsidRPr="00E6320E">
              <w:rPr>
                <w:color w:val="auto"/>
              </w:rPr>
              <w:t>mowa w pkt. A.4.1.</w:t>
            </w:r>
            <w:r w:rsidRPr="004D0F8F">
              <w:rPr>
                <w:color w:val="auto"/>
              </w:rPr>
              <w:t xml:space="preserve"> </w:t>
            </w:r>
          </w:p>
          <w:p w14:paraId="2EAEB413" w14:textId="77777777" w:rsidR="001024B2" w:rsidRPr="00CB3547" w:rsidRDefault="001024B2">
            <w:pPr>
              <w:pStyle w:val="Default"/>
              <w:numPr>
                <w:ilvl w:val="0"/>
                <w:numId w:val="194"/>
              </w:numPr>
              <w:tabs>
                <w:tab w:val="left" w:pos="283"/>
              </w:tabs>
              <w:ind w:hanging="2340"/>
              <w:jc w:val="both"/>
              <w:rPr>
                <w:color w:val="auto"/>
              </w:rPr>
            </w:pPr>
            <w:r w:rsidRPr="00CB3547">
              <w:rPr>
                <w:color w:val="auto"/>
              </w:rPr>
              <w:t xml:space="preserve">URD, korygowane są w przypadku: </w:t>
            </w:r>
          </w:p>
          <w:p w14:paraId="7F3EFE9C" w14:textId="77777777" w:rsidR="001024B2" w:rsidRPr="00CB3547" w:rsidRDefault="001024B2">
            <w:pPr>
              <w:pStyle w:val="Default"/>
              <w:numPr>
                <w:ilvl w:val="0"/>
                <w:numId w:val="185"/>
              </w:numPr>
              <w:ind w:left="566" w:hanging="283"/>
              <w:jc w:val="both"/>
              <w:rPr>
                <w:color w:val="auto"/>
              </w:rPr>
            </w:pPr>
            <w:r w:rsidRPr="00CB3547">
              <w:rPr>
                <w:color w:val="auto"/>
              </w:rPr>
              <w:t xml:space="preserve">pozyskania danych rzeczywistych w miejsce szacowanych, </w:t>
            </w:r>
          </w:p>
          <w:p w14:paraId="2EBAB257" w14:textId="77777777" w:rsidR="001024B2" w:rsidRPr="00CB3547" w:rsidRDefault="001024B2">
            <w:pPr>
              <w:pStyle w:val="Default"/>
              <w:numPr>
                <w:ilvl w:val="0"/>
                <w:numId w:val="185"/>
              </w:numPr>
              <w:ind w:left="566" w:hanging="283"/>
              <w:jc w:val="both"/>
              <w:rPr>
                <w:color w:val="auto"/>
              </w:rPr>
            </w:pPr>
            <w:r w:rsidRPr="00CB3547">
              <w:rPr>
                <w:color w:val="auto"/>
              </w:rPr>
              <w:t xml:space="preserve">korekty danych składowych, </w:t>
            </w:r>
          </w:p>
          <w:p w14:paraId="4B587D42" w14:textId="77777777" w:rsidR="001024B2" w:rsidRPr="00CB3547" w:rsidRDefault="001024B2">
            <w:pPr>
              <w:pStyle w:val="Default"/>
              <w:numPr>
                <w:ilvl w:val="0"/>
                <w:numId w:val="185"/>
              </w:numPr>
              <w:ind w:left="566" w:hanging="283"/>
              <w:jc w:val="both"/>
              <w:rPr>
                <w:color w:val="auto"/>
              </w:rPr>
            </w:pPr>
            <w:r w:rsidRPr="00CB3547">
              <w:rPr>
                <w:color w:val="auto"/>
              </w:rPr>
              <w:t xml:space="preserve">rozpatrzenia reklamacji w zakresie poprawności danych, </w:t>
            </w:r>
          </w:p>
          <w:p w14:paraId="1CCA3C06" w14:textId="77777777" w:rsidR="001024B2" w:rsidRPr="00FD1D79" w:rsidRDefault="001024B2" w:rsidP="00C07EB1">
            <w:pPr>
              <w:pStyle w:val="Default"/>
              <w:jc w:val="both"/>
              <w:rPr>
                <w:color w:val="auto"/>
              </w:rPr>
            </w:pPr>
            <w:r w:rsidRPr="00FD1D79">
              <w:rPr>
                <w:color w:val="auto"/>
              </w:rPr>
              <w:t xml:space="preserve">W przypadku korekty danych pomiarowych, OSDn przekazuje sprzedawcy skorygowane dane. </w:t>
            </w:r>
          </w:p>
          <w:p w14:paraId="156D6D00" w14:textId="77777777" w:rsidR="001024B2" w:rsidRPr="00FD1D79" w:rsidRDefault="001024B2" w:rsidP="00C07EB1">
            <w:pPr>
              <w:pStyle w:val="Default"/>
              <w:jc w:val="both"/>
              <w:rPr>
                <w:color w:val="auto"/>
              </w:rPr>
            </w:pPr>
            <w:r w:rsidRPr="00FD1D79">
              <w:rPr>
                <w:color w:val="auto"/>
              </w:rPr>
              <w:t xml:space="preserve">OSDn dokonuje korekty za cały okres, w którym występowały błędy odczytu lub wskazań układu pomiarowo-rozliczeniowego albo inne nieprawidłowości. </w:t>
            </w:r>
          </w:p>
        </w:tc>
      </w:tr>
      <w:tr w:rsidR="001024B2" w:rsidRPr="00F33072" w14:paraId="751D5703" w14:textId="77777777" w:rsidTr="00766DFA">
        <w:trPr>
          <w:trHeight w:val="399"/>
        </w:trPr>
        <w:tc>
          <w:tcPr>
            <w:tcW w:w="1135" w:type="dxa"/>
          </w:tcPr>
          <w:p w14:paraId="4412EF11" w14:textId="77777777" w:rsidR="001024B2" w:rsidRPr="00F33072" w:rsidRDefault="001024B2" w:rsidP="00C07EB1">
            <w:r>
              <w:t>C.14.</w:t>
            </w:r>
          </w:p>
        </w:tc>
        <w:tc>
          <w:tcPr>
            <w:tcW w:w="8045" w:type="dxa"/>
            <w:shd w:val="clear" w:color="auto" w:fill="auto"/>
          </w:tcPr>
          <w:p w14:paraId="256A2BC1" w14:textId="77777777" w:rsidR="001024B2" w:rsidRPr="00C753F5" w:rsidRDefault="001024B2" w:rsidP="00C07EB1">
            <w:pPr>
              <w:jc w:val="both"/>
            </w:pPr>
            <w:r w:rsidRPr="00C753F5">
              <w:t xml:space="preserve">URD, Sprzedawcy oraz OSDp mają prawo wystąpić do OSDn z wnioskiem </w:t>
            </w:r>
            <w:r w:rsidRPr="00C753F5">
              <w:br/>
              <w:t xml:space="preserve">o dokonanie korekty danych pomiarowych w terminach i na zasadach określonych </w:t>
            </w:r>
            <w:r w:rsidR="00EA086D">
              <w:br/>
            </w:r>
            <w:r w:rsidRPr="00C753F5">
              <w:t>w rozdziale E niniejszej IRiESD - Bilansowanie.</w:t>
            </w:r>
          </w:p>
        </w:tc>
      </w:tr>
      <w:tr w:rsidR="001024B2" w:rsidRPr="00F33072" w14:paraId="56488EA7" w14:textId="77777777" w:rsidTr="00766DFA">
        <w:trPr>
          <w:trHeight w:val="678"/>
        </w:trPr>
        <w:tc>
          <w:tcPr>
            <w:tcW w:w="1135" w:type="dxa"/>
          </w:tcPr>
          <w:p w14:paraId="01A00E5F" w14:textId="77777777" w:rsidR="001024B2" w:rsidRPr="00F33072" w:rsidRDefault="001024B2" w:rsidP="00C07EB1">
            <w:r>
              <w:t>C.15</w:t>
            </w:r>
            <w:r w:rsidRPr="00F33072">
              <w:t>.</w:t>
            </w:r>
          </w:p>
        </w:tc>
        <w:tc>
          <w:tcPr>
            <w:tcW w:w="8045" w:type="dxa"/>
            <w:shd w:val="clear" w:color="auto" w:fill="auto"/>
          </w:tcPr>
          <w:p w14:paraId="745404C9" w14:textId="77777777" w:rsidR="001024B2" w:rsidRPr="00C753F5" w:rsidRDefault="001024B2" w:rsidP="00C07EB1">
            <w:pPr>
              <w:pStyle w:val="Default"/>
              <w:jc w:val="both"/>
              <w:rPr>
                <w:color w:val="auto"/>
              </w:rPr>
            </w:pPr>
            <w:r w:rsidRPr="00C753F5">
              <w:rPr>
                <w:color w:val="auto"/>
              </w:rPr>
              <w:t xml:space="preserve">Wymiana informacji pomiarowych pomiędzy OSDn, a sprzedawcą odbywa się </w:t>
            </w:r>
            <w:r w:rsidRPr="00C753F5">
              <w:rPr>
                <w:color w:val="auto"/>
              </w:rPr>
              <w:br/>
              <w:t>z wykorzystaniem kodu PPE, bądź numeru fabrycznego licznika energii elektrycznej</w:t>
            </w:r>
            <w:r w:rsidR="00E6320E">
              <w:rPr>
                <w:color w:val="auto"/>
              </w:rPr>
              <w:t>.</w:t>
            </w:r>
          </w:p>
        </w:tc>
      </w:tr>
      <w:tr w:rsidR="001024B2" w:rsidRPr="00F33072" w14:paraId="08055CF4" w14:textId="77777777" w:rsidTr="00766DFA">
        <w:trPr>
          <w:trHeight w:val="671"/>
        </w:trPr>
        <w:tc>
          <w:tcPr>
            <w:tcW w:w="1135" w:type="dxa"/>
          </w:tcPr>
          <w:p w14:paraId="389576CF" w14:textId="77777777" w:rsidR="001024B2" w:rsidDel="00024900" w:rsidRDefault="001024B2" w:rsidP="00C07EB1">
            <w:r>
              <w:t>C.16.</w:t>
            </w:r>
          </w:p>
        </w:tc>
        <w:tc>
          <w:tcPr>
            <w:tcW w:w="8045" w:type="dxa"/>
            <w:shd w:val="clear" w:color="auto" w:fill="auto"/>
          </w:tcPr>
          <w:p w14:paraId="58FBAA61" w14:textId="77777777" w:rsidR="001024B2" w:rsidRDefault="001024B2" w:rsidP="00C07EB1">
            <w:pPr>
              <w:tabs>
                <w:tab w:val="left" w:pos="708"/>
              </w:tabs>
              <w:jc w:val="both"/>
            </w:pPr>
            <w:r>
              <w:t>OSDn nie później niż do dziesięciu dni od dnia rozpoczęcia sprzedaży energii elektrycznej lub świadczenia usługi kompleksowej przez sprzedawcę, udostępnia sprzedawcy wskazania układu pomiarowo-rozliczeniowego URD na dzień rozpoczęcia sprzedaży energii lub świadczenia usługi kompleksowej przez sprzedawcę.</w:t>
            </w:r>
          </w:p>
          <w:p w14:paraId="49C43A82" w14:textId="77777777" w:rsidR="001024B2" w:rsidRPr="00C753F5" w:rsidDel="00024900" w:rsidRDefault="001024B2" w:rsidP="00C07EB1">
            <w:pPr>
              <w:jc w:val="both"/>
            </w:pPr>
            <w:r>
              <w:lastRenderedPageBreak/>
              <w:t>OSDn nie później niż do dziesięciu dni od dnia zakończenia sprzedaży energii elektrycznej lub świadczenia usługi kompleksowej przez sprzedawcę, udostępnia sprzedawcy wskazania układu pomiarowo-rozliczeniowego URD na dzień zakończenia sprzedaży energii lub świadczenia usługi kompleksowej przez sprzedawcę oraz dane dotyczące ilości zużytej energii elektrycznej URD w okresie od zakończenia ostatniego okresu rozliczeniowego do dnia zakończenia sprzedaży energii lub świadczenia usługi kompleksowej przez sprzedawcę.</w:t>
            </w:r>
          </w:p>
        </w:tc>
      </w:tr>
      <w:tr w:rsidR="001024B2" w:rsidRPr="00F33072" w14:paraId="07FB940F" w14:textId="77777777" w:rsidTr="00766DFA">
        <w:trPr>
          <w:trHeight w:val="965"/>
        </w:trPr>
        <w:tc>
          <w:tcPr>
            <w:tcW w:w="1135" w:type="dxa"/>
          </w:tcPr>
          <w:p w14:paraId="50CBBA4E" w14:textId="77777777" w:rsidR="001024B2" w:rsidDel="00024900" w:rsidRDefault="001024B2" w:rsidP="00273E8A">
            <w:pPr>
              <w:spacing w:before="120"/>
            </w:pPr>
            <w:r>
              <w:lastRenderedPageBreak/>
              <w:t>C.17</w:t>
            </w:r>
            <w:r w:rsidR="00273E8A">
              <w:t>.</w:t>
            </w:r>
          </w:p>
        </w:tc>
        <w:tc>
          <w:tcPr>
            <w:tcW w:w="8045" w:type="dxa"/>
            <w:shd w:val="clear" w:color="auto" w:fill="auto"/>
          </w:tcPr>
          <w:p w14:paraId="32B72EFC" w14:textId="77777777" w:rsidR="001024B2" w:rsidRDefault="001024B2" w:rsidP="00273E8A">
            <w:pPr>
              <w:tabs>
                <w:tab w:val="left" w:pos="708"/>
              </w:tabs>
              <w:spacing w:before="120"/>
              <w:jc w:val="both"/>
            </w:pPr>
            <w:r>
              <w:t>OSDn wraz z fakturą za świadczone usługi dystrybucji przedstawia URD informacje o:</w:t>
            </w:r>
          </w:p>
          <w:p w14:paraId="38923B8F" w14:textId="77777777" w:rsidR="001024B2" w:rsidRDefault="001024B2">
            <w:pPr>
              <w:pStyle w:val="Tekstpodstawowy"/>
              <w:numPr>
                <w:ilvl w:val="0"/>
                <w:numId w:val="199"/>
              </w:numPr>
              <w:tabs>
                <w:tab w:val="num" w:pos="1080"/>
              </w:tabs>
              <w:spacing w:line="240" w:lineRule="auto"/>
              <w:rPr>
                <w:color w:val="auto"/>
                <w:szCs w:val="24"/>
              </w:rPr>
            </w:pPr>
            <w:r>
              <w:rPr>
                <w:color w:val="auto"/>
                <w:szCs w:val="24"/>
              </w:rPr>
              <w:t>wielkości zużycia energii elektrycznej w okresie rozliczeniowym URD</w:t>
            </w:r>
            <w:r>
              <w:rPr>
                <w:color w:val="auto"/>
                <w:szCs w:val="24"/>
                <w:lang w:val="pl-PL"/>
              </w:rPr>
              <w:t>,</w:t>
            </w:r>
          </w:p>
          <w:p w14:paraId="5D03B7C3" w14:textId="77777777" w:rsidR="001024B2" w:rsidRDefault="001024B2">
            <w:pPr>
              <w:pStyle w:val="Tekstpodstawowy"/>
              <w:numPr>
                <w:ilvl w:val="0"/>
                <w:numId w:val="199"/>
              </w:numPr>
              <w:tabs>
                <w:tab w:val="num" w:pos="1080"/>
              </w:tabs>
              <w:spacing w:line="240" w:lineRule="auto"/>
              <w:rPr>
                <w:color w:val="auto"/>
                <w:szCs w:val="24"/>
              </w:rPr>
            </w:pPr>
            <w:r>
              <w:rPr>
                <w:color w:val="auto"/>
                <w:szCs w:val="24"/>
              </w:rPr>
              <w:t xml:space="preserve">sposobie dokonania odczytu układu pomiarowo-rozliczeniowego, </w:t>
            </w:r>
            <w:r w:rsidRPr="00261F69">
              <w:rPr>
                <w:color w:val="auto"/>
                <w:szCs w:val="24"/>
              </w:rPr>
              <w:t>czy był to odczyt fizyczny lub zdalny dokonany przez upoważnionego przedstawiciela</w:t>
            </w:r>
            <w:r>
              <w:rPr>
                <w:color w:val="auto"/>
                <w:szCs w:val="24"/>
              </w:rPr>
              <w:t xml:space="preserve"> OSD, albo odczyt dokonany i zgłoszony przez URD</w:t>
            </w:r>
            <w:r>
              <w:rPr>
                <w:color w:val="auto"/>
                <w:szCs w:val="24"/>
                <w:lang w:val="pl-PL"/>
              </w:rPr>
              <w:t>,</w:t>
            </w:r>
          </w:p>
          <w:p w14:paraId="72AD935F" w14:textId="77777777" w:rsidR="001024B2" w:rsidRPr="00C753F5" w:rsidDel="00024900" w:rsidRDefault="001024B2">
            <w:pPr>
              <w:pStyle w:val="Tekstpodstawowy"/>
              <w:numPr>
                <w:ilvl w:val="0"/>
                <w:numId w:val="199"/>
              </w:numPr>
              <w:tabs>
                <w:tab w:val="num" w:pos="1080"/>
              </w:tabs>
              <w:spacing w:line="240" w:lineRule="auto"/>
            </w:pPr>
            <w:r w:rsidRPr="00C5406A">
              <w:rPr>
                <w:color w:val="auto"/>
                <w:szCs w:val="24"/>
              </w:rPr>
              <w:t>sposobie wyznaczenia wielkości zużycia energii elektrycznej w sytuacji, gdy okres rozliczeniowy jest dłuższy niż miesiąc i gdy pierwszy lub ostatni dzień okresu rozliczeniowego nie pokrywa się z datami odczytów układu pomiarowo-rozliczeniowego lub gdy w trakcie trwania okresu rozliczeniowego nastąpiła zmiana cen lub stawek opłat, albo o miejscu, w którym są dostępne te informacje.</w:t>
            </w:r>
          </w:p>
        </w:tc>
      </w:tr>
      <w:tr w:rsidR="001024B2" w:rsidRPr="00F33072" w14:paraId="01FA47AC" w14:textId="77777777" w:rsidTr="00766DFA">
        <w:trPr>
          <w:trHeight w:val="1334"/>
        </w:trPr>
        <w:tc>
          <w:tcPr>
            <w:tcW w:w="1135" w:type="dxa"/>
          </w:tcPr>
          <w:p w14:paraId="596BB054" w14:textId="77777777" w:rsidR="001024B2" w:rsidDel="00024900" w:rsidRDefault="001024B2" w:rsidP="00C07EB1">
            <w:r>
              <w:t>C.18</w:t>
            </w:r>
            <w:r w:rsidR="00273E8A">
              <w:t>.</w:t>
            </w:r>
          </w:p>
        </w:tc>
        <w:tc>
          <w:tcPr>
            <w:tcW w:w="8045" w:type="dxa"/>
            <w:shd w:val="clear" w:color="auto" w:fill="auto"/>
          </w:tcPr>
          <w:p w14:paraId="13587F27" w14:textId="77777777" w:rsidR="001024B2" w:rsidRDefault="001024B2" w:rsidP="00C07EB1">
            <w:pPr>
              <w:tabs>
                <w:tab w:val="left" w:pos="708"/>
              </w:tabs>
              <w:jc w:val="both"/>
            </w:pPr>
            <w:r>
              <w:t>OSDn po zakończeniu okresu rozliczeniowego usług dystrybucji URD, przedstawia sprzedawcy świadczącemu usługę kompleksową informacje o:</w:t>
            </w:r>
          </w:p>
          <w:p w14:paraId="4512BF94" w14:textId="77777777" w:rsidR="001024B2" w:rsidRDefault="001024B2">
            <w:pPr>
              <w:pStyle w:val="Tekstpodstawowy"/>
              <w:numPr>
                <w:ilvl w:val="0"/>
                <w:numId w:val="200"/>
              </w:numPr>
              <w:tabs>
                <w:tab w:val="num" w:pos="1080"/>
              </w:tabs>
              <w:spacing w:before="0" w:line="240" w:lineRule="auto"/>
              <w:rPr>
                <w:color w:val="auto"/>
                <w:szCs w:val="24"/>
              </w:rPr>
            </w:pPr>
            <w:r>
              <w:rPr>
                <w:color w:val="auto"/>
                <w:szCs w:val="24"/>
              </w:rPr>
              <w:t>wielkości zużycia energii elektrycznej w okresie rozliczeniowym URD</w:t>
            </w:r>
            <w:r>
              <w:rPr>
                <w:color w:val="auto"/>
                <w:szCs w:val="24"/>
                <w:lang w:val="pl-PL"/>
              </w:rPr>
              <w:t>,</w:t>
            </w:r>
          </w:p>
          <w:p w14:paraId="7B4C6462" w14:textId="77777777" w:rsidR="001024B2" w:rsidRDefault="001024B2">
            <w:pPr>
              <w:pStyle w:val="Tekstpodstawowy"/>
              <w:numPr>
                <w:ilvl w:val="0"/>
                <w:numId w:val="200"/>
              </w:numPr>
              <w:tabs>
                <w:tab w:val="num" w:pos="1080"/>
              </w:tabs>
              <w:spacing w:before="0" w:line="240" w:lineRule="auto"/>
              <w:rPr>
                <w:color w:val="auto"/>
                <w:szCs w:val="24"/>
              </w:rPr>
            </w:pPr>
            <w:r>
              <w:rPr>
                <w:color w:val="auto"/>
                <w:szCs w:val="24"/>
              </w:rPr>
              <w:t>sposobie dokonania odczytu układu pomiarowo-rozliczeniowego, czy był to odczyt fizyczny lub zdalny dokonany przez upoważnionego przedstawiciela OSD, albo odczyt dokonany i zgłoszony przez URD</w:t>
            </w:r>
            <w:r>
              <w:rPr>
                <w:color w:val="auto"/>
                <w:szCs w:val="24"/>
                <w:lang w:val="pl-PL"/>
              </w:rPr>
              <w:t>,</w:t>
            </w:r>
          </w:p>
          <w:p w14:paraId="5F595AB9" w14:textId="06374D5A" w:rsidR="001024B2" w:rsidRPr="00C753F5" w:rsidDel="00024900" w:rsidRDefault="001024B2">
            <w:pPr>
              <w:pStyle w:val="Tekstpodstawowy"/>
              <w:numPr>
                <w:ilvl w:val="0"/>
                <w:numId w:val="200"/>
              </w:numPr>
              <w:tabs>
                <w:tab w:val="num" w:pos="1080"/>
              </w:tabs>
              <w:spacing w:before="0" w:line="240" w:lineRule="auto"/>
            </w:pPr>
            <w:r w:rsidRPr="00E653F3">
              <w:rPr>
                <w:color w:val="auto"/>
                <w:szCs w:val="24"/>
              </w:rPr>
              <w:t>sposobie wyznaczenia wielkości zużycia energii elektrycznej w sytuacji, gdy okres rozliczeniowy jest dłuższy niż miesiąc i gdy pierwszy lub ostatni dzień okresu rozliczeniowego nie pokrywa się z datami odczytów układu pomiarowo-rozliczeniowego lub gdy w trakcie trwania okresu rozliczeniowego nastąpiła zmiana cen lub stawek opłat, albo o miejscu, w którym są dostępne te informacje.</w:t>
            </w:r>
          </w:p>
        </w:tc>
      </w:tr>
      <w:tr w:rsidR="00260EDB" w:rsidRPr="00F33072" w14:paraId="4778F38C" w14:textId="77777777" w:rsidTr="00766DFA">
        <w:trPr>
          <w:trHeight w:val="1334"/>
        </w:trPr>
        <w:tc>
          <w:tcPr>
            <w:tcW w:w="1135" w:type="dxa"/>
          </w:tcPr>
          <w:p w14:paraId="5E7A2B84" w14:textId="2164280D" w:rsidR="00260EDB" w:rsidRDefault="00260EDB" w:rsidP="00C07EB1">
            <w:r>
              <w:t>C.19.</w:t>
            </w:r>
          </w:p>
        </w:tc>
        <w:tc>
          <w:tcPr>
            <w:tcW w:w="8045" w:type="dxa"/>
            <w:shd w:val="clear" w:color="auto" w:fill="auto"/>
          </w:tcPr>
          <w:p w14:paraId="0FE46164" w14:textId="330DCAC7" w:rsidR="00260EDB" w:rsidRDefault="00260EDB" w:rsidP="00C07EB1">
            <w:pPr>
              <w:tabs>
                <w:tab w:val="left" w:pos="708"/>
              </w:tabs>
              <w:jc w:val="both"/>
            </w:pPr>
            <w:r w:rsidRPr="00FC57EC">
              <w:rPr>
                <w:rFonts w:eastAsia="Times New Roman" w:cs="Times New Roman"/>
                <w:bCs/>
                <w:color w:val="000000"/>
                <w:szCs w:val="24"/>
              </w:rPr>
              <w:t xml:space="preserve">Dla </w:t>
            </w:r>
            <w:r>
              <w:rPr>
                <w:rFonts w:eastAsia="Times New Roman" w:cs="Times New Roman"/>
                <w:bCs/>
                <w:color w:val="000000"/>
                <w:szCs w:val="24"/>
              </w:rPr>
              <w:t>potrzeb rozliczeń rynku mocy, w przypadku awarii licznika zdalnego odczytu, OSDn może wyznaczyć wolumen energii elektrycznej pobranej z sieci na podstawie profilu zakupu energii elektrycznej (profil zakupu) dokonanej przez OSDn, który zostanie opublikowany na stronie internetowej OSDn oraz rzeczywiście pobranej energii elektrycznej przez URD.</w:t>
            </w:r>
          </w:p>
        </w:tc>
      </w:tr>
      <w:tr w:rsidR="00260EDB" w:rsidRPr="00F33072" w14:paraId="0768166C" w14:textId="77777777" w:rsidTr="00F37677">
        <w:trPr>
          <w:trHeight w:val="1334"/>
        </w:trPr>
        <w:tc>
          <w:tcPr>
            <w:tcW w:w="1135" w:type="dxa"/>
          </w:tcPr>
          <w:p w14:paraId="6B34181C" w14:textId="4F11ABD9" w:rsidR="00260EDB" w:rsidRDefault="00260EDB" w:rsidP="00C07EB1">
            <w:r>
              <w:t>C.20.</w:t>
            </w:r>
          </w:p>
        </w:tc>
        <w:tc>
          <w:tcPr>
            <w:tcW w:w="8045" w:type="dxa"/>
            <w:shd w:val="clear" w:color="auto" w:fill="auto"/>
          </w:tcPr>
          <w:p w14:paraId="488DEA73" w14:textId="6D1D6DCA" w:rsidR="00260EDB" w:rsidRPr="00FC57EC" w:rsidRDefault="00D826F1" w:rsidP="00C07EB1">
            <w:pPr>
              <w:tabs>
                <w:tab w:val="left" w:pos="708"/>
              </w:tabs>
              <w:jc w:val="both"/>
              <w:rPr>
                <w:rFonts w:eastAsia="Times New Roman" w:cs="Times New Roman"/>
                <w:bCs/>
                <w:color w:val="000000"/>
                <w:szCs w:val="24"/>
              </w:rPr>
            </w:pPr>
            <w:r>
              <w:rPr>
                <w:rFonts w:eastAsia="Times New Roman" w:cs="Times New Roman"/>
                <w:bCs/>
                <w:color w:val="000000"/>
                <w:szCs w:val="24"/>
              </w:rPr>
              <w:t>D</w:t>
            </w:r>
            <w:r w:rsidR="00260EDB" w:rsidRPr="00FC57EC">
              <w:rPr>
                <w:rFonts w:eastAsia="Times New Roman" w:cs="Times New Roman"/>
                <w:bCs/>
                <w:color w:val="000000"/>
                <w:szCs w:val="24"/>
              </w:rPr>
              <w:t xml:space="preserve">la </w:t>
            </w:r>
            <w:r w:rsidR="00260EDB">
              <w:rPr>
                <w:rFonts w:eastAsia="Times New Roman" w:cs="Times New Roman"/>
                <w:bCs/>
                <w:color w:val="000000"/>
                <w:szCs w:val="24"/>
              </w:rPr>
              <w:t>potrzeb rozliczeń rynku mocy</w:t>
            </w:r>
            <w:r>
              <w:rPr>
                <w:rFonts w:eastAsia="Times New Roman" w:cs="Times New Roman"/>
                <w:bCs/>
                <w:color w:val="000000"/>
                <w:szCs w:val="24"/>
              </w:rPr>
              <w:t xml:space="preserve"> </w:t>
            </w:r>
            <w:r w:rsidR="00260EDB">
              <w:rPr>
                <w:rFonts w:eastAsia="Times New Roman" w:cs="Times New Roman"/>
                <w:bCs/>
                <w:color w:val="000000"/>
                <w:szCs w:val="24"/>
              </w:rPr>
              <w:t>w przypadku braku licznika zdalnego odczytu, OSDn może wyznaczyć wolumen energii elektrycznej pobranej z sieci na podstawie profilu zakupu energii elektrycznej (profil zakupu) dokonanej przez OSDn, który zostanie opublikowany na stronie internetowej OSDn oraz rzeczywiście pobranej energii elektrycznej przez URD.</w:t>
            </w:r>
          </w:p>
        </w:tc>
      </w:tr>
      <w:tr w:rsidR="00A81984" w:rsidRPr="00F33072" w14:paraId="4CEB8823" w14:textId="77777777" w:rsidTr="00F37677">
        <w:trPr>
          <w:trHeight w:val="671"/>
        </w:trPr>
        <w:tc>
          <w:tcPr>
            <w:tcW w:w="1135" w:type="dxa"/>
          </w:tcPr>
          <w:p w14:paraId="223D45EF" w14:textId="44BC63C6" w:rsidR="00A81984" w:rsidRPr="00A81984" w:rsidRDefault="00A81984" w:rsidP="00C07EB1">
            <w:pPr>
              <w:rPr>
                <w:color w:val="000000" w:themeColor="text1"/>
              </w:rPr>
            </w:pPr>
            <w:r w:rsidRPr="00A81984">
              <w:rPr>
                <w:color w:val="000000" w:themeColor="text1"/>
              </w:rPr>
              <w:t>C.21.</w:t>
            </w:r>
          </w:p>
        </w:tc>
        <w:tc>
          <w:tcPr>
            <w:tcW w:w="8045" w:type="dxa"/>
            <w:shd w:val="clear" w:color="auto" w:fill="auto"/>
          </w:tcPr>
          <w:p w14:paraId="23B0B3B9" w14:textId="0CD25168" w:rsidR="00A81984" w:rsidRPr="00A81984" w:rsidRDefault="00A81984" w:rsidP="00C07EB1">
            <w:pPr>
              <w:tabs>
                <w:tab w:val="left" w:pos="708"/>
              </w:tabs>
              <w:jc w:val="both"/>
              <w:rPr>
                <w:rFonts w:eastAsia="Times New Roman" w:cs="Times New Roman"/>
                <w:bCs/>
                <w:color w:val="000000" w:themeColor="text1"/>
                <w:szCs w:val="24"/>
              </w:rPr>
            </w:pPr>
            <w:r w:rsidRPr="00A81984">
              <w:rPr>
                <w:color w:val="000000" w:themeColor="text1"/>
                <w:w w:val="105"/>
              </w:rPr>
              <w:t xml:space="preserve">Na potrzeby rozliczeń pomiędzy sprzedawcą a Prosumentem lub Prosumentem zbiorowym, </w:t>
            </w:r>
            <w:r>
              <w:rPr>
                <w:color w:val="000000" w:themeColor="text1"/>
                <w:w w:val="105"/>
              </w:rPr>
              <w:t xml:space="preserve">OSDn </w:t>
            </w:r>
            <w:r w:rsidRPr="00A81984">
              <w:rPr>
                <w:color w:val="000000" w:themeColor="text1"/>
                <w:w w:val="105"/>
              </w:rPr>
              <w:t xml:space="preserve">udostępnia sprzedawcy dane pomiarowe obejmujące godzinowe ilości energii elektrycznej wprowadzonej i pobranej z sieci dystrybucyjnej </w:t>
            </w:r>
            <w:r w:rsidR="00F37677">
              <w:rPr>
                <w:color w:val="000000" w:themeColor="text1"/>
                <w:w w:val="105"/>
              </w:rPr>
              <w:t xml:space="preserve">OSDn </w:t>
            </w:r>
            <w:r w:rsidRPr="00A81984">
              <w:rPr>
                <w:color w:val="000000" w:themeColor="text1"/>
                <w:w w:val="105"/>
              </w:rPr>
              <w:t>odpowiednio</w:t>
            </w:r>
            <w:r w:rsidRPr="00A81984">
              <w:rPr>
                <w:color w:val="000000" w:themeColor="text1"/>
                <w:spacing w:val="-12"/>
                <w:w w:val="105"/>
              </w:rPr>
              <w:t xml:space="preserve"> </w:t>
            </w:r>
            <w:r w:rsidRPr="00A81984">
              <w:rPr>
                <w:color w:val="000000" w:themeColor="text1"/>
                <w:w w:val="105"/>
              </w:rPr>
              <w:t>przez</w:t>
            </w:r>
            <w:r w:rsidRPr="00A81984">
              <w:rPr>
                <w:color w:val="000000" w:themeColor="text1"/>
                <w:spacing w:val="-21"/>
                <w:w w:val="105"/>
              </w:rPr>
              <w:t xml:space="preserve"> </w:t>
            </w:r>
            <w:r w:rsidRPr="00A81984">
              <w:rPr>
                <w:color w:val="000000" w:themeColor="text1"/>
                <w:w w:val="105"/>
              </w:rPr>
              <w:t>Prosumenta</w:t>
            </w:r>
            <w:r w:rsidRPr="00A81984">
              <w:rPr>
                <w:color w:val="000000" w:themeColor="text1"/>
                <w:spacing w:val="-9"/>
                <w:w w:val="105"/>
              </w:rPr>
              <w:t xml:space="preserve"> </w:t>
            </w:r>
            <w:r w:rsidRPr="00A81984">
              <w:rPr>
                <w:color w:val="000000" w:themeColor="text1"/>
                <w:w w:val="105"/>
              </w:rPr>
              <w:t>lub</w:t>
            </w:r>
            <w:r w:rsidRPr="00A81984">
              <w:rPr>
                <w:color w:val="000000" w:themeColor="text1"/>
                <w:spacing w:val="-22"/>
                <w:w w:val="105"/>
              </w:rPr>
              <w:t xml:space="preserve"> </w:t>
            </w:r>
            <w:r w:rsidRPr="00A81984">
              <w:rPr>
                <w:color w:val="000000" w:themeColor="text1"/>
                <w:w w:val="105"/>
              </w:rPr>
              <w:t>Prosumenta</w:t>
            </w:r>
            <w:r w:rsidRPr="00A81984">
              <w:rPr>
                <w:color w:val="000000" w:themeColor="text1"/>
                <w:spacing w:val="-20"/>
                <w:w w:val="105"/>
              </w:rPr>
              <w:t xml:space="preserve"> </w:t>
            </w:r>
            <w:r w:rsidRPr="00A81984">
              <w:rPr>
                <w:color w:val="000000" w:themeColor="text1"/>
                <w:w w:val="105"/>
              </w:rPr>
              <w:t>zbiorowego</w:t>
            </w:r>
            <w:r w:rsidRPr="00A81984">
              <w:rPr>
                <w:color w:val="000000" w:themeColor="text1"/>
                <w:spacing w:val="-11"/>
                <w:w w:val="105"/>
              </w:rPr>
              <w:t xml:space="preserve"> </w:t>
            </w:r>
            <w:r w:rsidRPr="00A81984">
              <w:rPr>
                <w:color w:val="000000" w:themeColor="text1"/>
                <w:w w:val="105"/>
              </w:rPr>
              <w:t>przed sumarycznym bilansowaniem i po sumarycznym bilansowaniu ilości energii elektrycznej wprowadzonej do i pobranej z tej sieci dystrybucyjnej, zarejestrowanej uprzednio przez LZO na wszystkich fazach instalacji elektrycznej, dokonywanym w</w:t>
            </w:r>
            <w:r w:rsidRPr="00A81984">
              <w:rPr>
                <w:color w:val="000000" w:themeColor="text1"/>
                <w:spacing w:val="-33"/>
                <w:w w:val="105"/>
              </w:rPr>
              <w:t xml:space="preserve"> </w:t>
            </w:r>
            <w:r w:rsidRPr="00A81984">
              <w:rPr>
                <w:color w:val="000000" w:themeColor="text1"/>
                <w:w w:val="105"/>
              </w:rPr>
              <w:t>LSPR</w:t>
            </w:r>
            <w:r w:rsidR="00F37677">
              <w:rPr>
                <w:color w:val="000000" w:themeColor="text1"/>
                <w:w w:val="105"/>
              </w:rPr>
              <w:t>.</w:t>
            </w:r>
          </w:p>
        </w:tc>
      </w:tr>
      <w:tr w:rsidR="00F37677" w:rsidRPr="00F33072" w14:paraId="772760A9" w14:textId="77777777" w:rsidTr="00F37677">
        <w:trPr>
          <w:trHeight w:val="1334"/>
        </w:trPr>
        <w:tc>
          <w:tcPr>
            <w:tcW w:w="1135" w:type="dxa"/>
          </w:tcPr>
          <w:p w14:paraId="1D84E064" w14:textId="1D815517" w:rsidR="00F37677" w:rsidRPr="00A81984" w:rsidRDefault="00F37677" w:rsidP="00C07EB1">
            <w:pPr>
              <w:rPr>
                <w:color w:val="000000" w:themeColor="text1"/>
              </w:rPr>
            </w:pPr>
            <w:r>
              <w:rPr>
                <w:color w:val="000000" w:themeColor="text1"/>
              </w:rPr>
              <w:lastRenderedPageBreak/>
              <w:t>C.22.</w:t>
            </w:r>
          </w:p>
        </w:tc>
        <w:tc>
          <w:tcPr>
            <w:tcW w:w="8045" w:type="dxa"/>
            <w:shd w:val="clear" w:color="auto" w:fill="auto"/>
          </w:tcPr>
          <w:p w14:paraId="0DA11175" w14:textId="6398959C" w:rsidR="00F37677" w:rsidRPr="00A81984" w:rsidRDefault="00835C51" w:rsidP="0086503C">
            <w:pPr>
              <w:pStyle w:val="Tekstpodstawowy"/>
              <w:spacing w:before="91" w:line="254" w:lineRule="auto"/>
              <w:ind w:hanging="7"/>
              <w:rPr>
                <w:color w:val="000000" w:themeColor="text1"/>
                <w:w w:val="105"/>
              </w:rPr>
            </w:pPr>
            <w:r w:rsidRPr="00835C51">
              <w:rPr>
                <w:color w:val="000000" w:themeColor="text1"/>
                <w:w w:val="105"/>
                <w:szCs w:val="24"/>
              </w:rPr>
              <w:t xml:space="preserve">W przypadku, gdy układ pomiarowo-rozliczeniowy w PPE Prosumenta zbiorowego lub Prosumenta wirtualnego nie umożliwia ustalenia godzinowej ilości pobranej energii elektrycznej, to </w:t>
            </w:r>
            <w:r>
              <w:rPr>
                <w:color w:val="000000" w:themeColor="text1"/>
                <w:w w:val="105"/>
                <w:szCs w:val="24"/>
                <w:lang w:val="pl-PL"/>
              </w:rPr>
              <w:t>OSDn</w:t>
            </w:r>
            <w:r w:rsidRPr="00835C51">
              <w:rPr>
                <w:color w:val="000000" w:themeColor="text1"/>
                <w:w w:val="105"/>
                <w:szCs w:val="24"/>
              </w:rPr>
              <w:t xml:space="preserve"> ustala godzinowy pobór</w:t>
            </w:r>
            <w:r w:rsidRPr="00835C51">
              <w:rPr>
                <w:color w:val="000000" w:themeColor="text1"/>
                <w:spacing w:val="25"/>
                <w:w w:val="105"/>
                <w:szCs w:val="24"/>
              </w:rPr>
              <w:t xml:space="preserve"> </w:t>
            </w:r>
            <w:r w:rsidRPr="00835C51">
              <w:rPr>
                <w:color w:val="000000" w:themeColor="text1"/>
                <w:w w:val="105"/>
                <w:szCs w:val="24"/>
              </w:rPr>
              <w:t>energii elektrycznej  z  uwzględnieniem  standardowego   profilu   zużycia,   o   którym   mowa w rozdziale</w:t>
            </w:r>
            <w:r w:rsidRPr="00835C51">
              <w:rPr>
                <w:color w:val="000000" w:themeColor="text1"/>
                <w:spacing w:val="11"/>
                <w:w w:val="105"/>
                <w:szCs w:val="24"/>
              </w:rPr>
              <w:t xml:space="preserve"> </w:t>
            </w:r>
            <w:r w:rsidR="00CD6F5E">
              <w:rPr>
                <w:color w:val="000000" w:themeColor="text1"/>
                <w:w w:val="105"/>
                <w:szCs w:val="24"/>
                <w:lang w:val="pl-PL"/>
              </w:rPr>
              <w:t>F</w:t>
            </w:r>
            <w:r w:rsidRPr="00835C51">
              <w:rPr>
                <w:color w:val="000000" w:themeColor="text1"/>
                <w:w w:val="105"/>
                <w:szCs w:val="24"/>
              </w:rPr>
              <w:t>.</w:t>
            </w:r>
          </w:p>
        </w:tc>
      </w:tr>
      <w:tr w:rsidR="003209E9" w:rsidRPr="00F33072" w14:paraId="0A263BEC" w14:textId="77777777" w:rsidTr="00F37677">
        <w:trPr>
          <w:trHeight w:val="1334"/>
        </w:trPr>
        <w:tc>
          <w:tcPr>
            <w:tcW w:w="1135" w:type="dxa"/>
          </w:tcPr>
          <w:p w14:paraId="225DC72E" w14:textId="5BA708E8" w:rsidR="003209E9" w:rsidRDefault="003209E9" w:rsidP="00C07EB1">
            <w:pPr>
              <w:rPr>
                <w:color w:val="000000" w:themeColor="text1"/>
              </w:rPr>
            </w:pPr>
            <w:r>
              <w:rPr>
                <w:color w:val="000000" w:themeColor="text1"/>
              </w:rPr>
              <w:t>C.23.</w:t>
            </w:r>
          </w:p>
        </w:tc>
        <w:tc>
          <w:tcPr>
            <w:tcW w:w="8045" w:type="dxa"/>
            <w:shd w:val="clear" w:color="auto" w:fill="auto"/>
          </w:tcPr>
          <w:p w14:paraId="02AEE224" w14:textId="5B4C0650" w:rsidR="003209E9" w:rsidRPr="0086503C" w:rsidRDefault="0086503C" w:rsidP="0086503C">
            <w:pPr>
              <w:pStyle w:val="Tekstpodstawowy"/>
              <w:spacing w:before="0" w:line="254" w:lineRule="auto"/>
              <w:ind w:hanging="7"/>
              <w:rPr>
                <w:color w:val="000000" w:themeColor="text1"/>
                <w:w w:val="105"/>
                <w:szCs w:val="24"/>
                <w:lang w:val="pl-PL"/>
              </w:rPr>
            </w:pPr>
            <w:r w:rsidRPr="0086503C">
              <w:rPr>
                <w:color w:val="000000" w:themeColor="text1"/>
                <w:w w:val="105"/>
                <w:szCs w:val="24"/>
              </w:rPr>
              <w:t xml:space="preserve">Na potrzeby rozliczeń pomiędzy sprzedawcą a spółdzielnią energetyczną lub jej członkami, </w:t>
            </w:r>
            <w:r>
              <w:rPr>
                <w:color w:val="000000" w:themeColor="text1"/>
                <w:w w:val="105"/>
                <w:szCs w:val="24"/>
                <w:lang w:val="pl-PL"/>
              </w:rPr>
              <w:t xml:space="preserve">OSDn </w:t>
            </w:r>
            <w:r w:rsidRPr="0086503C">
              <w:rPr>
                <w:color w:val="000000" w:themeColor="text1"/>
                <w:w w:val="105"/>
                <w:szCs w:val="24"/>
              </w:rPr>
              <w:t xml:space="preserve">udostępnia sprzedawcy dane pomiarowe obejmujące godzinowe ilości energii elektrycznej wprowadzonej do sieci dystrybucyjnej </w:t>
            </w:r>
            <w:r>
              <w:rPr>
                <w:color w:val="000000" w:themeColor="text1"/>
                <w:w w:val="105"/>
                <w:szCs w:val="24"/>
                <w:lang w:val="pl-PL"/>
              </w:rPr>
              <w:t>OSDn</w:t>
            </w:r>
            <w:r w:rsidRPr="0086503C">
              <w:rPr>
                <w:color w:val="000000" w:themeColor="text1"/>
                <w:w w:val="105"/>
                <w:szCs w:val="24"/>
              </w:rPr>
              <w:t xml:space="preserve"> i z tej sieci pobranej, przez wszystkich wytwórców i odbiorców będących członkami  spółdzielni   energetycznej   przed   i   po   sumarycznym   jej   bilansowaniu  z wszystkich faz, wyznaczone w systemie informatyczn</w:t>
            </w:r>
            <w:r>
              <w:rPr>
                <w:color w:val="000000" w:themeColor="text1"/>
                <w:w w:val="105"/>
                <w:szCs w:val="24"/>
                <w:lang w:val="pl-PL"/>
              </w:rPr>
              <w:t>ym OSDn.</w:t>
            </w:r>
          </w:p>
        </w:tc>
      </w:tr>
      <w:tr w:rsidR="00D75509" w:rsidRPr="00F33072" w14:paraId="7A00FBDE" w14:textId="77777777" w:rsidTr="00F37677">
        <w:trPr>
          <w:trHeight w:val="1334"/>
        </w:trPr>
        <w:tc>
          <w:tcPr>
            <w:tcW w:w="1135" w:type="dxa"/>
          </w:tcPr>
          <w:p w14:paraId="719DA661" w14:textId="3DC09CAE" w:rsidR="00D75509" w:rsidRDefault="00D75509" w:rsidP="00C07EB1">
            <w:pPr>
              <w:rPr>
                <w:color w:val="000000" w:themeColor="text1"/>
              </w:rPr>
            </w:pPr>
            <w:r>
              <w:rPr>
                <w:color w:val="000000" w:themeColor="text1"/>
              </w:rPr>
              <w:t>C.24.</w:t>
            </w:r>
          </w:p>
        </w:tc>
        <w:tc>
          <w:tcPr>
            <w:tcW w:w="8045" w:type="dxa"/>
            <w:shd w:val="clear" w:color="auto" w:fill="auto"/>
          </w:tcPr>
          <w:p w14:paraId="0F409A3A" w14:textId="06BE366D" w:rsidR="00D75509" w:rsidRPr="00D75509" w:rsidRDefault="00D75509" w:rsidP="00D75509">
            <w:pPr>
              <w:pStyle w:val="Akapitzlist"/>
              <w:widowControl w:val="0"/>
              <w:tabs>
                <w:tab w:val="left" w:pos="1325"/>
              </w:tabs>
              <w:autoSpaceDE w:val="0"/>
              <w:autoSpaceDN w:val="0"/>
              <w:spacing w:line="252" w:lineRule="auto"/>
              <w:ind w:left="0"/>
              <w:jc w:val="both"/>
              <w:rPr>
                <w:color w:val="000000" w:themeColor="text1"/>
                <w:szCs w:val="24"/>
              </w:rPr>
            </w:pPr>
            <w:r w:rsidRPr="00D75509">
              <w:rPr>
                <w:color w:val="000000" w:themeColor="text1"/>
                <w:w w:val="105"/>
                <w:szCs w:val="24"/>
              </w:rPr>
              <w:t>Dane</w:t>
            </w:r>
            <w:r w:rsidRPr="00D75509">
              <w:rPr>
                <w:color w:val="000000" w:themeColor="text1"/>
                <w:spacing w:val="-15"/>
                <w:w w:val="105"/>
                <w:szCs w:val="24"/>
              </w:rPr>
              <w:t xml:space="preserve"> </w:t>
            </w:r>
            <w:r w:rsidRPr="00D75509">
              <w:rPr>
                <w:color w:val="000000" w:themeColor="text1"/>
                <w:w w:val="105"/>
                <w:szCs w:val="24"/>
              </w:rPr>
              <w:t>pomiarowe,</w:t>
            </w:r>
            <w:r w:rsidRPr="00D75509">
              <w:rPr>
                <w:color w:val="000000" w:themeColor="text1"/>
                <w:spacing w:val="-8"/>
                <w:w w:val="105"/>
                <w:szCs w:val="24"/>
              </w:rPr>
              <w:t xml:space="preserve"> </w:t>
            </w:r>
            <w:r w:rsidRPr="00D75509">
              <w:rPr>
                <w:color w:val="000000" w:themeColor="text1"/>
                <w:w w:val="105"/>
                <w:szCs w:val="24"/>
              </w:rPr>
              <w:t>o</w:t>
            </w:r>
            <w:r w:rsidRPr="00D75509">
              <w:rPr>
                <w:color w:val="000000" w:themeColor="text1"/>
                <w:spacing w:val="-10"/>
                <w:w w:val="105"/>
                <w:szCs w:val="24"/>
              </w:rPr>
              <w:t xml:space="preserve"> </w:t>
            </w:r>
            <w:r w:rsidRPr="00D75509">
              <w:rPr>
                <w:color w:val="000000" w:themeColor="text1"/>
                <w:w w:val="105"/>
                <w:szCs w:val="24"/>
              </w:rPr>
              <w:t>których</w:t>
            </w:r>
            <w:r w:rsidRPr="00D75509">
              <w:rPr>
                <w:color w:val="000000" w:themeColor="text1"/>
                <w:spacing w:val="-3"/>
                <w:w w:val="105"/>
                <w:szCs w:val="24"/>
              </w:rPr>
              <w:t xml:space="preserve"> </w:t>
            </w:r>
            <w:r w:rsidRPr="00D75509">
              <w:rPr>
                <w:color w:val="000000" w:themeColor="text1"/>
                <w:w w:val="105"/>
                <w:szCs w:val="24"/>
              </w:rPr>
              <w:t>mowa</w:t>
            </w:r>
            <w:r w:rsidRPr="00D75509">
              <w:rPr>
                <w:color w:val="000000" w:themeColor="text1"/>
                <w:spacing w:val="-5"/>
                <w:w w:val="105"/>
                <w:szCs w:val="24"/>
              </w:rPr>
              <w:t xml:space="preserve"> </w:t>
            </w:r>
            <w:r w:rsidRPr="00D75509">
              <w:rPr>
                <w:color w:val="000000" w:themeColor="text1"/>
                <w:w w:val="105"/>
                <w:szCs w:val="24"/>
              </w:rPr>
              <w:t>w</w:t>
            </w:r>
            <w:r w:rsidRPr="00D75509">
              <w:rPr>
                <w:color w:val="000000" w:themeColor="text1"/>
                <w:spacing w:val="-15"/>
                <w:w w:val="105"/>
                <w:szCs w:val="24"/>
              </w:rPr>
              <w:t xml:space="preserve"> </w:t>
            </w:r>
            <w:r w:rsidRPr="00D75509">
              <w:rPr>
                <w:color w:val="000000" w:themeColor="text1"/>
                <w:w w:val="105"/>
                <w:szCs w:val="24"/>
              </w:rPr>
              <w:t>pkt</w:t>
            </w:r>
            <w:r w:rsidRPr="00D75509">
              <w:rPr>
                <w:color w:val="000000" w:themeColor="text1"/>
                <w:spacing w:val="-13"/>
                <w:w w:val="105"/>
                <w:szCs w:val="24"/>
              </w:rPr>
              <w:t xml:space="preserve"> </w:t>
            </w:r>
            <w:r w:rsidRPr="00D75509">
              <w:rPr>
                <w:color w:val="000000" w:themeColor="text1"/>
                <w:w w:val="105"/>
                <w:szCs w:val="24"/>
              </w:rPr>
              <w:t>C.23.,</w:t>
            </w:r>
            <w:r w:rsidRPr="00D75509">
              <w:rPr>
                <w:color w:val="000000" w:themeColor="text1"/>
                <w:spacing w:val="-7"/>
                <w:w w:val="105"/>
                <w:szCs w:val="24"/>
              </w:rPr>
              <w:t xml:space="preserve"> </w:t>
            </w:r>
            <w:r w:rsidRPr="00D75509">
              <w:rPr>
                <w:color w:val="000000" w:themeColor="text1"/>
                <w:w w:val="105"/>
                <w:szCs w:val="24"/>
              </w:rPr>
              <w:t>są</w:t>
            </w:r>
            <w:r w:rsidRPr="00D75509">
              <w:rPr>
                <w:color w:val="000000" w:themeColor="text1"/>
                <w:spacing w:val="-18"/>
                <w:w w:val="105"/>
                <w:szCs w:val="24"/>
              </w:rPr>
              <w:t xml:space="preserve"> </w:t>
            </w:r>
            <w:r w:rsidRPr="00D75509">
              <w:rPr>
                <w:color w:val="000000" w:themeColor="text1"/>
                <w:w w:val="105"/>
                <w:szCs w:val="24"/>
              </w:rPr>
              <w:t>rejestrowane</w:t>
            </w:r>
            <w:r w:rsidRPr="00D75509">
              <w:rPr>
                <w:color w:val="000000" w:themeColor="text1"/>
                <w:spacing w:val="5"/>
                <w:w w:val="105"/>
                <w:szCs w:val="24"/>
              </w:rPr>
              <w:t xml:space="preserve"> </w:t>
            </w:r>
            <w:r w:rsidRPr="00D75509">
              <w:rPr>
                <w:color w:val="000000" w:themeColor="text1"/>
                <w:w w:val="105"/>
                <w:szCs w:val="24"/>
              </w:rPr>
              <w:t>przez</w:t>
            </w:r>
            <w:r w:rsidRPr="00D75509">
              <w:rPr>
                <w:color w:val="000000" w:themeColor="text1"/>
                <w:spacing w:val="-9"/>
                <w:w w:val="105"/>
                <w:szCs w:val="24"/>
              </w:rPr>
              <w:t xml:space="preserve"> </w:t>
            </w:r>
            <w:r w:rsidRPr="00D75509">
              <w:rPr>
                <w:color w:val="000000" w:themeColor="text1"/>
                <w:w w:val="105"/>
                <w:szCs w:val="24"/>
              </w:rPr>
              <w:t>LZO.</w:t>
            </w:r>
            <w:r w:rsidRPr="00D75509">
              <w:rPr>
                <w:color w:val="000000" w:themeColor="text1"/>
                <w:spacing w:val="-10"/>
                <w:w w:val="105"/>
                <w:szCs w:val="24"/>
              </w:rPr>
              <w:t xml:space="preserve"> </w:t>
            </w:r>
            <w:r w:rsidRPr="00D75509">
              <w:rPr>
                <w:color w:val="000000" w:themeColor="text1"/>
                <w:w w:val="105"/>
                <w:szCs w:val="24"/>
              </w:rPr>
              <w:t>LZO rejestrują odrębnie ilość energii elektrycznej poszczególnych wytwórców lub odbiorców będących członkami spółdzielni</w:t>
            </w:r>
            <w:r w:rsidRPr="00D75509">
              <w:rPr>
                <w:color w:val="000000" w:themeColor="text1"/>
                <w:spacing w:val="44"/>
                <w:w w:val="105"/>
                <w:szCs w:val="24"/>
              </w:rPr>
              <w:t xml:space="preserve"> </w:t>
            </w:r>
            <w:r w:rsidRPr="00D75509">
              <w:rPr>
                <w:color w:val="000000" w:themeColor="text1"/>
                <w:w w:val="105"/>
                <w:szCs w:val="24"/>
              </w:rPr>
              <w:t>energetycznej:</w:t>
            </w:r>
          </w:p>
          <w:p w14:paraId="3C694BE8" w14:textId="54EBD98C" w:rsidR="00D75509" w:rsidRPr="00890E12" w:rsidRDefault="00D75509">
            <w:pPr>
              <w:pStyle w:val="Akapitzlist"/>
              <w:widowControl w:val="0"/>
              <w:numPr>
                <w:ilvl w:val="0"/>
                <w:numId w:val="353"/>
              </w:numPr>
              <w:autoSpaceDE w:val="0"/>
              <w:autoSpaceDN w:val="0"/>
              <w:spacing w:before="111" w:line="254" w:lineRule="auto"/>
              <w:ind w:hanging="308"/>
              <w:jc w:val="both"/>
              <w:rPr>
                <w:color w:val="000000" w:themeColor="text1"/>
                <w:szCs w:val="24"/>
              </w:rPr>
            </w:pPr>
            <w:r w:rsidRPr="00890E12">
              <w:rPr>
                <w:color w:val="000000" w:themeColor="text1"/>
                <w:w w:val="105"/>
                <w:szCs w:val="24"/>
              </w:rPr>
              <w:t xml:space="preserve">wprowadzonej do sieci dystrybucyjnej </w:t>
            </w:r>
            <w:r w:rsidR="00890E12">
              <w:rPr>
                <w:color w:val="000000" w:themeColor="text1"/>
                <w:w w:val="105"/>
                <w:szCs w:val="24"/>
              </w:rPr>
              <w:t>OSDn</w:t>
            </w:r>
            <w:r w:rsidRPr="00890E12">
              <w:rPr>
                <w:color w:val="000000" w:themeColor="text1"/>
                <w:w w:val="105"/>
                <w:szCs w:val="24"/>
              </w:rPr>
              <w:t xml:space="preserve"> - stanowiącej sumę energii elektrycznej wprowadzonej do tej sieci z wszystkich</w:t>
            </w:r>
            <w:r w:rsidRPr="00890E12">
              <w:rPr>
                <w:color w:val="000000" w:themeColor="text1"/>
                <w:spacing w:val="1"/>
                <w:w w:val="105"/>
                <w:szCs w:val="24"/>
              </w:rPr>
              <w:t xml:space="preserve"> </w:t>
            </w:r>
            <w:r w:rsidRPr="00890E12">
              <w:rPr>
                <w:color w:val="000000" w:themeColor="text1"/>
                <w:w w:val="105"/>
                <w:szCs w:val="24"/>
              </w:rPr>
              <w:t>faz;</w:t>
            </w:r>
          </w:p>
          <w:p w14:paraId="2E91DCE6" w14:textId="2950A776" w:rsidR="00D75509" w:rsidRPr="00890E12" w:rsidRDefault="00D75509">
            <w:pPr>
              <w:pStyle w:val="Akapitzlist"/>
              <w:widowControl w:val="0"/>
              <w:numPr>
                <w:ilvl w:val="0"/>
                <w:numId w:val="353"/>
              </w:numPr>
              <w:autoSpaceDE w:val="0"/>
              <w:autoSpaceDN w:val="0"/>
              <w:spacing w:before="113" w:line="249" w:lineRule="auto"/>
              <w:ind w:hanging="308"/>
              <w:jc w:val="both"/>
              <w:rPr>
                <w:color w:val="000000" w:themeColor="text1"/>
                <w:szCs w:val="24"/>
              </w:rPr>
            </w:pPr>
            <w:r w:rsidRPr="00890E12">
              <w:rPr>
                <w:color w:val="000000" w:themeColor="text1"/>
                <w:w w:val="105"/>
                <w:szCs w:val="24"/>
              </w:rPr>
              <w:t xml:space="preserve">pobranej z sieci dystrybucyjnej </w:t>
            </w:r>
            <w:r w:rsidR="00890E12">
              <w:rPr>
                <w:color w:val="000000" w:themeColor="text1"/>
                <w:w w:val="105"/>
                <w:szCs w:val="24"/>
              </w:rPr>
              <w:t>OSDn</w:t>
            </w:r>
            <w:r w:rsidRPr="00890E12">
              <w:rPr>
                <w:color w:val="000000" w:themeColor="text1"/>
                <w:w w:val="105"/>
                <w:szCs w:val="24"/>
              </w:rPr>
              <w:t xml:space="preserve"> - stanowiącej sumę energii elektrycznej pobranej z tej sieci z wszystkich faz.</w:t>
            </w:r>
          </w:p>
          <w:p w14:paraId="4804C4DC" w14:textId="77777777" w:rsidR="00D75509" w:rsidRPr="00D75509" w:rsidRDefault="00D75509" w:rsidP="00D75509">
            <w:pPr>
              <w:pStyle w:val="Tekstpodstawowy"/>
              <w:spacing w:before="0" w:line="254" w:lineRule="auto"/>
              <w:ind w:hanging="7"/>
              <w:rPr>
                <w:color w:val="000000" w:themeColor="text1"/>
                <w:w w:val="105"/>
                <w:szCs w:val="24"/>
              </w:rPr>
            </w:pPr>
          </w:p>
        </w:tc>
      </w:tr>
    </w:tbl>
    <w:p w14:paraId="799C4A80" w14:textId="77777777" w:rsidR="00572BA3" w:rsidRDefault="001935C4" w:rsidP="00830573">
      <w:pPr>
        <w:pStyle w:val="Nagwek1"/>
        <w:ind w:left="426" w:hanging="426"/>
        <w:jc w:val="both"/>
      </w:pPr>
      <w:bookmarkStart w:id="114" w:name="_Toc141963920"/>
      <w:r>
        <w:t xml:space="preserve">D. </w:t>
      </w:r>
      <w:r w:rsidR="00572BA3">
        <w:t>PROCEDURA ZMIANY SPRZEDAWCY ORAZ ZASADY</w:t>
      </w:r>
      <w:r w:rsidR="00830573">
        <w:t xml:space="preserve"> UDZIELANIA INFORMACJI I OBSŁUGI ODBIORCÓW</w:t>
      </w:r>
      <w:bookmarkEnd w:id="114"/>
    </w:p>
    <w:p w14:paraId="7BE31978" w14:textId="77777777" w:rsidR="006B710E" w:rsidRPr="006B710E" w:rsidRDefault="006B710E" w:rsidP="00830573">
      <w:pPr>
        <w:pStyle w:val="Nagwek2"/>
        <w:ind w:left="703" w:hanging="845"/>
        <w:rPr>
          <w:szCs w:val="24"/>
        </w:rPr>
      </w:pPr>
      <w:bookmarkStart w:id="115" w:name="_Toc532193594"/>
      <w:bookmarkStart w:id="116" w:name="_Toc141963921"/>
      <w:r w:rsidRPr="006B710E">
        <w:rPr>
          <w:szCs w:val="24"/>
        </w:rPr>
        <w:t>D.1.</w:t>
      </w:r>
      <w:r w:rsidRPr="006B710E">
        <w:rPr>
          <w:szCs w:val="24"/>
        </w:rPr>
        <w:tab/>
      </w:r>
      <w:r w:rsidRPr="006B710E">
        <w:rPr>
          <w:szCs w:val="24"/>
        </w:rPr>
        <w:tab/>
        <w:t>WYMAGANIA OGÓLNE</w:t>
      </w:r>
      <w:bookmarkEnd w:id="115"/>
      <w:bookmarkEnd w:id="116"/>
    </w:p>
    <w:tbl>
      <w:tblPr>
        <w:tblW w:w="9211" w:type="dxa"/>
        <w:tblInd w:w="-108" w:type="dxa"/>
        <w:tblCellMar>
          <w:left w:w="0" w:type="dxa"/>
          <w:right w:w="0" w:type="dxa"/>
        </w:tblCellMar>
        <w:tblLook w:val="01E0" w:firstRow="1" w:lastRow="1" w:firstColumn="1" w:lastColumn="1" w:noHBand="0" w:noVBand="0"/>
      </w:tblPr>
      <w:tblGrid>
        <w:gridCol w:w="1010"/>
        <w:gridCol w:w="8201"/>
      </w:tblGrid>
      <w:tr w:rsidR="006B710E" w:rsidRPr="00F33072" w14:paraId="09A01D0A" w14:textId="77777777" w:rsidTr="00357BB6">
        <w:tc>
          <w:tcPr>
            <w:tcW w:w="1010" w:type="dxa"/>
            <w:shd w:val="clear" w:color="auto" w:fill="auto"/>
          </w:tcPr>
          <w:p w14:paraId="52550302" w14:textId="77777777" w:rsidR="006B710E" w:rsidRPr="00F33072" w:rsidRDefault="006B710E">
            <w:pPr>
              <w:pStyle w:val="styl0"/>
              <w:numPr>
                <w:ilvl w:val="0"/>
                <w:numId w:val="179"/>
              </w:numPr>
              <w:ind w:hanging="720"/>
            </w:pPr>
          </w:p>
        </w:tc>
        <w:tc>
          <w:tcPr>
            <w:tcW w:w="8201" w:type="dxa"/>
            <w:shd w:val="clear" w:color="auto" w:fill="auto"/>
          </w:tcPr>
          <w:p w14:paraId="22614BA7" w14:textId="77777777" w:rsidR="006B710E" w:rsidRPr="001C2133" w:rsidRDefault="006B710E" w:rsidP="00C07EB1">
            <w:pPr>
              <w:pStyle w:val="Default"/>
              <w:jc w:val="both"/>
              <w:rPr>
                <w:color w:val="auto"/>
              </w:rPr>
            </w:pPr>
            <w:r w:rsidRPr="001C2133">
              <w:rPr>
                <w:color w:val="auto"/>
              </w:rPr>
              <w:t xml:space="preserve">Procedura zmiany sprzedawcy energii elektrycznej oraz powiadomienia </w:t>
            </w:r>
            <w:r w:rsidRPr="001C2133">
              <w:rPr>
                <w:color w:val="auto"/>
              </w:rPr>
              <w:br/>
              <w:t xml:space="preserve">o zawartych umowach sprzedaży energii elektrycznej </w:t>
            </w:r>
            <w:r>
              <w:rPr>
                <w:color w:val="auto"/>
              </w:rPr>
              <w:t xml:space="preserve">lub umowach kompleksowych </w:t>
            </w:r>
            <w:r w:rsidRPr="001C2133">
              <w:rPr>
                <w:color w:val="auto"/>
              </w:rPr>
              <w:t xml:space="preserve">zawarta w niniejszym rozdziale, dotyczy URDo przyłączonych do sieci dystrybucyjnej OSDn, nie objętych obszarem Rynku Bilansującego. </w:t>
            </w:r>
          </w:p>
        </w:tc>
      </w:tr>
      <w:tr w:rsidR="006B710E" w:rsidRPr="00F33072" w14:paraId="6F3F92BA" w14:textId="77777777" w:rsidTr="00357BB6">
        <w:tc>
          <w:tcPr>
            <w:tcW w:w="1010" w:type="dxa"/>
            <w:shd w:val="clear" w:color="auto" w:fill="auto"/>
          </w:tcPr>
          <w:p w14:paraId="5E86B42A" w14:textId="77777777" w:rsidR="006B710E" w:rsidRPr="00F33072" w:rsidRDefault="006B710E">
            <w:pPr>
              <w:pStyle w:val="styl0"/>
              <w:numPr>
                <w:ilvl w:val="0"/>
                <w:numId w:val="179"/>
              </w:numPr>
              <w:ind w:hanging="720"/>
            </w:pPr>
          </w:p>
        </w:tc>
        <w:tc>
          <w:tcPr>
            <w:tcW w:w="8201" w:type="dxa"/>
            <w:shd w:val="clear" w:color="auto" w:fill="auto"/>
          </w:tcPr>
          <w:p w14:paraId="70BA9D8D" w14:textId="77777777" w:rsidR="006B710E" w:rsidRPr="001C2133" w:rsidRDefault="006B710E" w:rsidP="00C07EB1">
            <w:pPr>
              <w:pStyle w:val="Default"/>
              <w:jc w:val="both"/>
              <w:rPr>
                <w:color w:val="auto"/>
              </w:rPr>
            </w:pPr>
            <w:r w:rsidRPr="001C2133">
              <w:rPr>
                <w:color w:val="auto"/>
              </w:rPr>
              <w:t xml:space="preserve">Podstawą realizacji sprzedaży energii elektrycznej na obszarze działania OSDn, są Generalne Umowy Dystrybucji GUD oraz GUD-K, zawarte przez sprzedawcę </w:t>
            </w:r>
            <w:r w:rsidRPr="001C2133">
              <w:rPr>
                <w:color w:val="auto"/>
              </w:rPr>
              <w:br/>
              <w:t>z OSDn.</w:t>
            </w:r>
          </w:p>
          <w:p w14:paraId="423B1273" w14:textId="77777777" w:rsidR="006B710E" w:rsidRPr="001C2133" w:rsidRDefault="006B710E" w:rsidP="00C07EB1">
            <w:pPr>
              <w:pStyle w:val="Default"/>
              <w:jc w:val="both"/>
              <w:rPr>
                <w:color w:val="auto"/>
              </w:rPr>
            </w:pPr>
            <w:r w:rsidRPr="001C2133">
              <w:rPr>
                <w:color w:val="auto"/>
              </w:rPr>
              <w:t>Proces zmiany sprzedawcy, o którym mowa w pkt</w:t>
            </w:r>
            <w:r>
              <w:rPr>
                <w:color w:val="auto"/>
              </w:rPr>
              <w:t>.</w:t>
            </w:r>
            <w:r w:rsidRPr="001C2133">
              <w:rPr>
                <w:color w:val="auto"/>
              </w:rPr>
              <w:t xml:space="preserve"> </w:t>
            </w:r>
            <w:r w:rsidR="00CD1E8A">
              <w:rPr>
                <w:color w:val="auto"/>
              </w:rPr>
              <w:t>D</w:t>
            </w:r>
            <w:r w:rsidRPr="001C2133">
              <w:rPr>
                <w:color w:val="auto"/>
              </w:rPr>
              <w:t xml:space="preserve">.3., rozpoczyna się od dnia otrzymania przez OSDn od sprzedawcy powiadomienia, o którym mowa </w:t>
            </w:r>
            <w:r>
              <w:rPr>
                <w:color w:val="auto"/>
              </w:rPr>
              <w:br/>
            </w:r>
            <w:r w:rsidRPr="001C2133">
              <w:rPr>
                <w:color w:val="auto"/>
              </w:rPr>
              <w:t>w pkt</w:t>
            </w:r>
            <w:r>
              <w:rPr>
                <w:color w:val="auto"/>
              </w:rPr>
              <w:t>.</w:t>
            </w:r>
            <w:r w:rsidRPr="001C2133">
              <w:rPr>
                <w:color w:val="auto"/>
              </w:rPr>
              <w:t xml:space="preserve"> </w:t>
            </w:r>
            <w:r w:rsidR="00CD1E8A">
              <w:rPr>
                <w:color w:val="auto"/>
              </w:rPr>
              <w:t>D</w:t>
            </w:r>
            <w:r w:rsidRPr="001C2133">
              <w:rPr>
                <w:color w:val="auto"/>
              </w:rPr>
              <w:t>.2.1. i nie powinien przekroczyć 21 dni kalendarzowych.</w:t>
            </w:r>
          </w:p>
        </w:tc>
      </w:tr>
      <w:tr w:rsidR="006B710E" w:rsidRPr="00F33072" w14:paraId="07BD30E1" w14:textId="77777777" w:rsidTr="00357BB6">
        <w:tc>
          <w:tcPr>
            <w:tcW w:w="1010" w:type="dxa"/>
            <w:shd w:val="clear" w:color="auto" w:fill="auto"/>
          </w:tcPr>
          <w:p w14:paraId="74ECD850" w14:textId="77777777" w:rsidR="006B710E" w:rsidRPr="00F33072" w:rsidRDefault="006B710E">
            <w:pPr>
              <w:pStyle w:val="styl0"/>
              <w:numPr>
                <w:ilvl w:val="0"/>
                <w:numId w:val="179"/>
              </w:numPr>
              <w:ind w:hanging="720"/>
            </w:pPr>
          </w:p>
        </w:tc>
        <w:tc>
          <w:tcPr>
            <w:tcW w:w="8201" w:type="dxa"/>
            <w:shd w:val="clear" w:color="auto" w:fill="auto"/>
          </w:tcPr>
          <w:p w14:paraId="3D3360E3" w14:textId="77777777" w:rsidR="006B710E" w:rsidRPr="001C2133" w:rsidRDefault="006B710E" w:rsidP="00C07EB1">
            <w:pPr>
              <w:pStyle w:val="Default"/>
              <w:jc w:val="both"/>
              <w:rPr>
                <w:color w:val="auto"/>
              </w:rPr>
            </w:pPr>
            <w:r w:rsidRPr="001C2133">
              <w:rPr>
                <w:color w:val="auto"/>
              </w:rPr>
              <w:t>Układy pomiarowo-rozliczeniowe URDo chcących skorzystać z prawa wyboru sprzedawcy, muszą spełniać postanowienia IRiESD na dzień złożenia powiadomienia, o którym mowa w pkt</w:t>
            </w:r>
            <w:r>
              <w:rPr>
                <w:color w:val="auto"/>
              </w:rPr>
              <w:t>.</w:t>
            </w:r>
            <w:r w:rsidRPr="001C2133">
              <w:rPr>
                <w:color w:val="auto"/>
              </w:rPr>
              <w:t xml:space="preserve"> </w:t>
            </w:r>
            <w:r w:rsidR="00CD1E8A">
              <w:rPr>
                <w:color w:val="auto"/>
              </w:rPr>
              <w:t>D.</w:t>
            </w:r>
            <w:r w:rsidRPr="001C2133">
              <w:rPr>
                <w:color w:val="auto"/>
              </w:rPr>
              <w:t>2.1., z uwzględnieniem możliwości uzupełnienia braków formalnych w terminach, o których mowa w pkt</w:t>
            </w:r>
            <w:r>
              <w:rPr>
                <w:color w:val="auto"/>
              </w:rPr>
              <w:t>.</w:t>
            </w:r>
            <w:r w:rsidRPr="001C2133">
              <w:rPr>
                <w:color w:val="auto"/>
              </w:rPr>
              <w:t xml:space="preserve"> </w:t>
            </w:r>
            <w:r w:rsidR="00CD1E8A">
              <w:rPr>
                <w:color w:val="auto"/>
              </w:rPr>
              <w:t>D</w:t>
            </w:r>
            <w:r w:rsidRPr="001C2133">
              <w:rPr>
                <w:color w:val="auto"/>
              </w:rPr>
              <w:t xml:space="preserve">.3.7. </w:t>
            </w:r>
            <w:r>
              <w:rPr>
                <w:color w:val="auto"/>
              </w:rPr>
              <w:br/>
            </w:r>
            <w:r w:rsidRPr="001C2133">
              <w:rPr>
                <w:color w:val="auto"/>
              </w:rPr>
              <w:t>i pkt</w:t>
            </w:r>
            <w:r>
              <w:rPr>
                <w:color w:val="auto"/>
              </w:rPr>
              <w:t>.</w:t>
            </w:r>
            <w:r w:rsidRPr="001C2133">
              <w:rPr>
                <w:color w:val="auto"/>
              </w:rPr>
              <w:t xml:space="preserve"> </w:t>
            </w:r>
            <w:r w:rsidR="00CD1E8A">
              <w:rPr>
                <w:color w:val="auto"/>
              </w:rPr>
              <w:t>D</w:t>
            </w:r>
            <w:r w:rsidRPr="001C2133">
              <w:rPr>
                <w:color w:val="auto"/>
              </w:rPr>
              <w:t xml:space="preserve">.3.8. </w:t>
            </w:r>
          </w:p>
          <w:p w14:paraId="7718A6A0" w14:textId="77777777" w:rsidR="006B710E" w:rsidRPr="001C2133" w:rsidRDefault="006B710E" w:rsidP="00C07EB1">
            <w:pPr>
              <w:pStyle w:val="Default"/>
              <w:jc w:val="both"/>
              <w:rPr>
                <w:color w:val="auto"/>
              </w:rPr>
            </w:pPr>
            <w:r w:rsidRPr="001C2133">
              <w:rPr>
                <w:color w:val="auto"/>
              </w:rPr>
              <w:t>Układy pomiarowo-rozliczeniowe stanowiące własność OSDn dostosowywane są do wymagań wskazanych w IRiESD nie później niż na dzień zmiany sprzedawcy. Dostosowanie układów pomiarowo-rozliczeniowych URDo do wymagań określonych w IRiESD i rozporządzeniu w sprawie szczegółowych warunków funkcjonowania systemu elektroenergetycznego nie dotyczy rozdzielenia umowy kompleksowej.</w:t>
            </w:r>
          </w:p>
        </w:tc>
      </w:tr>
      <w:tr w:rsidR="006B710E" w:rsidRPr="00F33072" w14:paraId="0F5570C9" w14:textId="77777777" w:rsidTr="00357BB6">
        <w:tc>
          <w:tcPr>
            <w:tcW w:w="1010" w:type="dxa"/>
            <w:shd w:val="clear" w:color="auto" w:fill="auto"/>
          </w:tcPr>
          <w:p w14:paraId="0008D8D2" w14:textId="77777777" w:rsidR="006B710E" w:rsidRPr="00F33072" w:rsidRDefault="006B710E">
            <w:pPr>
              <w:pStyle w:val="styl0"/>
              <w:numPr>
                <w:ilvl w:val="0"/>
                <w:numId w:val="179"/>
              </w:numPr>
              <w:ind w:hanging="720"/>
            </w:pPr>
          </w:p>
        </w:tc>
        <w:tc>
          <w:tcPr>
            <w:tcW w:w="8201" w:type="dxa"/>
            <w:shd w:val="clear" w:color="auto" w:fill="auto"/>
          </w:tcPr>
          <w:p w14:paraId="6E72A2CA" w14:textId="77777777" w:rsidR="006B710E" w:rsidRDefault="006B710E" w:rsidP="00C07EB1">
            <w:pPr>
              <w:pStyle w:val="Default"/>
              <w:jc w:val="both"/>
              <w:rPr>
                <w:color w:val="auto"/>
              </w:rPr>
            </w:pPr>
            <w:r w:rsidRPr="001C2133">
              <w:rPr>
                <w:color w:val="auto"/>
              </w:rPr>
              <w:t xml:space="preserve">Przy każdej zmianie przez URDo sprzedawcy lub w przypadku rozdzielenia umowy kompleksowej, dokonywany jest przez OSDn odczyt wskazań układu pomiarowo-rozliczeniowego. Ustalenie wskazań układu pomiarowo-rozliczeniowego na dzień </w:t>
            </w:r>
            <w:r w:rsidRPr="001C2133">
              <w:rPr>
                <w:color w:val="auto"/>
              </w:rPr>
              <w:lastRenderedPageBreak/>
              <w:t xml:space="preserve">zmiany sprzedawcy, dokonywane jest na podstawie odczytu wykonanego maksymalnie z 5 dniowym wyprzedzeniem lub opóźnieniem. </w:t>
            </w:r>
          </w:p>
          <w:p w14:paraId="3EDC098F" w14:textId="77777777" w:rsidR="006B710E" w:rsidRPr="00FA2410" w:rsidRDefault="006B710E" w:rsidP="00C07EB1">
            <w:pPr>
              <w:pStyle w:val="Default"/>
              <w:jc w:val="both"/>
              <w:rPr>
                <w:color w:val="auto"/>
              </w:rPr>
            </w:pPr>
            <w:r w:rsidRPr="00FA2410">
              <w:rPr>
                <w:color w:val="auto"/>
              </w:rPr>
              <w:t xml:space="preserve">Dla URD przyłączonych do sieci </w:t>
            </w:r>
            <w:r>
              <w:rPr>
                <w:color w:val="auto"/>
              </w:rPr>
              <w:t>OSDn</w:t>
            </w:r>
            <w:r w:rsidRPr="00FA2410">
              <w:rPr>
                <w:color w:val="auto"/>
              </w:rPr>
              <w:t xml:space="preserve"> na niskim napięciu, </w:t>
            </w:r>
            <w:r>
              <w:rPr>
                <w:color w:val="auto"/>
              </w:rPr>
              <w:t>OSDn</w:t>
            </w:r>
            <w:r w:rsidRPr="00FA2410">
              <w:rPr>
                <w:color w:val="auto"/>
              </w:rPr>
              <w:t xml:space="preserve"> może ustalić wskazania układu pomiarowo-rozliczeniowego na dzień zmiany sprzedawcy również na podstawie:</w:t>
            </w:r>
          </w:p>
          <w:p w14:paraId="1A6782E6" w14:textId="77777777" w:rsidR="006B710E" w:rsidRPr="00FA2410" w:rsidRDefault="006B710E" w:rsidP="00C07EB1">
            <w:pPr>
              <w:pStyle w:val="Default"/>
              <w:ind w:left="408" w:hanging="408"/>
              <w:jc w:val="both"/>
              <w:rPr>
                <w:color w:val="auto"/>
              </w:rPr>
            </w:pPr>
            <w:r w:rsidRPr="00FA2410">
              <w:rPr>
                <w:color w:val="auto"/>
              </w:rPr>
              <w:t>1)</w:t>
            </w:r>
            <w:r w:rsidRPr="00FA2410">
              <w:rPr>
                <w:color w:val="auto"/>
              </w:rPr>
              <w:tab/>
              <w:t xml:space="preserve">odczytu wskazań układu pomiarowo-rozliczeniowego dokonanego przez URD na dzień zmiany sprzedawcy i przekazanego do </w:t>
            </w:r>
            <w:r>
              <w:rPr>
                <w:color w:val="auto"/>
              </w:rPr>
              <w:t>OSDn</w:t>
            </w:r>
            <w:r w:rsidRPr="00FA2410">
              <w:rPr>
                <w:color w:val="auto"/>
              </w:rPr>
              <w:t xml:space="preserve"> najpóźniej jeden dzień po zmianie sprzedawcy oraz zweryfikowanego i przyjętego przez </w:t>
            </w:r>
            <w:r>
              <w:rPr>
                <w:color w:val="auto"/>
              </w:rPr>
              <w:t>OSDn</w:t>
            </w:r>
            <w:r w:rsidRPr="00FA2410">
              <w:rPr>
                <w:color w:val="auto"/>
              </w:rPr>
              <w:t xml:space="preserve">, </w:t>
            </w:r>
          </w:p>
          <w:p w14:paraId="10158421" w14:textId="77777777" w:rsidR="006B710E" w:rsidRPr="00FA2410" w:rsidRDefault="006B710E" w:rsidP="00C07EB1">
            <w:pPr>
              <w:pStyle w:val="Default"/>
              <w:jc w:val="both"/>
              <w:rPr>
                <w:color w:val="auto"/>
              </w:rPr>
            </w:pPr>
            <w:r w:rsidRPr="00FA2410">
              <w:rPr>
                <w:color w:val="auto"/>
              </w:rPr>
              <w:t>a w przypadku braku możliwości ustalenia wskazań układu pomiarowo-rozliczeniowego w sposób, o którym mowa w pkt. 1</w:t>
            </w:r>
            <w:r>
              <w:rPr>
                <w:color w:val="auto"/>
              </w:rPr>
              <w:t>)</w:t>
            </w:r>
            <w:r w:rsidRPr="00FA2410">
              <w:rPr>
                <w:color w:val="auto"/>
              </w:rPr>
              <w:t>,</w:t>
            </w:r>
          </w:p>
          <w:p w14:paraId="247A9FE9" w14:textId="77777777" w:rsidR="006B710E" w:rsidRPr="001C2133" w:rsidRDefault="006B710E" w:rsidP="00C07EB1">
            <w:pPr>
              <w:pStyle w:val="Default"/>
              <w:ind w:left="408" w:hanging="408"/>
              <w:jc w:val="both"/>
              <w:rPr>
                <w:color w:val="auto"/>
              </w:rPr>
            </w:pPr>
            <w:r w:rsidRPr="00FA2410">
              <w:rPr>
                <w:color w:val="auto"/>
              </w:rPr>
              <w:t>2)</w:t>
            </w:r>
            <w:r w:rsidRPr="00FA2410">
              <w:rPr>
                <w:color w:val="auto"/>
              </w:rPr>
              <w:tab/>
              <w:t xml:space="preserve">ostatniego posiadanego przez </w:t>
            </w:r>
            <w:r>
              <w:rPr>
                <w:color w:val="auto"/>
              </w:rPr>
              <w:t>OSDn</w:t>
            </w:r>
            <w:r w:rsidRPr="00FA2410">
              <w:rPr>
                <w:color w:val="auto"/>
              </w:rPr>
              <w:t xml:space="preserve"> odczytu wskazań układu pomiarowo-rozliczeniowego URD, jednak nie starszego niż 3 miesiące, przeliczonego na dzień zmiany sprzedawcy na podstawie przyznanego profilu lub średniodobowego zużycia energii w ostatnim okresie rozliczeniowym usług dystrybucji za który </w:t>
            </w:r>
            <w:r>
              <w:rPr>
                <w:color w:val="auto"/>
              </w:rPr>
              <w:t>OSDn</w:t>
            </w:r>
            <w:r w:rsidRPr="00FA2410">
              <w:rPr>
                <w:color w:val="auto"/>
              </w:rPr>
              <w:t xml:space="preserve"> posiada odczytane wskazania.</w:t>
            </w:r>
          </w:p>
        </w:tc>
      </w:tr>
      <w:tr w:rsidR="006B710E" w:rsidRPr="00F33072" w14:paraId="0892D396" w14:textId="77777777" w:rsidTr="00357BB6">
        <w:tc>
          <w:tcPr>
            <w:tcW w:w="1010" w:type="dxa"/>
            <w:shd w:val="clear" w:color="auto" w:fill="auto"/>
          </w:tcPr>
          <w:p w14:paraId="5BD478E7" w14:textId="77777777" w:rsidR="006B710E" w:rsidRPr="00F33072" w:rsidRDefault="006B710E">
            <w:pPr>
              <w:pStyle w:val="styl0"/>
              <w:numPr>
                <w:ilvl w:val="0"/>
                <w:numId w:val="179"/>
              </w:numPr>
              <w:ind w:hanging="720"/>
            </w:pPr>
          </w:p>
        </w:tc>
        <w:tc>
          <w:tcPr>
            <w:tcW w:w="8201" w:type="dxa"/>
            <w:shd w:val="clear" w:color="auto" w:fill="auto"/>
          </w:tcPr>
          <w:p w14:paraId="012F245E" w14:textId="77777777" w:rsidR="006B710E" w:rsidRPr="001C2133" w:rsidRDefault="006B710E" w:rsidP="00C07EB1">
            <w:pPr>
              <w:pStyle w:val="Default"/>
              <w:jc w:val="both"/>
              <w:rPr>
                <w:color w:val="auto"/>
              </w:rPr>
            </w:pPr>
            <w:r w:rsidRPr="001C2133">
              <w:rPr>
                <w:color w:val="auto"/>
              </w:rPr>
              <w:t>Zmiana sprzedawcy nie wymaga potwierdzenia rozwiązania umowy sprzedaży energii elektrycznej lub umowy kompleksowej przez dotychczasowego sprzedawcę. Informacja od dotychczasowego sprzedawcy o braku możliwości rozwiązania umowy sprzedaży energii elektrycznej lub umowy kompleksowej nie wstrzymuje procesu zmiany sprzedawcy</w:t>
            </w:r>
            <w:r>
              <w:rPr>
                <w:color w:val="auto"/>
              </w:rPr>
              <w:t>.</w:t>
            </w:r>
            <w:r w:rsidRPr="001C2133">
              <w:rPr>
                <w:color w:val="auto"/>
              </w:rPr>
              <w:t xml:space="preserve"> </w:t>
            </w:r>
          </w:p>
        </w:tc>
      </w:tr>
      <w:tr w:rsidR="006B710E" w:rsidRPr="00F33072" w14:paraId="30D7D0B4" w14:textId="77777777" w:rsidTr="00357BB6">
        <w:tc>
          <w:tcPr>
            <w:tcW w:w="1010" w:type="dxa"/>
            <w:shd w:val="clear" w:color="auto" w:fill="auto"/>
          </w:tcPr>
          <w:p w14:paraId="03CBE622" w14:textId="77777777" w:rsidR="006B710E" w:rsidRPr="00F33072" w:rsidRDefault="006B710E">
            <w:pPr>
              <w:pStyle w:val="styl0"/>
              <w:numPr>
                <w:ilvl w:val="0"/>
                <w:numId w:val="179"/>
              </w:numPr>
              <w:ind w:hanging="720"/>
            </w:pPr>
          </w:p>
        </w:tc>
        <w:tc>
          <w:tcPr>
            <w:tcW w:w="8201" w:type="dxa"/>
            <w:shd w:val="clear" w:color="auto" w:fill="auto"/>
          </w:tcPr>
          <w:p w14:paraId="40484DA7" w14:textId="77777777" w:rsidR="006B710E" w:rsidRPr="00A9049A" w:rsidRDefault="006B710E" w:rsidP="00C07EB1">
            <w:pPr>
              <w:pStyle w:val="Default"/>
              <w:jc w:val="both"/>
              <w:rPr>
                <w:color w:val="auto"/>
              </w:rPr>
            </w:pPr>
            <w:r w:rsidRPr="00D372A9">
              <w:rPr>
                <w:color w:val="auto"/>
              </w:rPr>
              <w:t>W dniu złożenia powia</w:t>
            </w:r>
            <w:r>
              <w:rPr>
                <w:color w:val="auto"/>
              </w:rPr>
              <w:t xml:space="preserve">domienia, o którym mowa w pkt. </w:t>
            </w:r>
            <w:r w:rsidR="00CD1E8A">
              <w:rPr>
                <w:color w:val="auto"/>
              </w:rPr>
              <w:t>D</w:t>
            </w:r>
            <w:r w:rsidRPr="00D372A9">
              <w:rPr>
                <w:color w:val="auto"/>
              </w:rPr>
              <w:t>.2.</w:t>
            </w:r>
            <w:r>
              <w:rPr>
                <w:color w:val="auto"/>
              </w:rPr>
              <w:t>1</w:t>
            </w:r>
            <w:r w:rsidRPr="00D372A9">
              <w:rPr>
                <w:color w:val="auto"/>
              </w:rPr>
              <w:t>.</w:t>
            </w:r>
            <w:r>
              <w:rPr>
                <w:color w:val="auto"/>
              </w:rPr>
              <w:t xml:space="preserve"> </w:t>
            </w:r>
            <w:r w:rsidRPr="00D372A9">
              <w:rPr>
                <w:color w:val="auto"/>
              </w:rPr>
              <w:t xml:space="preserve">URD powinien mieć zawartą umowę o świadczenie usług dystrybucji energii elektrycznej z </w:t>
            </w:r>
            <w:r>
              <w:rPr>
                <w:color w:val="auto"/>
              </w:rPr>
              <w:t>OSDn</w:t>
            </w:r>
            <w:r w:rsidRPr="00D372A9">
              <w:rPr>
                <w:color w:val="auto"/>
              </w:rPr>
              <w:t xml:space="preserve"> albo umowę kompleksową z nowym sprzedawcą</w:t>
            </w:r>
            <w:r>
              <w:rPr>
                <w:color w:val="auto"/>
              </w:rPr>
              <w:t xml:space="preserve"> mającym zawartą Generalną Umowę Dystrybucyjną dla usługi kompleksowej z OSDn</w:t>
            </w:r>
            <w:r w:rsidRPr="00D372A9">
              <w:rPr>
                <w:color w:val="auto"/>
              </w:rPr>
              <w:t>.</w:t>
            </w:r>
          </w:p>
        </w:tc>
      </w:tr>
      <w:tr w:rsidR="006B710E" w:rsidRPr="00F33072" w14:paraId="4FCE065E" w14:textId="77777777" w:rsidTr="00357BB6">
        <w:tc>
          <w:tcPr>
            <w:tcW w:w="1010" w:type="dxa"/>
            <w:shd w:val="clear" w:color="auto" w:fill="auto"/>
          </w:tcPr>
          <w:p w14:paraId="626E610E" w14:textId="77777777" w:rsidR="006B710E" w:rsidRPr="00F33072" w:rsidRDefault="006B710E">
            <w:pPr>
              <w:pStyle w:val="styl0"/>
              <w:numPr>
                <w:ilvl w:val="0"/>
                <w:numId w:val="179"/>
              </w:numPr>
              <w:ind w:hanging="720"/>
            </w:pPr>
          </w:p>
        </w:tc>
        <w:tc>
          <w:tcPr>
            <w:tcW w:w="8201" w:type="dxa"/>
            <w:shd w:val="clear" w:color="auto" w:fill="auto"/>
          </w:tcPr>
          <w:p w14:paraId="3F8E43DB" w14:textId="77777777" w:rsidR="006B710E" w:rsidRPr="00A9049A" w:rsidRDefault="006B710E" w:rsidP="00C07EB1">
            <w:pPr>
              <w:pStyle w:val="Default"/>
              <w:jc w:val="both"/>
              <w:rPr>
                <w:color w:val="auto"/>
              </w:rPr>
            </w:pPr>
            <w:r w:rsidRPr="00A9049A">
              <w:rPr>
                <w:color w:val="auto"/>
              </w:rPr>
              <w:t>URDo może zawrzeć dla jednego PPE dowolną ilość umów sprzedaży energii elektrycznej. W umowie o świadczenie usług dystrybucji URDo wskazuje jednak tylko jednego ze swoich sprzedawców, który dokonuje powiadomienia, o którym mowa w pkt</w:t>
            </w:r>
            <w:r>
              <w:rPr>
                <w:color w:val="auto"/>
              </w:rPr>
              <w:t>.</w:t>
            </w:r>
            <w:r w:rsidRPr="00A9049A">
              <w:rPr>
                <w:color w:val="auto"/>
              </w:rPr>
              <w:t xml:space="preserve"> </w:t>
            </w:r>
            <w:r w:rsidR="00CD1E8A">
              <w:rPr>
                <w:color w:val="auto"/>
              </w:rPr>
              <w:t>D</w:t>
            </w:r>
            <w:r w:rsidRPr="00A9049A">
              <w:rPr>
                <w:color w:val="auto"/>
              </w:rPr>
              <w:t xml:space="preserve">.2.1. Rzeczywista ilość energii w PPE URDo, będzie wykazywana </w:t>
            </w:r>
            <w:r w:rsidR="00CD1E8A">
              <w:rPr>
                <w:color w:val="auto"/>
              </w:rPr>
              <w:br/>
            </w:r>
            <w:r w:rsidRPr="00A9049A">
              <w:rPr>
                <w:color w:val="auto"/>
              </w:rPr>
              <w:t xml:space="preserve">w MB POB wskazanego w Generalnej Umowie Dystrybucji przez tego sprzedawcę. </w:t>
            </w:r>
          </w:p>
        </w:tc>
      </w:tr>
      <w:tr w:rsidR="006B710E" w:rsidRPr="00F33072" w14:paraId="47F19257" w14:textId="77777777" w:rsidTr="00357BB6">
        <w:tc>
          <w:tcPr>
            <w:tcW w:w="1010" w:type="dxa"/>
            <w:shd w:val="clear" w:color="auto" w:fill="auto"/>
          </w:tcPr>
          <w:p w14:paraId="2DD72DE0" w14:textId="77777777" w:rsidR="006B710E" w:rsidRPr="00F33072" w:rsidRDefault="006B710E">
            <w:pPr>
              <w:pStyle w:val="styl0"/>
              <w:numPr>
                <w:ilvl w:val="0"/>
                <w:numId w:val="179"/>
              </w:numPr>
              <w:ind w:hanging="720"/>
            </w:pPr>
          </w:p>
        </w:tc>
        <w:tc>
          <w:tcPr>
            <w:tcW w:w="8201" w:type="dxa"/>
            <w:shd w:val="clear" w:color="auto" w:fill="auto"/>
          </w:tcPr>
          <w:p w14:paraId="3307A92B" w14:textId="77777777" w:rsidR="006B710E" w:rsidRPr="00A9049A" w:rsidRDefault="006B710E" w:rsidP="00C07EB1">
            <w:pPr>
              <w:pStyle w:val="Default"/>
              <w:jc w:val="both"/>
              <w:rPr>
                <w:color w:val="auto"/>
              </w:rPr>
            </w:pPr>
            <w:r w:rsidRPr="00A9049A">
              <w:rPr>
                <w:color w:val="auto"/>
              </w:rPr>
              <w:t xml:space="preserve">URD może mieć w danym okresie dla jednego PPE obowiązującą i realizowaną tylko jedną umowę regulującą zasady świadczenia usług dystrybucji. </w:t>
            </w:r>
          </w:p>
        </w:tc>
      </w:tr>
      <w:tr w:rsidR="006B710E" w:rsidRPr="00F33072" w14:paraId="0BD2A6B3" w14:textId="77777777" w:rsidTr="00357BB6">
        <w:tc>
          <w:tcPr>
            <w:tcW w:w="1010" w:type="dxa"/>
            <w:shd w:val="clear" w:color="auto" w:fill="auto"/>
          </w:tcPr>
          <w:p w14:paraId="1987E488" w14:textId="77777777" w:rsidR="006B710E" w:rsidRPr="00F33072" w:rsidRDefault="006B710E">
            <w:pPr>
              <w:pStyle w:val="styl0"/>
              <w:numPr>
                <w:ilvl w:val="0"/>
                <w:numId w:val="179"/>
              </w:numPr>
              <w:ind w:hanging="720"/>
            </w:pPr>
          </w:p>
        </w:tc>
        <w:tc>
          <w:tcPr>
            <w:tcW w:w="8201" w:type="dxa"/>
            <w:shd w:val="clear" w:color="auto" w:fill="auto"/>
          </w:tcPr>
          <w:p w14:paraId="0D56EF7B" w14:textId="77777777" w:rsidR="006B710E" w:rsidRPr="00A9049A" w:rsidRDefault="006B710E" w:rsidP="00C07EB1">
            <w:pPr>
              <w:pStyle w:val="Default"/>
              <w:jc w:val="both"/>
              <w:rPr>
                <w:color w:val="auto"/>
              </w:rPr>
            </w:pPr>
            <w:r w:rsidRPr="00A9049A">
              <w:rPr>
                <w:color w:val="auto"/>
              </w:rPr>
              <w:t xml:space="preserve">Zmiana sprzedawcy nie może powodować pogorszenia technicznych warunków świadczenia usług dystrybucji. </w:t>
            </w:r>
          </w:p>
          <w:p w14:paraId="5B2DEC64" w14:textId="77777777" w:rsidR="006B710E" w:rsidRPr="00A9049A" w:rsidRDefault="006B710E" w:rsidP="00C07EB1">
            <w:pPr>
              <w:pStyle w:val="Default"/>
              <w:jc w:val="both"/>
              <w:rPr>
                <w:color w:val="auto"/>
              </w:rPr>
            </w:pPr>
          </w:p>
        </w:tc>
      </w:tr>
    </w:tbl>
    <w:p w14:paraId="2B51E9DC" w14:textId="77777777" w:rsidR="006B710E" w:rsidRPr="00145427" w:rsidRDefault="00145427" w:rsidP="0082005B">
      <w:pPr>
        <w:pStyle w:val="Nagwek2"/>
        <w:tabs>
          <w:tab w:val="left" w:pos="709"/>
        </w:tabs>
        <w:spacing w:before="120" w:line="276" w:lineRule="auto"/>
        <w:ind w:left="703" w:hanging="703"/>
        <w:rPr>
          <w:szCs w:val="24"/>
        </w:rPr>
      </w:pPr>
      <w:bookmarkStart w:id="117" w:name="_Toc532193595"/>
      <w:bookmarkStart w:id="118" w:name="_Toc141963922"/>
      <w:r>
        <w:rPr>
          <w:szCs w:val="24"/>
        </w:rPr>
        <w:t>D</w:t>
      </w:r>
      <w:r w:rsidR="006B710E" w:rsidRPr="00145427">
        <w:rPr>
          <w:szCs w:val="24"/>
        </w:rPr>
        <w:t>.2.</w:t>
      </w:r>
      <w:r w:rsidR="006B710E" w:rsidRPr="00145427">
        <w:rPr>
          <w:szCs w:val="24"/>
        </w:rPr>
        <w:tab/>
        <w:t>ZASADY POWIADAMIANIA O ZAWARTYCH UMOWACH SPRZEDAŻY ENERGII ELEKTRYCZNEJ</w:t>
      </w:r>
      <w:bookmarkEnd w:id="117"/>
      <w:bookmarkEnd w:id="118"/>
    </w:p>
    <w:tbl>
      <w:tblPr>
        <w:tblW w:w="9211" w:type="dxa"/>
        <w:tblInd w:w="-108" w:type="dxa"/>
        <w:tblCellMar>
          <w:left w:w="0" w:type="dxa"/>
          <w:right w:w="0" w:type="dxa"/>
        </w:tblCellMar>
        <w:tblLook w:val="01E0" w:firstRow="1" w:lastRow="1" w:firstColumn="1" w:lastColumn="1" w:noHBand="0" w:noVBand="0"/>
      </w:tblPr>
      <w:tblGrid>
        <w:gridCol w:w="1010"/>
        <w:gridCol w:w="8201"/>
      </w:tblGrid>
      <w:tr w:rsidR="006B710E" w:rsidRPr="00715360" w14:paraId="345282AE" w14:textId="77777777" w:rsidTr="00357BB6">
        <w:tc>
          <w:tcPr>
            <w:tcW w:w="1010" w:type="dxa"/>
            <w:shd w:val="clear" w:color="auto" w:fill="auto"/>
          </w:tcPr>
          <w:p w14:paraId="008565AE" w14:textId="77777777" w:rsidR="006B710E" w:rsidRPr="00F33072" w:rsidRDefault="006B710E">
            <w:pPr>
              <w:pStyle w:val="styl0"/>
              <w:numPr>
                <w:ilvl w:val="0"/>
                <w:numId w:val="189"/>
              </w:numPr>
              <w:spacing w:line="276" w:lineRule="auto"/>
              <w:ind w:left="108" w:firstLine="0"/>
            </w:pPr>
          </w:p>
        </w:tc>
        <w:tc>
          <w:tcPr>
            <w:tcW w:w="8201" w:type="dxa"/>
            <w:shd w:val="clear" w:color="auto" w:fill="auto"/>
          </w:tcPr>
          <w:p w14:paraId="4D020FCF" w14:textId="0A1315DD" w:rsidR="006B710E" w:rsidRDefault="0082005B" w:rsidP="0082005B">
            <w:pPr>
              <w:pStyle w:val="Default"/>
              <w:jc w:val="both"/>
            </w:pPr>
            <w:r>
              <w:t>Nowy Sprzedawca energii elektrycznej w imieniu własnym oraz URD powiadamia OSDn o zawarciu umowy sprzedaży energii elektrycznej lub umowy kompleksowej oraz o planowanym terminie rozpoczęcia sprzedaży energii elektrycznej, nie późniejszym niż 90 dni kalendarzowych od dnia złożenia powiadomienia</w:t>
            </w:r>
            <w:r w:rsidR="006B710E" w:rsidRPr="002502B7">
              <w:t>.</w:t>
            </w:r>
          </w:p>
          <w:p w14:paraId="10D9111C" w14:textId="7DABCE57" w:rsidR="001839FC" w:rsidRDefault="001839FC" w:rsidP="0082005B">
            <w:pPr>
              <w:spacing w:before="120"/>
              <w:jc w:val="both"/>
              <w:rPr>
                <w:rFonts w:cs="Times New Roman"/>
                <w:szCs w:val="24"/>
              </w:rPr>
            </w:pPr>
            <w:r w:rsidRPr="001839FC">
              <w:rPr>
                <w:rFonts w:cs="Times New Roman"/>
                <w:szCs w:val="24"/>
              </w:rPr>
              <w:t xml:space="preserve">W przypadku zawarcia umowy sprzedaży lub umowy kompleksowej z konsumentem lub osobą fizyczną, o której mowa w art. </w:t>
            </w:r>
            <w:r w:rsidR="00C255DB">
              <w:rPr>
                <w:rFonts w:cs="Times New Roman"/>
                <w:szCs w:val="24"/>
              </w:rPr>
              <w:t>7a</w:t>
            </w:r>
            <w:r w:rsidRPr="001839FC">
              <w:rPr>
                <w:rFonts w:cs="Times New Roman"/>
                <w:szCs w:val="24"/>
              </w:rPr>
              <w:t xml:space="preserve">a ustawy o prawach konsumenta tj. zawierającą umowę sprzedaży lub umowę kompleksową bezpośrednio związaną z jej działalnością gospodarczą, gdy ta umowa nie posiada dla tej osoby charakteru zawodowego, powiadomienia należy dokonać po bezskutecznym upływie terminu na odstąpienie od umowy przewidzianego w art. 27 ustawy o prawach konsumenta, o ile konsument lub ww. osoba fizyczna, nie złożyli żądania wcześniejszego rozpoczęcia </w:t>
            </w:r>
            <w:r w:rsidRPr="001839FC">
              <w:rPr>
                <w:rFonts w:cs="Times New Roman"/>
                <w:szCs w:val="24"/>
              </w:rPr>
              <w:lastRenderedPageBreak/>
              <w:t>sprzedaży energii elektrycznej lub świadczenia usługi kompleksowej przed upływem terminu 14 dni na odstąpienie od umów.</w:t>
            </w:r>
          </w:p>
          <w:p w14:paraId="7B1373E8" w14:textId="56B84CDE" w:rsidR="00E37A96" w:rsidRPr="002502B7" w:rsidRDefault="00E37A96" w:rsidP="0082005B">
            <w:pPr>
              <w:spacing w:before="120"/>
              <w:jc w:val="both"/>
            </w:pPr>
            <w:r>
              <w:rPr>
                <w:color w:val="000000"/>
              </w:rPr>
              <w:t>Sprzedawca nie może dokonać powiadomienia OSDn o zawarciu umowy sprzedaży energii elektrycznej lub umowy kompleksowej, w przypadku, gdy umowy te zostały zawarte poza lokalem przedsiębiorstwa z URD w gospodarstwie domowym.</w:t>
            </w:r>
          </w:p>
        </w:tc>
      </w:tr>
      <w:tr w:rsidR="006B710E" w:rsidRPr="00715360" w14:paraId="13933A25" w14:textId="77777777" w:rsidTr="00357BB6">
        <w:tc>
          <w:tcPr>
            <w:tcW w:w="1010" w:type="dxa"/>
            <w:shd w:val="clear" w:color="auto" w:fill="auto"/>
          </w:tcPr>
          <w:p w14:paraId="5C6C24F3" w14:textId="77777777" w:rsidR="006B710E" w:rsidRPr="00F33072" w:rsidRDefault="006B710E">
            <w:pPr>
              <w:pStyle w:val="styl0"/>
              <w:numPr>
                <w:ilvl w:val="0"/>
                <w:numId w:val="189"/>
              </w:numPr>
              <w:ind w:left="0" w:firstLine="0"/>
            </w:pPr>
          </w:p>
        </w:tc>
        <w:tc>
          <w:tcPr>
            <w:tcW w:w="8201" w:type="dxa"/>
            <w:shd w:val="clear" w:color="auto" w:fill="auto"/>
          </w:tcPr>
          <w:p w14:paraId="3BD27304" w14:textId="77777777" w:rsidR="006B710E" w:rsidRPr="009B2E3B" w:rsidRDefault="006B710E" w:rsidP="00C07EB1">
            <w:pPr>
              <w:pStyle w:val="Default"/>
              <w:jc w:val="both"/>
            </w:pPr>
            <w:r w:rsidRPr="009B2E3B">
              <w:t xml:space="preserve">Zawartość formularza powiadomienia, o którym mowa w pkt. </w:t>
            </w:r>
            <w:r w:rsidR="00145427" w:rsidRPr="009B2E3B">
              <w:t>D</w:t>
            </w:r>
            <w:r w:rsidRPr="009B2E3B">
              <w:t xml:space="preserve">.2.1. określa </w:t>
            </w:r>
            <w:r w:rsidRPr="009B2E3B">
              <w:rPr>
                <w:b/>
              </w:rPr>
              <w:t xml:space="preserve">Załącznik nr </w:t>
            </w:r>
            <w:r w:rsidR="009B2E3B" w:rsidRPr="009B2E3B">
              <w:rPr>
                <w:b/>
              </w:rPr>
              <w:t>2</w:t>
            </w:r>
            <w:r w:rsidRPr="009B2E3B">
              <w:t xml:space="preserve"> do niniejszej IRiESD. </w:t>
            </w:r>
          </w:p>
        </w:tc>
      </w:tr>
      <w:tr w:rsidR="006B710E" w:rsidRPr="00715360" w14:paraId="34AB3A5E" w14:textId="77777777" w:rsidTr="00357BB6">
        <w:tc>
          <w:tcPr>
            <w:tcW w:w="1010" w:type="dxa"/>
            <w:shd w:val="clear" w:color="auto" w:fill="auto"/>
          </w:tcPr>
          <w:p w14:paraId="122A612E" w14:textId="77777777" w:rsidR="006B710E" w:rsidRPr="00F33072" w:rsidRDefault="006B710E">
            <w:pPr>
              <w:pStyle w:val="styl0"/>
              <w:numPr>
                <w:ilvl w:val="0"/>
                <w:numId w:val="189"/>
              </w:numPr>
              <w:ind w:left="0" w:firstLine="0"/>
            </w:pPr>
          </w:p>
        </w:tc>
        <w:tc>
          <w:tcPr>
            <w:tcW w:w="8201" w:type="dxa"/>
            <w:shd w:val="clear" w:color="auto" w:fill="auto"/>
          </w:tcPr>
          <w:p w14:paraId="7EDEDCFA" w14:textId="77777777" w:rsidR="006B710E" w:rsidRPr="009B2E3B" w:rsidRDefault="006B710E" w:rsidP="00C07EB1">
            <w:pPr>
              <w:pStyle w:val="Default"/>
              <w:jc w:val="both"/>
            </w:pPr>
            <w:r w:rsidRPr="009B2E3B">
              <w:t xml:space="preserve">Powiadomienie o zawartej umowie sprzedaży energii elektrycznej lub umowie kompleksowej winno być dokonane na co najmniej 21-dni kalendarzowych przed planowaną datą rozpoczęcia sprzedaży w ramach nowej umowy sprzedaży energii elektrycznej lub umowy kompleksowej i nie wcześniej niż na 90 dni kalendarzowych przed tą datą. </w:t>
            </w:r>
          </w:p>
          <w:p w14:paraId="46D056A9" w14:textId="77777777" w:rsidR="006B710E" w:rsidRPr="009B2E3B" w:rsidRDefault="006B710E" w:rsidP="00C07EB1">
            <w:pPr>
              <w:pStyle w:val="Default"/>
              <w:jc w:val="both"/>
            </w:pPr>
            <w:r w:rsidRPr="009B2E3B">
              <w:t xml:space="preserve">W przypadku URDo przyłączanych do sieci dystrybucyjnej OSDn lub zmiany URDo dla istniejącego PPE przyłączonego do sieci dystrybucyjnej OSDn, sprzedawca zgłasza je do OSDn za pośrednictwem powiadomienia, o którym mowa w pkt. </w:t>
            </w:r>
            <w:r w:rsidR="00847F2F" w:rsidRPr="009B2E3B">
              <w:t>D</w:t>
            </w:r>
            <w:r w:rsidRPr="009B2E3B">
              <w:t xml:space="preserve">.2.1. </w:t>
            </w:r>
          </w:p>
          <w:p w14:paraId="41996457" w14:textId="77777777" w:rsidR="006B710E" w:rsidRPr="009B2E3B" w:rsidRDefault="006B710E" w:rsidP="00C07EB1">
            <w:pPr>
              <w:pStyle w:val="Default"/>
              <w:jc w:val="both"/>
            </w:pPr>
            <w:r w:rsidRPr="009B2E3B">
              <w:t xml:space="preserve">Planowany termin wejścia w życie umowy sprzedaży energii elektrycznej lub umowy kompleksowej wskazany w powiadomieniu jest weryfikowany przez OSDn. OSDn informuje Sprzedawcę o dacie uruchomienia dostaw, która może być inna niż wskazana w powiadomieniu. </w:t>
            </w:r>
          </w:p>
        </w:tc>
      </w:tr>
      <w:tr w:rsidR="006B710E" w:rsidRPr="00715360" w14:paraId="2C6C98BC" w14:textId="77777777" w:rsidTr="00357BB6">
        <w:tc>
          <w:tcPr>
            <w:tcW w:w="1010" w:type="dxa"/>
            <w:shd w:val="clear" w:color="auto" w:fill="auto"/>
          </w:tcPr>
          <w:p w14:paraId="27EAFD0B" w14:textId="77777777" w:rsidR="006B710E" w:rsidRPr="00F33072" w:rsidRDefault="006B710E">
            <w:pPr>
              <w:pStyle w:val="styl0"/>
              <w:numPr>
                <w:ilvl w:val="0"/>
                <w:numId w:val="189"/>
              </w:numPr>
              <w:ind w:left="0" w:firstLine="0"/>
            </w:pPr>
          </w:p>
        </w:tc>
        <w:tc>
          <w:tcPr>
            <w:tcW w:w="8201" w:type="dxa"/>
            <w:shd w:val="clear" w:color="auto" w:fill="auto"/>
          </w:tcPr>
          <w:p w14:paraId="7CFA611D" w14:textId="77777777" w:rsidR="006B710E" w:rsidRPr="00F3025E" w:rsidRDefault="006B710E" w:rsidP="00C07EB1">
            <w:pPr>
              <w:pStyle w:val="Default"/>
              <w:jc w:val="both"/>
              <w:rPr>
                <w:color w:val="auto"/>
              </w:rPr>
            </w:pPr>
            <w:r w:rsidRPr="00F3025E">
              <w:rPr>
                <w:color w:val="auto"/>
              </w:rPr>
              <w:t>Sprzedawca zobowiązany jest uzyskać pełnomocnictwo URD na dokonanie powiadomienia OSDn, o którym mowa w pkt</w:t>
            </w:r>
            <w:r>
              <w:rPr>
                <w:color w:val="auto"/>
              </w:rPr>
              <w:t>.</w:t>
            </w:r>
            <w:r w:rsidRPr="00F3025E">
              <w:rPr>
                <w:color w:val="auto"/>
              </w:rPr>
              <w:t xml:space="preserve"> </w:t>
            </w:r>
            <w:r w:rsidR="00847F2F">
              <w:rPr>
                <w:color w:val="auto"/>
              </w:rPr>
              <w:t>D</w:t>
            </w:r>
            <w:r w:rsidRPr="00F3025E">
              <w:rPr>
                <w:color w:val="auto"/>
              </w:rPr>
              <w:t>.2.1, w imieniu URD oraz złożyć do OSDn jego kopię, bądź oświadczenie o fakcie posiadania tego pełnomocnictwa.</w:t>
            </w:r>
          </w:p>
        </w:tc>
      </w:tr>
      <w:tr w:rsidR="006B710E" w:rsidRPr="00715360" w14:paraId="4241C24B" w14:textId="77777777" w:rsidTr="00357BB6">
        <w:tc>
          <w:tcPr>
            <w:tcW w:w="1010" w:type="dxa"/>
            <w:shd w:val="clear" w:color="auto" w:fill="auto"/>
          </w:tcPr>
          <w:p w14:paraId="5D2C403C" w14:textId="77777777" w:rsidR="006B710E" w:rsidRPr="00F33072" w:rsidRDefault="006B710E">
            <w:pPr>
              <w:pStyle w:val="styl0"/>
              <w:numPr>
                <w:ilvl w:val="0"/>
                <w:numId w:val="189"/>
              </w:numPr>
              <w:ind w:left="0" w:firstLine="0"/>
            </w:pPr>
          </w:p>
        </w:tc>
        <w:tc>
          <w:tcPr>
            <w:tcW w:w="8201" w:type="dxa"/>
            <w:shd w:val="clear" w:color="auto" w:fill="auto"/>
          </w:tcPr>
          <w:p w14:paraId="05A912C5" w14:textId="77777777" w:rsidR="006B710E" w:rsidRPr="00F3025E" w:rsidRDefault="006B710E" w:rsidP="00C07EB1">
            <w:pPr>
              <w:pStyle w:val="Default"/>
              <w:jc w:val="both"/>
              <w:rPr>
                <w:color w:val="auto"/>
              </w:rPr>
            </w:pPr>
            <w:r w:rsidRPr="00F3025E">
              <w:rPr>
                <w:color w:val="auto"/>
              </w:rPr>
              <w:t xml:space="preserve">Strony umowy sprzedaży energii elektrycznej są zobowiązane do informowania OSDn o zmianach dokonanych w ww. umowie, w zakresie danych określonych </w:t>
            </w:r>
            <w:r w:rsidRPr="00F3025E">
              <w:rPr>
                <w:color w:val="auto"/>
              </w:rPr>
              <w:br/>
              <w:t>w formularzu, o którym mowa w pkt</w:t>
            </w:r>
            <w:r>
              <w:rPr>
                <w:color w:val="auto"/>
              </w:rPr>
              <w:t>.</w:t>
            </w:r>
            <w:r w:rsidRPr="00F3025E">
              <w:rPr>
                <w:color w:val="auto"/>
              </w:rPr>
              <w:t xml:space="preserve"> </w:t>
            </w:r>
            <w:r w:rsidR="00847F2F">
              <w:rPr>
                <w:color w:val="auto"/>
              </w:rPr>
              <w:t>D</w:t>
            </w:r>
            <w:r w:rsidRPr="00F3025E">
              <w:rPr>
                <w:color w:val="auto"/>
              </w:rPr>
              <w:t>.2.2. Powiadomienia należy dokonać zgodnie z pkt</w:t>
            </w:r>
            <w:r>
              <w:rPr>
                <w:color w:val="auto"/>
              </w:rPr>
              <w:t>.</w:t>
            </w:r>
            <w:r w:rsidRPr="00F3025E">
              <w:rPr>
                <w:color w:val="auto"/>
              </w:rPr>
              <w:t xml:space="preserve"> </w:t>
            </w:r>
            <w:r w:rsidR="00847F2F">
              <w:rPr>
                <w:color w:val="auto"/>
              </w:rPr>
              <w:t>D</w:t>
            </w:r>
            <w:r w:rsidRPr="00F3025E">
              <w:rPr>
                <w:color w:val="auto"/>
              </w:rPr>
              <w:t>.2.1. na formularzu określonym w GUD lub GUD-K z co najmniej 14-sto dniowym wyprzedzeniem lub niezwłocznie po uzyskaniu dokumentów potwierdzających aktualizację danych.</w:t>
            </w:r>
          </w:p>
        </w:tc>
      </w:tr>
      <w:tr w:rsidR="006B710E" w:rsidRPr="00715360" w14:paraId="26EC80DD" w14:textId="77777777" w:rsidTr="00357BB6">
        <w:tc>
          <w:tcPr>
            <w:tcW w:w="1010" w:type="dxa"/>
            <w:shd w:val="clear" w:color="auto" w:fill="auto"/>
          </w:tcPr>
          <w:p w14:paraId="6FC78FF5" w14:textId="77777777" w:rsidR="006B710E" w:rsidRPr="00F33072" w:rsidRDefault="006B710E">
            <w:pPr>
              <w:pStyle w:val="styl0"/>
              <w:numPr>
                <w:ilvl w:val="0"/>
                <w:numId w:val="189"/>
              </w:numPr>
              <w:ind w:left="0" w:firstLine="0"/>
            </w:pPr>
          </w:p>
        </w:tc>
        <w:tc>
          <w:tcPr>
            <w:tcW w:w="8201" w:type="dxa"/>
            <w:shd w:val="clear" w:color="auto" w:fill="auto"/>
          </w:tcPr>
          <w:p w14:paraId="55EAAC9A" w14:textId="77777777" w:rsidR="006B710E" w:rsidRPr="00634333" w:rsidRDefault="006B710E" w:rsidP="00C07EB1">
            <w:pPr>
              <w:pStyle w:val="Default"/>
              <w:jc w:val="both"/>
              <w:rPr>
                <w:color w:val="auto"/>
              </w:rPr>
            </w:pPr>
            <w:r w:rsidRPr="00634333">
              <w:rPr>
                <w:color w:val="auto"/>
              </w:rPr>
              <w:t>Strony umowy sprzedaży energii elektrycznej są zobowiązane do powiadomienia OSDn, nie później niż na 14 dni kalendarzowych przed upływem terminu obowiązywania umowy sprzedaży energii elektrycznej lub umowy kompleksowej</w:t>
            </w:r>
            <w:r w:rsidRPr="00634333">
              <w:rPr>
                <w:color w:val="auto"/>
                <w:shd w:val="clear" w:color="auto" w:fill="D6E3BC"/>
              </w:rPr>
              <w:t xml:space="preserve"> </w:t>
            </w:r>
            <w:r w:rsidRPr="00634333">
              <w:rPr>
                <w:color w:val="auto"/>
              </w:rPr>
              <w:t>zawartej z URDo na czas określony, o zawarciu przez Sprzedawcę nowej umowy sprzedaży energii elektrycznej lub umowy kompleksowej z tym URDo lub przedłużenia obowiązywania dotychczasowej umowy w drodze aneksu. Powiadomienia należy dokonać zgodnie z pkt</w:t>
            </w:r>
            <w:r>
              <w:rPr>
                <w:color w:val="auto"/>
              </w:rPr>
              <w:t>.</w:t>
            </w:r>
            <w:r w:rsidRPr="00634333">
              <w:rPr>
                <w:color w:val="auto"/>
              </w:rPr>
              <w:t xml:space="preserve"> </w:t>
            </w:r>
            <w:r w:rsidR="00847F2F">
              <w:rPr>
                <w:color w:val="auto"/>
              </w:rPr>
              <w:t>D</w:t>
            </w:r>
            <w:r w:rsidRPr="00634333">
              <w:rPr>
                <w:color w:val="auto"/>
              </w:rPr>
              <w:t xml:space="preserve">.2.1. na formularzu, którego zakres określa Załącznik nr 3 do niniejszej IRiESD. </w:t>
            </w:r>
          </w:p>
        </w:tc>
      </w:tr>
      <w:tr w:rsidR="006B710E" w:rsidRPr="00715360" w14:paraId="5FEBD2FA" w14:textId="77777777" w:rsidTr="00357BB6">
        <w:tc>
          <w:tcPr>
            <w:tcW w:w="1010" w:type="dxa"/>
            <w:shd w:val="clear" w:color="auto" w:fill="auto"/>
          </w:tcPr>
          <w:p w14:paraId="5A186DDC" w14:textId="77777777" w:rsidR="006B710E" w:rsidRPr="00F33072" w:rsidRDefault="006B710E">
            <w:pPr>
              <w:pStyle w:val="styl0"/>
              <w:numPr>
                <w:ilvl w:val="0"/>
                <w:numId w:val="189"/>
              </w:numPr>
              <w:ind w:left="0" w:firstLine="0"/>
            </w:pPr>
          </w:p>
        </w:tc>
        <w:tc>
          <w:tcPr>
            <w:tcW w:w="8201" w:type="dxa"/>
            <w:shd w:val="clear" w:color="auto" w:fill="auto"/>
          </w:tcPr>
          <w:p w14:paraId="763B6703" w14:textId="77777777" w:rsidR="006B710E" w:rsidRPr="00634333" w:rsidRDefault="006B710E" w:rsidP="00C07EB1">
            <w:pPr>
              <w:pStyle w:val="Default"/>
              <w:jc w:val="both"/>
              <w:rPr>
                <w:color w:val="auto"/>
              </w:rPr>
            </w:pPr>
            <w:r w:rsidRPr="00634333">
              <w:rPr>
                <w:color w:val="auto"/>
              </w:rPr>
              <w:t>Sprzedawca nie później niż na 21 dni kalendarzowych przed zaprzestaniem sprzedaży energii elektrycznej lub świadczenia usługi kompleksowej, informuje OSDn o dacie rozwiązania lub wygaśnięcia umowy sprzedaży lub umowy kompleksowej.</w:t>
            </w:r>
          </w:p>
        </w:tc>
      </w:tr>
      <w:tr w:rsidR="006B710E" w:rsidRPr="00715360" w14:paraId="4540DC99" w14:textId="77777777" w:rsidTr="00357BB6">
        <w:tc>
          <w:tcPr>
            <w:tcW w:w="1010" w:type="dxa"/>
            <w:shd w:val="clear" w:color="auto" w:fill="auto"/>
          </w:tcPr>
          <w:p w14:paraId="7509A871" w14:textId="77777777" w:rsidR="006B710E" w:rsidRPr="00F33072" w:rsidRDefault="006B710E">
            <w:pPr>
              <w:pStyle w:val="styl0"/>
              <w:numPr>
                <w:ilvl w:val="0"/>
                <w:numId w:val="189"/>
              </w:numPr>
              <w:ind w:left="0" w:firstLine="0"/>
            </w:pPr>
          </w:p>
        </w:tc>
        <w:tc>
          <w:tcPr>
            <w:tcW w:w="8201" w:type="dxa"/>
            <w:shd w:val="clear" w:color="auto" w:fill="auto"/>
          </w:tcPr>
          <w:p w14:paraId="0E8FFF46" w14:textId="77777777" w:rsidR="006B710E" w:rsidRPr="00634333" w:rsidRDefault="006B710E" w:rsidP="00C07EB1">
            <w:pPr>
              <w:pStyle w:val="Default"/>
              <w:jc w:val="both"/>
              <w:rPr>
                <w:color w:val="auto"/>
              </w:rPr>
            </w:pPr>
            <w:r w:rsidRPr="00634333">
              <w:rPr>
                <w:color w:val="auto"/>
              </w:rPr>
              <w:t>W przypadku niedotrzymania przez Strony umowy sprzedaży energii elektrycznej lub umowy kompleksowej terminu, o którym mowa w pkt</w:t>
            </w:r>
            <w:r>
              <w:rPr>
                <w:color w:val="auto"/>
              </w:rPr>
              <w:t>.</w:t>
            </w:r>
            <w:r w:rsidRPr="00634333">
              <w:rPr>
                <w:color w:val="auto"/>
              </w:rPr>
              <w:t xml:space="preserve"> </w:t>
            </w:r>
            <w:r w:rsidR="00847F2F">
              <w:rPr>
                <w:color w:val="auto"/>
              </w:rPr>
              <w:t>D</w:t>
            </w:r>
            <w:r w:rsidRPr="00634333">
              <w:rPr>
                <w:color w:val="auto"/>
              </w:rPr>
              <w:t>.2.6. lub pkt</w:t>
            </w:r>
            <w:r>
              <w:rPr>
                <w:color w:val="auto"/>
              </w:rPr>
              <w:t>.</w:t>
            </w:r>
            <w:r w:rsidRPr="00634333">
              <w:rPr>
                <w:color w:val="auto"/>
              </w:rPr>
              <w:t xml:space="preserve"> </w:t>
            </w:r>
            <w:r w:rsidR="00847F2F">
              <w:rPr>
                <w:color w:val="auto"/>
              </w:rPr>
              <w:t>D</w:t>
            </w:r>
            <w:r w:rsidRPr="00634333">
              <w:rPr>
                <w:color w:val="auto"/>
              </w:rPr>
              <w:t xml:space="preserve">.2.7. uznaje się, że sprzedaż energii elektrycznej do URDo jest nadal prowadzona przez obecnego Sprzedawcę na dotychczasowych warunkach. OSDn będzie realizował dotychczasową umowę sprzedaży lub umowę kompleksową do 21 dnia od uzyskania tej informacji przez OSDn od Sprzedawcy, chyba że w terminie wcześniejszym </w:t>
            </w:r>
            <w:r>
              <w:rPr>
                <w:color w:val="auto"/>
              </w:rPr>
              <w:t>nastąpi zmiana sprzedawcy</w:t>
            </w:r>
            <w:r w:rsidRPr="00634333">
              <w:rPr>
                <w:color w:val="auto"/>
              </w:rPr>
              <w:t>.</w:t>
            </w:r>
          </w:p>
        </w:tc>
      </w:tr>
      <w:tr w:rsidR="006B710E" w:rsidRPr="00715360" w14:paraId="71653DE8" w14:textId="77777777" w:rsidTr="00357BB6">
        <w:tc>
          <w:tcPr>
            <w:tcW w:w="1010" w:type="dxa"/>
            <w:shd w:val="clear" w:color="auto" w:fill="auto"/>
          </w:tcPr>
          <w:p w14:paraId="645BADF3" w14:textId="77777777" w:rsidR="006B710E" w:rsidRPr="00F33072" w:rsidRDefault="006B710E">
            <w:pPr>
              <w:pStyle w:val="styl0"/>
              <w:numPr>
                <w:ilvl w:val="0"/>
                <w:numId w:val="189"/>
              </w:numPr>
              <w:ind w:left="0" w:firstLine="0"/>
            </w:pPr>
          </w:p>
        </w:tc>
        <w:tc>
          <w:tcPr>
            <w:tcW w:w="8201" w:type="dxa"/>
            <w:shd w:val="clear" w:color="auto" w:fill="auto"/>
          </w:tcPr>
          <w:p w14:paraId="2C2D3159" w14:textId="0AB0E774" w:rsidR="006B710E" w:rsidRDefault="006B710E" w:rsidP="00C07EB1">
            <w:pPr>
              <w:pStyle w:val="Default"/>
              <w:jc w:val="both"/>
              <w:rPr>
                <w:color w:val="auto"/>
              </w:rPr>
            </w:pPr>
            <w:r w:rsidRPr="00634333">
              <w:rPr>
                <w:color w:val="auto"/>
              </w:rPr>
              <w:t>Rozdzielenie umowy kompleksowej na umowę sprzedaży oraz umowę dystrybucyjną bez dokonywania zmiany sprzedawcy, wymaga zgłoszenia umowy sprzedaży na zasadach i w trybie określonym w pkt</w:t>
            </w:r>
            <w:r>
              <w:rPr>
                <w:color w:val="auto"/>
              </w:rPr>
              <w:t>.</w:t>
            </w:r>
            <w:r w:rsidRPr="00634333">
              <w:rPr>
                <w:color w:val="auto"/>
              </w:rPr>
              <w:t xml:space="preserve"> </w:t>
            </w:r>
            <w:r w:rsidR="00847F2F">
              <w:rPr>
                <w:color w:val="auto"/>
              </w:rPr>
              <w:t>D</w:t>
            </w:r>
            <w:r w:rsidRPr="00634333">
              <w:rPr>
                <w:color w:val="auto"/>
              </w:rPr>
              <w:t xml:space="preserve">. Rozdzielenie umowy kompleksowej nie </w:t>
            </w:r>
            <w:r w:rsidRPr="00634333">
              <w:rPr>
                <w:color w:val="auto"/>
              </w:rPr>
              <w:lastRenderedPageBreak/>
              <w:t>wymaga dostosowania układów pomiarowo-rozliczeniowych do wymagań określonych</w:t>
            </w:r>
            <w:r w:rsidR="003C6FC6">
              <w:rPr>
                <w:color w:val="auto"/>
              </w:rPr>
              <w:t xml:space="preserve"> odpowiednio</w:t>
            </w:r>
            <w:r w:rsidRPr="00634333">
              <w:rPr>
                <w:color w:val="auto"/>
              </w:rPr>
              <w:t xml:space="preserve"> </w:t>
            </w:r>
            <w:r w:rsidR="003C6FC6">
              <w:rPr>
                <w:color w:val="auto"/>
              </w:rPr>
              <w:t>w</w:t>
            </w:r>
            <w:r w:rsidRPr="00634333">
              <w:rPr>
                <w:color w:val="auto"/>
              </w:rPr>
              <w:t xml:space="preserve"> rozporządzeniu </w:t>
            </w:r>
            <w:r w:rsidR="003C6FC6">
              <w:rPr>
                <w:color w:val="auto"/>
              </w:rPr>
              <w:t>pomiarowym oraz w IRiESD</w:t>
            </w:r>
            <w:r w:rsidRPr="00634333">
              <w:rPr>
                <w:color w:val="auto"/>
              </w:rPr>
              <w:t>.</w:t>
            </w:r>
          </w:p>
          <w:p w14:paraId="5CCAF6A7" w14:textId="77777777" w:rsidR="006B710E" w:rsidRPr="00634333" w:rsidRDefault="006B710E" w:rsidP="00C07EB1">
            <w:pPr>
              <w:pStyle w:val="Default"/>
              <w:jc w:val="both"/>
              <w:rPr>
                <w:color w:val="auto"/>
              </w:rPr>
            </w:pPr>
          </w:p>
        </w:tc>
      </w:tr>
    </w:tbl>
    <w:p w14:paraId="5404D3EF" w14:textId="77777777" w:rsidR="006B710E" w:rsidRPr="00BF3F12" w:rsidRDefault="00BF3F12" w:rsidP="006B710E">
      <w:pPr>
        <w:pStyle w:val="Nagwek2"/>
        <w:tabs>
          <w:tab w:val="left" w:pos="567"/>
        </w:tabs>
        <w:spacing w:before="120"/>
        <w:rPr>
          <w:szCs w:val="24"/>
        </w:rPr>
      </w:pPr>
      <w:bookmarkStart w:id="119" w:name="_Toc532193596"/>
      <w:bookmarkStart w:id="120" w:name="_Toc141963923"/>
      <w:r>
        <w:rPr>
          <w:szCs w:val="24"/>
        </w:rPr>
        <w:lastRenderedPageBreak/>
        <w:t>D</w:t>
      </w:r>
      <w:r w:rsidR="006B710E" w:rsidRPr="00BF3F12">
        <w:rPr>
          <w:szCs w:val="24"/>
        </w:rPr>
        <w:t>.3.</w:t>
      </w:r>
      <w:r w:rsidR="006B710E" w:rsidRPr="00BF3F12">
        <w:rPr>
          <w:szCs w:val="24"/>
        </w:rPr>
        <w:tab/>
        <w:t>PROCEDURA ZMIANY SPRZEDAWCY PRZEZ URDo</w:t>
      </w:r>
      <w:bookmarkEnd w:id="119"/>
      <w:bookmarkEnd w:id="120"/>
    </w:p>
    <w:tbl>
      <w:tblPr>
        <w:tblW w:w="9211" w:type="dxa"/>
        <w:tblInd w:w="-108" w:type="dxa"/>
        <w:tblCellMar>
          <w:left w:w="0" w:type="dxa"/>
          <w:right w:w="0" w:type="dxa"/>
        </w:tblCellMar>
        <w:tblLook w:val="01E0" w:firstRow="1" w:lastRow="1" w:firstColumn="1" w:lastColumn="1" w:noHBand="0" w:noVBand="0"/>
      </w:tblPr>
      <w:tblGrid>
        <w:gridCol w:w="1010"/>
        <w:gridCol w:w="8201"/>
      </w:tblGrid>
      <w:tr w:rsidR="006B710E" w:rsidRPr="00F33072" w14:paraId="73C0D482" w14:textId="77777777" w:rsidTr="00357BB6">
        <w:tc>
          <w:tcPr>
            <w:tcW w:w="1010" w:type="dxa"/>
            <w:shd w:val="clear" w:color="auto" w:fill="auto"/>
          </w:tcPr>
          <w:p w14:paraId="58434BF8" w14:textId="77777777" w:rsidR="006B710E" w:rsidRPr="00F33072" w:rsidRDefault="006B710E">
            <w:pPr>
              <w:pStyle w:val="styl0"/>
              <w:numPr>
                <w:ilvl w:val="0"/>
                <w:numId w:val="188"/>
              </w:numPr>
              <w:ind w:hanging="720"/>
            </w:pPr>
          </w:p>
        </w:tc>
        <w:tc>
          <w:tcPr>
            <w:tcW w:w="8201" w:type="dxa"/>
            <w:shd w:val="clear" w:color="auto" w:fill="auto"/>
          </w:tcPr>
          <w:p w14:paraId="28C64243" w14:textId="77777777" w:rsidR="006B710E" w:rsidRPr="007B2B39" w:rsidRDefault="006B710E" w:rsidP="00C07EB1">
            <w:pPr>
              <w:pStyle w:val="styl0"/>
            </w:pPr>
            <w:r w:rsidRPr="007B2B39">
              <w:t xml:space="preserve">URDo dokonuje wyboru sprzedawcy i zawiera z nim umowę sprzedaży energii elektrycznej lub umowę kompleksową. </w:t>
            </w:r>
          </w:p>
          <w:p w14:paraId="58E8BDA9" w14:textId="77777777" w:rsidR="006B710E" w:rsidRPr="007B2B39" w:rsidRDefault="006B710E" w:rsidP="00C07EB1">
            <w:pPr>
              <w:pStyle w:val="styl0"/>
            </w:pPr>
            <w:r w:rsidRPr="007B2B39">
              <w:t>Umowa sprzedaży energii elektrycznej lub umowa kompleksowa zawierana jest przed rozwiązaniem umowy sprzedaży lub umowy kompleksowej, zawartej przez tego URDo z dotychczasowym sprzedawcą.</w:t>
            </w:r>
          </w:p>
        </w:tc>
      </w:tr>
      <w:tr w:rsidR="006B710E" w:rsidRPr="00F33072" w14:paraId="57EBF5FA" w14:textId="77777777" w:rsidTr="00357BB6">
        <w:tc>
          <w:tcPr>
            <w:tcW w:w="1010" w:type="dxa"/>
            <w:shd w:val="clear" w:color="auto" w:fill="auto"/>
          </w:tcPr>
          <w:p w14:paraId="47A57071" w14:textId="77777777" w:rsidR="006B710E" w:rsidRPr="00F33072" w:rsidRDefault="006B710E">
            <w:pPr>
              <w:pStyle w:val="styl0"/>
              <w:numPr>
                <w:ilvl w:val="0"/>
                <w:numId w:val="188"/>
              </w:numPr>
              <w:ind w:hanging="720"/>
            </w:pPr>
          </w:p>
        </w:tc>
        <w:tc>
          <w:tcPr>
            <w:tcW w:w="8201" w:type="dxa"/>
            <w:shd w:val="clear" w:color="auto" w:fill="auto"/>
          </w:tcPr>
          <w:p w14:paraId="30D78A93" w14:textId="77777777" w:rsidR="006B710E" w:rsidRPr="007B2B39" w:rsidRDefault="006B710E" w:rsidP="00C07EB1">
            <w:pPr>
              <w:pStyle w:val="styl0"/>
              <w:rPr>
                <w:szCs w:val="24"/>
              </w:rPr>
            </w:pPr>
            <w:r w:rsidRPr="007B2B39">
              <w:rPr>
                <w:szCs w:val="24"/>
              </w:rPr>
              <w:t>URDo lub upoważniony przez niego nowy Sprzedawca wypowiada umowę kompleksową lub umowę sprzedaży zawartą z dotychczasowym sprzedawcą energii elektrycznej.</w:t>
            </w:r>
          </w:p>
        </w:tc>
      </w:tr>
      <w:tr w:rsidR="006B710E" w:rsidRPr="00F33072" w14:paraId="78AF1AD5" w14:textId="77777777" w:rsidTr="00357BB6">
        <w:tc>
          <w:tcPr>
            <w:tcW w:w="1010" w:type="dxa"/>
            <w:shd w:val="clear" w:color="auto" w:fill="auto"/>
          </w:tcPr>
          <w:p w14:paraId="12486A17" w14:textId="77777777" w:rsidR="006B710E" w:rsidRPr="00F33072" w:rsidRDefault="006B710E">
            <w:pPr>
              <w:pStyle w:val="styl0"/>
              <w:numPr>
                <w:ilvl w:val="0"/>
                <w:numId w:val="188"/>
              </w:numPr>
              <w:ind w:hanging="720"/>
            </w:pPr>
          </w:p>
        </w:tc>
        <w:tc>
          <w:tcPr>
            <w:tcW w:w="8201" w:type="dxa"/>
            <w:shd w:val="clear" w:color="auto" w:fill="auto"/>
          </w:tcPr>
          <w:p w14:paraId="7F1AA7E7" w14:textId="77777777" w:rsidR="006B710E" w:rsidRPr="007B2B39" w:rsidRDefault="006B710E" w:rsidP="00C07EB1">
            <w:pPr>
              <w:pStyle w:val="Default"/>
              <w:jc w:val="both"/>
              <w:rPr>
                <w:color w:val="auto"/>
              </w:rPr>
            </w:pPr>
            <w:r w:rsidRPr="007B2B39">
              <w:rPr>
                <w:color w:val="auto"/>
              </w:rPr>
              <w:t>Warunkiem koniecznym umożliwiającym zmianę sprzedawcy przez URD jest spełnienie wymagań określonych w pkt</w:t>
            </w:r>
            <w:r>
              <w:rPr>
                <w:color w:val="auto"/>
              </w:rPr>
              <w:t>.</w:t>
            </w:r>
            <w:r w:rsidRPr="007B2B39">
              <w:rPr>
                <w:color w:val="auto"/>
              </w:rPr>
              <w:t xml:space="preserve"> </w:t>
            </w:r>
            <w:r w:rsidR="00BF3F12">
              <w:rPr>
                <w:color w:val="auto"/>
              </w:rPr>
              <w:t>D</w:t>
            </w:r>
            <w:r w:rsidRPr="007B2B39">
              <w:rPr>
                <w:color w:val="auto"/>
              </w:rPr>
              <w:t>.1. i pkt</w:t>
            </w:r>
            <w:r>
              <w:rPr>
                <w:color w:val="auto"/>
              </w:rPr>
              <w:t>.</w:t>
            </w:r>
            <w:r w:rsidRPr="007B2B39">
              <w:rPr>
                <w:color w:val="auto"/>
              </w:rPr>
              <w:t xml:space="preserve"> </w:t>
            </w:r>
            <w:r w:rsidR="00BF3F12">
              <w:rPr>
                <w:color w:val="auto"/>
              </w:rPr>
              <w:t>D</w:t>
            </w:r>
            <w:r w:rsidRPr="007B2B39">
              <w:rPr>
                <w:color w:val="auto"/>
              </w:rPr>
              <w:t xml:space="preserve">.2. oraz zawarcie: </w:t>
            </w:r>
          </w:p>
          <w:p w14:paraId="3CA847EC" w14:textId="77777777" w:rsidR="006B710E" w:rsidRPr="007B2B39" w:rsidRDefault="006B710E">
            <w:pPr>
              <w:pStyle w:val="Default"/>
              <w:numPr>
                <w:ilvl w:val="0"/>
                <w:numId w:val="198"/>
              </w:numPr>
              <w:ind w:left="266" w:hanging="266"/>
              <w:jc w:val="both"/>
              <w:rPr>
                <w:color w:val="auto"/>
              </w:rPr>
            </w:pPr>
            <w:r w:rsidRPr="007B2B39">
              <w:rPr>
                <w:color w:val="auto"/>
              </w:rPr>
              <w:t xml:space="preserve">umowy o świadczenie usług dystrybucji pomiędzy OSDn, a URD – </w:t>
            </w:r>
            <w:r w:rsidRPr="007B2B39">
              <w:rPr>
                <w:color w:val="auto"/>
              </w:rPr>
              <w:br/>
              <w:t xml:space="preserve">w przypadku zawarcia przez URD umowy sprzedaży albo </w:t>
            </w:r>
          </w:p>
          <w:p w14:paraId="1EDBFE14" w14:textId="77777777" w:rsidR="006B710E" w:rsidRPr="007B2B39" w:rsidRDefault="006B710E">
            <w:pPr>
              <w:pStyle w:val="Default"/>
              <w:numPr>
                <w:ilvl w:val="0"/>
                <w:numId w:val="198"/>
              </w:numPr>
              <w:ind w:left="266" w:hanging="266"/>
              <w:jc w:val="both"/>
              <w:rPr>
                <w:color w:val="auto"/>
              </w:rPr>
            </w:pPr>
            <w:r w:rsidRPr="007B2B39">
              <w:rPr>
                <w:color w:val="auto"/>
              </w:rPr>
              <w:t xml:space="preserve">umowy kompleksowej pomiędzy sprzedawcą, a URD. </w:t>
            </w:r>
          </w:p>
        </w:tc>
      </w:tr>
      <w:tr w:rsidR="006B710E" w:rsidRPr="00F33072" w14:paraId="0A29E679" w14:textId="77777777" w:rsidTr="00357BB6">
        <w:tc>
          <w:tcPr>
            <w:tcW w:w="1010" w:type="dxa"/>
            <w:shd w:val="clear" w:color="auto" w:fill="auto"/>
          </w:tcPr>
          <w:p w14:paraId="70A547D9" w14:textId="77777777" w:rsidR="006B710E" w:rsidRPr="00F33072" w:rsidRDefault="006B710E">
            <w:pPr>
              <w:pStyle w:val="styl0"/>
              <w:numPr>
                <w:ilvl w:val="0"/>
                <w:numId w:val="188"/>
              </w:numPr>
              <w:ind w:hanging="720"/>
            </w:pPr>
          </w:p>
        </w:tc>
        <w:tc>
          <w:tcPr>
            <w:tcW w:w="8201" w:type="dxa"/>
            <w:shd w:val="clear" w:color="auto" w:fill="auto"/>
          </w:tcPr>
          <w:p w14:paraId="0FC25462" w14:textId="77777777" w:rsidR="006B710E" w:rsidRPr="007B2B39" w:rsidRDefault="006B710E" w:rsidP="00C07EB1">
            <w:pPr>
              <w:pStyle w:val="styl0"/>
              <w:tabs>
                <w:tab w:val="clear" w:pos="4536"/>
                <w:tab w:val="center" w:pos="266"/>
              </w:tabs>
            </w:pPr>
            <w:r w:rsidRPr="007B2B39">
              <w:t>W przypadku otrzymania wniosku URD bądź sprzedawcy działającego w imieniu URD, o zawarcie umowy dystrybucji z OSDn, OSDn niezwłocznie po pozytywnej weryfikacji powiadomienia</w:t>
            </w:r>
            <w:r w:rsidR="00CA2C53">
              <w:t>,</w:t>
            </w:r>
            <w:r>
              <w:t xml:space="preserve"> o którym mowa w pkt. </w:t>
            </w:r>
            <w:r w:rsidR="00BF3F12">
              <w:t>D</w:t>
            </w:r>
            <w:r>
              <w:t>.2.1.</w:t>
            </w:r>
            <w:r w:rsidRPr="007B2B39">
              <w:t xml:space="preserve">, przesyła URD, bądź sprzedawcy, parafowaną umowę o świadczenie usług dystrybucji energii elektrycznej zgodnie z </w:t>
            </w:r>
            <w:r w:rsidRPr="00C86548">
              <w:t>pkt. B.7. Umowa</w:t>
            </w:r>
            <w:r w:rsidRPr="007B2B39">
              <w:t xml:space="preserve"> o</w:t>
            </w:r>
            <w:r>
              <w:t xml:space="preserve"> </w:t>
            </w:r>
            <w:r w:rsidRPr="007B2B39">
              <w:t>świadczenie usług dystrybucji musi być zawarta przed rozpoczęciem sprzedaży energii elektrycznej przez nowego sprzedawcę. Umowa dystrybucji może być zawarta przez upoważniony podmiot (np. Sprzedawcę) w imieniu i na rzecz URDo.</w:t>
            </w:r>
          </w:p>
          <w:p w14:paraId="2D2BF384" w14:textId="77777777" w:rsidR="006B710E" w:rsidRPr="007B2B39" w:rsidRDefault="006B710E" w:rsidP="00C07EB1">
            <w:pPr>
              <w:pStyle w:val="styl0"/>
              <w:tabs>
                <w:tab w:val="clear" w:pos="4536"/>
                <w:tab w:val="clear" w:pos="9072"/>
                <w:tab w:val="right" w:pos="408"/>
              </w:tabs>
            </w:pPr>
            <w:r w:rsidRPr="007B2B39">
              <w:t xml:space="preserve">W przypadku wypowiedzenia przez URD umowy kompleksowej bądź umowy sprzedaży zawartej z OSDn, rozpoczęcie sprzedaży energii elektrycznej w ramach nowej umowy sprzedaży i umowy o świadczenie usług dystrybucji energii elektrycznej, bądź nowej umowy kompleksowej zawartej ze sprzedawcą, następuje </w:t>
            </w:r>
            <w:r w:rsidR="00EA086D">
              <w:br/>
            </w:r>
            <w:r w:rsidRPr="007B2B39">
              <w:t>z dniem rozwiązania dotychczasowej umowy.</w:t>
            </w:r>
          </w:p>
        </w:tc>
      </w:tr>
      <w:tr w:rsidR="006B710E" w:rsidRPr="00F33072" w14:paraId="43F0A948" w14:textId="77777777" w:rsidTr="00357BB6">
        <w:tc>
          <w:tcPr>
            <w:tcW w:w="1010" w:type="dxa"/>
            <w:shd w:val="clear" w:color="auto" w:fill="auto"/>
          </w:tcPr>
          <w:p w14:paraId="047B696E" w14:textId="77777777" w:rsidR="006B710E" w:rsidRPr="00F33072" w:rsidRDefault="006B710E">
            <w:pPr>
              <w:pStyle w:val="styl0"/>
              <w:numPr>
                <w:ilvl w:val="0"/>
                <w:numId w:val="188"/>
              </w:numPr>
              <w:ind w:hanging="720"/>
            </w:pPr>
          </w:p>
        </w:tc>
        <w:tc>
          <w:tcPr>
            <w:tcW w:w="8201" w:type="dxa"/>
            <w:shd w:val="clear" w:color="auto" w:fill="auto"/>
          </w:tcPr>
          <w:p w14:paraId="0D8860A7" w14:textId="77777777" w:rsidR="006B710E" w:rsidRPr="00F77B57" w:rsidRDefault="006B710E" w:rsidP="00C07EB1">
            <w:pPr>
              <w:pStyle w:val="styl0"/>
              <w:tabs>
                <w:tab w:val="clear" w:pos="4536"/>
                <w:tab w:val="clear" w:pos="9072"/>
                <w:tab w:val="right" w:pos="408"/>
              </w:tabs>
            </w:pPr>
            <w:r w:rsidRPr="00F77B57">
              <w:t xml:space="preserve">Zmiana sprzedawcy i rozpoczęcie sprzedaży energii elektrycznej przez nowego sprzedawcę następuje w terminie 21 dni od dnia dokonania powiadomienia, </w:t>
            </w:r>
            <w:r w:rsidRPr="00F77B57">
              <w:br/>
              <w:t>o którym mowa w pkt</w:t>
            </w:r>
            <w:r>
              <w:t>.</w:t>
            </w:r>
            <w:r w:rsidRPr="00F77B57">
              <w:t xml:space="preserve"> </w:t>
            </w:r>
            <w:r w:rsidR="00BF3F12">
              <w:t>D</w:t>
            </w:r>
            <w:r w:rsidRPr="00F77B57">
              <w:t>.2.1., pod warunkiem jego pozytywnej weryfikacji przez OSDn, chyba że w powiadomieniu określony został termin późniejszy rozpoczęcia sprzedaży energii elektrycznej przez nowego sprzedawcę</w:t>
            </w:r>
            <w:r>
              <w:t xml:space="preserve">, z zastrzeżeniem terminów, o których mowa w pkt. </w:t>
            </w:r>
            <w:r w:rsidR="00BF3F12">
              <w:t>D</w:t>
            </w:r>
            <w:r>
              <w:t>.2.3</w:t>
            </w:r>
            <w:r w:rsidRPr="00F77B57">
              <w:t>.</w:t>
            </w:r>
          </w:p>
        </w:tc>
      </w:tr>
      <w:tr w:rsidR="006B710E" w:rsidRPr="00F33072" w14:paraId="6FD11171" w14:textId="77777777" w:rsidTr="00357BB6">
        <w:tc>
          <w:tcPr>
            <w:tcW w:w="1010" w:type="dxa"/>
            <w:shd w:val="clear" w:color="auto" w:fill="auto"/>
          </w:tcPr>
          <w:p w14:paraId="029AF4FE" w14:textId="77777777" w:rsidR="006B710E" w:rsidRPr="00F33072" w:rsidRDefault="006B710E">
            <w:pPr>
              <w:pStyle w:val="styl0"/>
              <w:numPr>
                <w:ilvl w:val="0"/>
                <w:numId w:val="188"/>
              </w:numPr>
              <w:ind w:hanging="720"/>
            </w:pPr>
          </w:p>
        </w:tc>
        <w:tc>
          <w:tcPr>
            <w:tcW w:w="8201" w:type="dxa"/>
            <w:shd w:val="clear" w:color="auto" w:fill="auto"/>
          </w:tcPr>
          <w:p w14:paraId="0DB572D8" w14:textId="77777777" w:rsidR="006B710E" w:rsidRPr="00F77B57" w:rsidRDefault="006B710E" w:rsidP="00C07EB1">
            <w:pPr>
              <w:pStyle w:val="Default"/>
              <w:jc w:val="both"/>
              <w:rPr>
                <w:color w:val="auto"/>
              </w:rPr>
            </w:pPr>
            <w:r w:rsidRPr="00F77B57">
              <w:rPr>
                <w:color w:val="auto"/>
              </w:rPr>
              <w:t xml:space="preserve">OSDn w terminie do 5 dni roboczych od dnia otrzymania powiadomienia, </w:t>
            </w:r>
            <w:r w:rsidRPr="00F77B57">
              <w:rPr>
                <w:color w:val="auto"/>
              </w:rPr>
              <w:br/>
              <w:t>o którym mowa w pkt</w:t>
            </w:r>
            <w:r>
              <w:rPr>
                <w:color w:val="auto"/>
              </w:rPr>
              <w:t>.</w:t>
            </w:r>
            <w:r w:rsidRPr="00F77B57">
              <w:rPr>
                <w:color w:val="auto"/>
              </w:rPr>
              <w:t xml:space="preserve"> </w:t>
            </w:r>
            <w:r w:rsidR="00BF3F12">
              <w:rPr>
                <w:color w:val="auto"/>
              </w:rPr>
              <w:t>D</w:t>
            </w:r>
            <w:r w:rsidRPr="00F77B57">
              <w:rPr>
                <w:color w:val="auto"/>
              </w:rPr>
              <w:t xml:space="preserve">.2.1, dokonuje jego weryfikacji w zakresie określonym </w:t>
            </w:r>
            <w:r w:rsidRPr="00F77B57">
              <w:rPr>
                <w:color w:val="auto"/>
              </w:rPr>
              <w:br/>
              <w:t>w pkt</w:t>
            </w:r>
            <w:r>
              <w:rPr>
                <w:color w:val="auto"/>
              </w:rPr>
              <w:t>.</w:t>
            </w:r>
            <w:r w:rsidRPr="00F77B57">
              <w:rPr>
                <w:color w:val="auto"/>
              </w:rPr>
              <w:t xml:space="preserve"> </w:t>
            </w:r>
            <w:r w:rsidR="00BF3F12">
              <w:rPr>
                <w:color w:val="auto"/>
              </w:rPr>
              <w:t>D</w:t>
            </w:r>
            <w:r w:rsidRPr="00F77B57">
              <w:rPr>
                <w:color w:val="auto"/>
              </w:rPr>
              <w:t xml:space="preserve">.2.2. oraz informuje podmiot, który przedłożył powiadomienie o wyniku weryfikacji. </w:t>
            </w:r>
          </w:p>
          <w:p w14:paraId="05036F4A" w14:textId="77777777" w:rsidR="006B710E" w:rsidRPr="00F77B57" w:rsidRDefault="006B710E" w:rsidP="00C07EB1">
            <w:pPr>
              <w:pStyle w:val="styl0"/>
              <w:tabs>
                <w:tab w:val="clear" w:pos="4536"/>
                <w:tab w:val="clear" w:pos="9072"/>
                <w:tab w:val="right" w:pos="408"/>
              </w:tabs>
              <w:rPr>
                <w:szCs w:val="24"/>
              </w:rPr>
            </w:pPr>
            <w:r w:rsidRPr="00F77B57">
              <w:rPr>
                <w:szCs w:val="24"/>
              </w:rPr>
              <w:t xml:space="preserve">Powiadomienia weryfikowane są również w zakresie dostosowania układu pomiarowo-rozliczeniowego do wymagań zawartych w IRiESD, posiadania przez URDo umowy dystrybucji zawartej z OSDn. </w:t>
            </w:r>
          </w:p>
        </w:tc>
      </w:tr>
      <w:tr w:rsidR="006B710E" w:rsidRPr="00F33072" w14:paraId="5AA3BE07" w14:textId="77777777" w:rsidTr="00357BB6">
        <w:tc>
          <w:tcPr>
            <w:tcW w:w="1010" w:type="dxa"/>
            <w:shd w:val="clear" w:color="auto" w:fill="auto"/>
          </w:tcPr>
          <w:p w14:paraId="429718A8" w14:textId="77777777" w:rsidR="006B710E" w:rsidRPr="00F33072" w:rsidRDefault="006B710E">
            <w:pPr>
              <w:pStyle w:val="styl0"/>
              <w:numPr>
                <w:ilvl w:val="0"/>
                <w:numId w:val="188"/>
              </w:numPr>
              <w:ind w:hanging="720"/>
            </w:pPr>
          </w:p>
        </w:tc>
        <w:tc>
          <w:tcPr>
            <w:tcW w:w="8201" w:type="dxa"/>
            <w:shd w:val="clear" w:color="auto" w:fill="auto"/>
          </w:tcPr>
          <w:p w14:paraId="3999C192" w14:textId="77777777" w:rsidR="006B710E" w:rsidRPr="00F77B57" w:rsidRDefault="006B710E" w:rsidP="00C07EB1">
            <w:pPr>
              <w:pStyle w:val="styl0"/>
              <w:tabs>
                <w:tab w:val="clear" w:pos="4536"/>
                <w:tab w:val="clear" w:pos="9072"/>
                <w:tab w:val="right" w:pos="408"/>
              </w:tabs>
            </w:pPr>
            <w:r w:rsidRPr="00F77B57">
              <w:rPr>
                <w:szCs w:val="24"/>
              </w:rPr>
              <w:t>Jeżeli powiadomienie, o którym mowa w pkt</w:t>
            </w:r>
            <w:r>
              <w:rPr>
                <w:szCs w:val="24"/>
              </w:rPr>
              <w:t>.</w:t>
            </w:r>
            <w:r w:rsidRPr="00F77B57">
              <w:rPr>
                <w:szCs w:val="24"/>
              </w:rPr>
              <w:t xml:space="preserve"> </w:t>
            </w:r>
            <w:r w:rsidR="00BF3F12">
              <w:rPr>
                <w:szCs w:val="24"/>
              </w:rPr>
              <w:t>D</w:t>
            </w:r>
            <w:r w:rsidRPr="00F77B57">
              <w:rPr>
                <w:szCs w:val="24"/>
              </w:rPr>
              <w:t xml:space="preserve">.2.1. zawiera braki formalne lub błędy, OSDn informuje o tym sprzedawcę, który przedłożył powiadomienie </w:t>
            </w:r>
            <w:r w:rsidRPr="00F77B57">
              <w:rPr>
                <w:szCs w:val="24"/>
              </w:rPr>
              <w:br/>
              <w:t>w terminie nie dłuższym niż 5 dni roboczych od dnia otrzymania tego powiadomienia, wskazując wszystkie braki lub błędy i informując o konieczności ich uzupełnienia lub poprawy.</w:t>
            </w:r>
            <w:r w:rsidRPr="00F77B57">
              <w:t xml:space="preserve"> </w:t>
            </w:r>
          </w:p>
        </w:tc>
      </w:tr>
      <w:tr w:rsidR="006B710E" w:rsidRPr="00F33072" w14:paraId="24A3250B" w14:textId="77777777" w:rsidTr="00357BB6">
        <w:tc>
          <w:tcPr>
            <w:tcW w:w="1010" w:type="dxa"/>
            <w:shd w:val="clear" w:color="auto" w:fill="auto"/>
          </w:tcPr>
          <w:p w14:paraId="56BDF107" w14:textId="77777777" w:rsidR="006B710E" w:rsidRPr="00F33072" w:rsidRDefault="006B710E">
            <w:pPr>
              <w:pStyle w:val="styl0"/>
              <w:numPr>
                <w:ilvl w:val="0"/>
                <w:numId w:val="188"/>
              </w:numPr>
              <w:ind w:hanging="720"/>
            </w:pPr>
          </w:p>
        </w:tc>
        <w:tc>
          <w:tcPr>
            <w:tcW w:w="8201" w:type="dxa"/>
            <w:shd w:val="clear" w:color="auto" w:fill="auto"/>
          </w:tcPr>
          <w:p w14:paraId="4FD47541" w14:textId="77777777" w:rsidR="006B710E" w:rsidRPr="00F77B57" w:rsidRDefault="006B710E" w:rsidP="00C07EB1">
            <w:pPr>
              <w:pStyle w:val="styl0"/>
              <w:tabs>
                <w:tab w:val="clear" w:pos="4536"/>
                <w:tab w:val="center" w:pos="266"/>
              </w:tabs>
            </w:pPr>
            <w:r w:rsidRPr="00F77B57">
              <w:rPr>
                <w:szCs w:val="24"/>
              </w:rPr>
              <w:t>Jeżeli braki formalne lub błędy, o których mowa w pkt</w:t>
            </w:r>
            <w:r>
              <w:rPr>
                <w:szCs w:val="24"/>
              </w:rPr>
              <w:t>.</w:t>
            </w:r>
            <w:r w:rsidRPr="00F77B57">
              <w:rPr>
                <w:szCs w:val="24"/>
              </w:rPr>
              <w:t xml:space="preserve"> </w:t>
            </w:r>
            <w:r w:rsidR="00BF3F12">
              <w:rPr>
                <w:szCs w:val="24"/>
              </w:rPr>
              <w:t>D</w:t>
            </w:r>
            <w:r w:rsidRPr="00F77B57">
              <w:rPr>
                <w:szCs w:val="24"/>
              </w:rPr>
              <w:t>.3.7. nie zostaną uzupełnione w terminie nie dłuższym niż 5 dni roboczych, OSDn dokonuje negatywnej weryfikacji powiadomienia, o którym mowa w pkt</w:t>
            </w:r>
            <w:r>
              <w:rPr>
                <w:szCs w:val="24"/>
              </w:rPr>
              <w:t>.</w:t>
            </w:r>
            <w:r w:rsidRPr="00F77B57">
              <w:rPr>
                <w:szCs w:val="24"/>
              </w:rPr>
              <w:t xml:space="preserve"> </w:t>
            </w:r>
            <w:r w:rsidR="00BF3F12">
              <w:rPr>
                <w:szCs w:val="24"/>
              </w:rPr>
              <w:t>D</w:t>
            </w:r>
            <w:r w:rsidRPr="00F77B57">
              <w:rPr>
                <w:szCs w:val="24"/>
              </w:rPr>
              <w:t>.2.1.,</w:t>
            </w:r>
            <w:r w:rsidRPr="00F77B57">
              <w:t xml:space="preserve"> </w:t>
            </w:r>
            <w:r w:rsidRPr="00F77B57">
              <w:br/>
              <w:t>z zastrzeżeniem pkt</w:t>
            </w:r>
            <w:r>
              <w:t>.</w:t>
            </w:r>
            <w:r w:rsidRPr="00F77B57">
              <w:t xml:space="preserve"> </w:t>
            </w:r>
            <w:r w:rsidR="00BF3F12">
              <w:t>D</w:t>
            </w:r>
            <w:r w:rsidRPr="00F77B57">
              <w:t>.1.3., informując o tym sprzedawcę, który przedłożył powiadomienie.</w:t>
            </w:r>
          </w:p>
        </w:tc>
      </w:tr>
      <w:tr w:rsidR="006B710E" w:rsidRPr="00F33072" w14:paraId="2A5F4765" w14:textId="77777777" w:rsidTr="004636A3">
        <w:trPr>
          <w:trHeight w:val="1179"/>
        </w:trPr>
        <w:tc>
          <w:tcPr>
            <w:tcW w:w="1010" w:type="dxa"/>
            <w:shd w:val="clear" w:color="auto" w:fill="auto"/>
          </w:tcPr>
          <w:p w14:paraId="21D0D616" w14:textId="77777777" w:rsidR="006B710E" w:rsidRPr="00F33072" w:rsidRDefault="006B710E">
            <w:pPr>
              <w:pStyle w:val="styl0"/>
              <w:numPr>
                <w:ilvl w:val="0"/>
                <w:numId w:val="188"/>
              </w:numPr>
              <w:ind w:hanging="720"/>
            </w:pPr>
          </w:p>
        </w:tc>
        <w:tc>
          <w:tcPr>
            <w:tcW w:w="8201" w:type="dxa"/>
            <w:shd w:val="clear" w:color="auto" w:fill="auto"/>
          </w:tcPr>
          <w:p w14:paraId="63B1E195" w14:textId="77777777" w:rsidR="006B710E" w:rsidRPr="00F77B57" w:rsidRDefault="006B710E" w:rsidP="00C07EB1">
            <w:pPr>
              <w:pStyle w:val="Default"/>
              <w:jc w:val="both"/>
              <w:rPr>
                <w:color w:val="auto"/>
              </w:rPr>
            </w:pPr>
            <w:r w:rsidRPr="00F77B57">
              <w:rPr>
                <w:color w:val="auto"/>
              </w:rPr>
              <w:t>OSDn w terminie nie przekraczającym ostatniego dnia weryfikacji, o którym mowa w pkt</w:t>
            </w:r>
            <w:r>
              <w:rPr>
                <w:color w:val="auto"/>
              </w:rPr>
              <w:t>.</w:t>
            </w:r>
            <w:r w:rsidRPr="00F77B57">
              <w:rPr>
                <w:color w:val="auto"/>
              </w:rPr>
              <w:t xml:space="preserve"> </w:t>
            </w:r>
            <w:r w:rsidR="00BF3F12">
              <w:rPr>
                <w:color w:val="auto"/>
              </w:rPr>
              <w:t>D</w:t>
            </w:r>
            <w:r w:rsidRPr="00F77B57">
              <w:rPr>
                <w:color w:val="auto"/>
              </w:rPr>
              <w:t xml:space="preserve">.3.6. przekazuje do nowego sprzedawcy informację o pozytywnym lub negatywnym wyniku przeprowadzonej weryfikacji w postaci odpowiedniego kodu. </w:t>
            </w:r>
          </w:p>
          <w:p w14:paraId="3A27F7EE" w14:textId="77777777" w:rsidR="006B710E" w:rsidRPr="00F77B57" w:rsidRDefault="006B710E" w:rsidP="00C07EB1">
            <w:pPr>
              <w:pStyle w:val="Default"/>
              <w:jc w:val="both"/>
              <w:rPr>
                <w:color w:val="auto"/>
              </w:rPr>
            </w:pPr>
            <w:r w:rsidRPr="00F77B57">
              <w:rPr>
                <w:color w:val="auto"/>
              </w:rPr>
              <w:t xml:space="preserve">Listę kodów określających braki i </w:t>
            </w:r>
            <w:r w:rsidRPr="004636A3">
              <w:rPr>
                <w:color w:val="auto"/>
              </w:rPr>
              <w:t xml:space="preserve">błędy określa Załącznik nr </w:t>
            </w:r>
            <w:r w:rsidR="004636A3" w:rsidRPr="004636A3">
              <w:rPr>
                <w:color w:val="auto"/>
              </w:rPr>
              <w:t>3</w:t>
            </w:r>
            <w:r w:rsidRPr="004636A3">
              <w:rPr>
                <w:color w:val="auto"/>
              </w:rPr>
              <w:t xml:space="preserve"> do niniejszej IRiESD.</w:t>
            </w:r>
          </w:p>
        </w:tc>
      </w:tr>
      <w:tr w:rsidR="006B710E" w:rsidRPr="00F33072" w14:paraId="40267601" w14:textId="77777777" w:rsidTr="00357BB6">
        <w:tc>
          <w:tcPr>
            <w:tcW w:w="1010" w:type="dxa"/>
            <w:shd w:val="clear" w:color="auto" w:fill="auto"/>
          </w:tcPr>
          <w:p w14:paraId="2442B0AE" w14:textId="77777777" w:rsidR="006B710E" w:rsidRPr="00F33072" w:rsidRDefault="006B710E">
            <w:pPr>
              <w:pStyle w:val="styl0"/>
              <w:numPr>
                <w:ilvl w:val="0"/>
                <w:numId w:val="188"/>
              </w:numPr>
              <w:ind w:hanging="720"/>
            </w:pPr>
          </w:p>
        </w:tc>
        <w:tc>
          <w:tcPr>
            <w:tcW w:w="8201" w:type="dxa"/>
            <w:shd w:val="clear" w:color="auto" w:fill="auto"/>
          </w:tcPr>
          <w:p w14:paraId="2D80C586" w14:textId="77777777" w:rsidR="006B710E" w:rsidRPr="00F77B57" w:rsidRDefault="006B710E" w:rsidP="00C07EB1">
            <w:pPr>
              <w:pStyle w:val="Default"/>
              <w:jc w:val="both"/>
              <w:rPr>
                <w:color w:val="auto"/>
              </w:rPr>
            </w:pPr>
            <w:r>
              <w:rPr>
                <w:color w:val="auto"/>
              </w:rPr>
              <w:t xml:space="preserve">W przypadku pozytywnej weryfikacji powiadomienia </w:t>
            </w:r>
            <w:r w:rsidRPr="00F77B57">
              <w:rPr>
                <w:color w:val="auto"/>
              </w:rPr>
              <w:t xml:space="preserve">OSDn przekazuje do URDo informację o przyjęciu do realizacji nowej umowy sprzedaży energii elektrycznej lub umowy kompleksowej wraz z oznaczeniem nowego sprzedawcy. </w:t>
            </w:r>
          </w:p>
        </w:tc>
      </w:tr>
      <w:tr w:rsidR="006B710E" w:rsidRPr="00F33072" w14:paraId="5E66156A" w14:textId="77777777" w:rsidTr="00357BB6">
        <w:tc>
          <w:tcPr>
            <w:tcW w:w="1010" w:type="dxa"/>
            <w:shd w:val="clear" w:color="auto" w:fill="auto"/>
          </w:tcPr>
          <w:p w14:paraId="1E89D36A" w14:textId="77777777" w:rsidR="006B710E" w:rsidRPr="00F33072" w:rsidRDefault="006B710E">
            <w:pPr>
              <w:pStyle w:val="styl0"/>
              <w:numPr>
                <w:ilvl w:val="0"/>
                <w:numId w:val="188"/>
              </w:numPr>
              <w:ind w:hanging="720"/>
            </w:pPr>
          </w:p>
        </w:tc>
        <w:tc>
          <w:tcPr>
            <w:tcW w:w="8201" w:type="dxa"/>
            <w:shd w:val="clear" w:color="auto" w:fill="auto"/>
          </w:tcPr>
          <w:p w14:paraId="28805530" w14:textId="77777777" w:rsidR="006B710E" w:rsidRDefault="006B710E" w:rsidP="00C07EB1">
            <w:pPr>
              <w:pStyle w:val="Default"/>
              <w:jc w:val="both"/>
              <w:rPr>
                <w:color w:val="auto"/>
              </w:rPr>
            </w:pPr>
            <w:r w:rsidRPr="00F77B57">
              <w:rPr>
                <w:color w:val="auto"/>
              </w:rPr>
              <w:t xml:space="preserve">Ponowne rozpatrzenie powiadomienia, w przypadku weryfikacji negatywnej, </w:t>
            </w:r>
            <w:r w:rsidRPr="00F77B57">
              <w:rPr>
                <w:color w:val="auto"/>
              </w:rPr>
              <w:br/>
              <w:t>o której mowa w pkt</w:t>
            </w:r>
            <w:r>
              <w:rPr>
                <w:color w:val="auto"/>
              </w:rPr>
              <w:t>.</w:t>
            </w:r>
            <w:r w:rsidRPr="00F77B57">
              <w:rPr>
                <w:color w:val="auto"/>
              </w:rPr>
              <w:t xml:space="preserve"> </w:t>
            </w:r>
            <w:r w:rsidR="00BF3F12">
              <w:rPr>
                <w:color w:val="auto"/>
              </w:rPr>
              <w:t>D</w:t>
            </w:r>
            <w:r w:rsidRPr="00F77B57">
              <w:rPr>
                <w:color w:val="auto"/>
              </w:rPr>
              <w:t>.3.8., wymaga zgłoszenia umowy zgodnie z pkt</w:t>
            </w:r>
            <w:r>
              <w:rPr>
                <w:color w:val="auto"/>
              </w:rPr>
              <w:t>.</w:t>
            </w:r>
            <w:r w:rsidRPr="00F77B57">
              <w:rPr>
                <w:color w:val="auto"/>
              </w:rPr>
              <w:t xml:space="preserve"> </w:t>
            </w:r>
            <w:r w:rsidR="00BF3F12">
              <w:rPr>
                <w:color w:val="auto"/>
              </w:rPr>
              <w:t>D</w:t>
            </w:r>
            <w:r w:rsidRPr="00F77B57">
              <w:rPr>
                <w:color w:val="auto"/>
              </w:rPr>
              <w:t xml:space="preserve">.2.1. </w:t>
            </w:r>
          </w:p>
          <w:p w14:paraId="5E50D772" w14:textId="77777777" w:rsidR="003759F4" w:rsidRPr="00F77B57" w:rsidRDefault="003759F4" w:rsidP="00C07EB1">
            <w:pPr>
              <w:pStyle w:val="Default"/>
              <w:jc w:val="both"/>
              <w:rPr>
                <w:color w:val="auto"/>
              </w:rPr>
            </w:pPr>
          </w:p>
        </w:tc>
      </w:tr>
    </w:tbl>
    <w:p w14:paraId="0D507E05" w14:textId="77777777" w:rsidR="006B710E" w:rsidRDefault="003759F4" w:rsidP="006B710E">
      <w:pPr>
        <w:pStyle w:val="Nagwek2"/>
        <w:spacing w:before="120"/>
        <w:rPr>
          <w:szCs w:val="24"/>
        </w:rPr>
      </w:pPr>
      <w:bookmarkStart w:id="121" w:name="_Toc532193597"/>
      <w:bookmarkStart w:id="122" w:name="_Toc141963924"/>
      <w:r>
        <w:rPr>
          <w:szCs w:val="24"/>
        </w:rPr>
        <w:t>D</w:t>
      </w:r>
      <w:r w:rsidR="006B710E" w:rsidRPr="00BF3F12">
        <w:rPr>
          <w:szCs w:val="24"/>
        </w:rPr>
        <w:t>.4.</w:t>
      </w:r>
      <w:r w:rsidR="006B710E" w:rsidRPr="00BF3F12">
        <w:rPr>
          <w:szCs w:val="24"/>
        </w:rPr>
        <w:tab/>
        <w:t>ZASADY UDZIELANIA INFORMACJI I OBSŁUGI ODBIORCÓW</w:t>
      </w:r>
      <w:bookmarkEnd w:id="121"/>
      <w:bookmarkEnd w:id="122"/>
    </w:p>
    <w:p w14:paraId="63FF389E" w14:textId="77777777" w:rsidR="002E0463" w:rsidRPr="002E0463" w:rsidRDefault="002E0463" w:rsidP="002E0463"/>
    <w:tbl>
      <w:tblPr>
        <w:tblW w:w="9211" w:type="dxa"/>
        <w:tblInd w:w="-108" w:type="dxa"/>
        <w:tblCellMar>
          <w:left w:w="0" w:type="dxa"/>
          <w:right w:w="0" w:type="dxa"/>
        </w:tblCellMar>
        <w:tblLook w:val="01E0" w:firstRow="1" w:lastRow="1" w:firstColumn="1" w:lastColumn="1" w:noHBand="0" w:noVBand="0"/>
      </w:tblPr>
      <w:tblGrid>
        <w:gridCol w:w="1010"/>
        <w:gridCol w:w="8201"/>
      </w:tblGrid>
      <w:tr w:rsidR="006B710E" w:rsidRPr="00F45E8F" w14:paraId="4E0E203D" w14:textId="77777777" w:rsidTr="00357BB6">
        <w:tc>
          <w:tcPr>
            <w:tcW w:w="1010" w:type="dxa"/>
            <w:shd w:val="clear" w:color="auto" w:fill="auto"/>
          </w:tcPr>
          <w:p w14:paraId="512BE515" w14:textId="77777777" w:rsidR="006B710E" w:rsidRPr="00F45E8F" w:rsidRDefault="006B710E">
            <w:pPr>
              <w:pStyle w:val="styl0"/>
              <w:numPr>
                <w:ilvl w:val="0"/>
                <w:numId w:val="190"/>
              </w:numPr>
              <w:ind w:hanging="720"/>
            </w:pPr>
          </w:p>
        </w:tc>
        <w:tc>
          <w:tcPr>
            <w:tcW w:w="8201" w:type="dxa"/>
            <w:shd w:val="clear" w:color="auto" w:fill="auto"/>
          </w:tcPr>
          <w:p w14:paraId="1C002EBF" w14:textId="77777777" w:rsidR="006B710E" w:rsidRPr="00FE64AA" w:rsidRDefault="006B710E" w:rsidP="00A638AF">
            <w:pPr>
              <w:pStyle w:val="Default"/>
              <w:jc w:val="both"/>
              <w:rPr>
                <w:color w:val="auto"/>
              </w:rPr>
            </w:pPr>
            <w:r w:rsidRPr="00FE64AA">
              <w:rPr>
                <w:color w:val="auto"/>
              </w:rPr>
              <w:t xml:space="preserve">OSDn udziela informacji użytkownikom systemu oraz podmiotom ubiegającym się o przyłączenie do sieci nt. świadczonych usług dystrybucji oraz zasad </w:t>
            </w:r>
            <w:r w:rsidRPr="00FE64AA">
              <w:rPr>
                <w:color w:val="auto"/>
              </w:rPr>
              <w:br/>
              <w:t>i procedur zmiany sprzedawcy.</w:t>
            </w:r>
          </w:p>
        </w:tc>
      </w:tr>
      <w:tr w:rsidR="006B710E" w:rsidRPr="00F33072" w14:paraId="4EB4006A" w14:textId="77777777" w:rsidTr="00357BB6">
        <w:tc>
          <w:tcPr>
            <w:tcW w:w="1010" w:type="dxa"/>
            <w:shd w:val="clear" w:color="auto" w:fill="auto"/>
          </w:tcPr>
          <w:p w14:paraId="0EF7AF9C" w14:textId="77777777" w:rsidR="006B710E" w:rsidRPr="00F33072" w:rsidRDefault="006B710E">
            <w:pPr>
              <w:pStyle w:val="styl0"/>
              <w:numPr>
                <w:ilvl w:val="0"/>
                <w:numId w:val="190"/>
              </w:numPr>
              <w:ind w:hanging="720"/>
            </w:pPr>
          </w:p>
        </w:tc>
        <w:tc>
          <w:tcPr>
            <w:tcW w:w="8201" w:type="dxa"/>
            <w:shd w:val="clear" w:color="auto" w:fill="auto"/>
          </w:tcPr>
          <w:p w14:paraId="4F18B948" w14:textId="77777777" w:rsidR="006B710E" w:rsidRPr="00FE64AA" w:rsidRDefault="006B710E" w:rsidP="00A638AF">
            <w:pPr>
              <w:pStyle w:val="Default"/>
              <w:jc w:val="both"/>
              <w:rPr>
                <w:color w:val="auto"/>
              </w:rPr>
            </w:pPr>
            <w:r w:rsidRPr="00FE64AA">
              <w:rPr>
                <w:color w:val="auto"/>
              </w:rPr>
              <w:t xml:space="preserve">Informacje ogólne udostępnione są przez OSDn: </w:t>
            </w:r>
          </w:p>
          <w:p w14:paraId="0288CF2F" w14:textId="77777777" w:rsidR="006B710E" w:rsidRPr="00FE64AA" w:rsidRDefault="006B710E">
            <w:pPr>
              <w:pStyle w:val="Default"/>
              <w:numPr>
                <w:ilvl w:val="0"/>
                <w:numId w:val="182"/>
              </w:numPr>
              <w:autoSpaceDE/>
              <w:autoSpaceDN/>
              <w:adjustRightInd/>
              <w:spacing w:line="276" w:lineRule="auto"/>
              <w:ind w:left="357" w:hanging="357"/>
              <w:jc w:val="both"/>
              <w:rPr>
                <w:color w:val="auto"/>
              </w:rPr>
            </w:pPr>
            <w:r w:rsidRPr="00FE64AA">
              <w:rPr>
                <w:color w:val="auto"/>
              </w:rPr>
              <w:t xml:space="preserve">na stronach internetowych OSDn, </w:t>
            </w:r>
          </w:p>
          <w:p w14:paraId="5580F140" w14:textId="77777777" w:rsidR="006B710E" w:rsidRPr="00FE64AA" w:rsidRDefault="006B710E">
            <w:pPr>
              <w:pStyle w:val="Default"/>
              <w:numPr>
                <w:ilvl w:val="0"/>
                <w:numId w:val="182"/>
              </w:numPr>
              <w:autoSpaceDE/>
              <w:autoSpaceDN/>
              <w:adjustRightInd/>
              <w:spacing w:line="276" w:lineRule="auto"/>
              <w:ind w:left="357" w:hanging="357"/>
              <w:jc w:val="both"/>
              <w:rPr>
                <w:color w:val="auto"/>
              </w:rPr>
            </w:pPr>
            <w:r w:rsidRPr="00FE64AA">
              <w:rPr>
                <w:color w:val="auto"/>
              </w:rPr>
              <w:t>w niniejszej IRiESD opublikowanej na stronach internetowych OSDn.</w:t>
            </w:r>
          </w:p>
        </w:tc>
      </w:tr>
      <w:tr w:rsidR="006B710E" w:rsidRPr="00F33072" w14:paraId="25216494" w14:textId="77777777" w:rsidTr="00825E2E">
        <w:tc>
          <w:tcPr>
            <w:tcW w:w="1010" w:type="dxa"/>
            <w:shd w:val="clear" w:color="auto" w:fill="auto"/>
          </w:tcPr>
          <w:p w14:paraId="6A80BD05" w14:textId="77777777" w:rsidR="006B710E" w:rsidRPr="00F33072" w:rsidRDefault="006B710E">
            <w:pPr>
              <w:pStyle w:val="styl0"/>
              <w:numPr>
                <w:ilvl w:val="0"/>
                <w:numId w:val="190"/>
              </w:numPr>
              <w:ind w:hanging="720"/>
            </w:pPr>
          </w:p>
        </w:tc>
        <w:tc>
          <w:tcPr>
            <w:tcW w:w="8201" w:type="dxa"/>
            <w:shd w:val="clear" w:color="auto" w:fill="auto"/>
          </w:tcPr>
          <w:p w14:paraId="67E052D6" w14:textId="77777777" w:rsidR="006B710E" w:rsidRPr="00FE64AA" w:rsidRDefault="006B710E" w:rsidP="00A638AF">
            <w:pPr>
              <w:pStyle w:val="Default"/>
              <w:jc w:val="both"/>
              <w:rPr>
                <w:color w:val="auto"/>
              </w:rPr>
            </w:pPr>
            <w:r w:rsidRPr="00FE64AA">
              <w:rPr>
                <w:color w:val="auto"/>
              </w:rPr>
              <w:t xml:space="preserve">W celu uzyskania szczegółowych informacji odbiorca może złożyć zapytanie następującymi drogami: </w:t>
            </w:r>
          </w:p>
          <w:p w14:paraId="23D6DCC5" w14:textId="77777777" w:rsidR="006B710E" w:rsidRPr="00FE64AA" w:rsidRDefault="006B710E">
            <w:pPr>
              <w:pStyle w:val="Default"/>
              <w:numPr>
                <w:ilvl w:val="0"/>
                <w:numId w:val="183"/>
              </w:numPr>
              <w:autoSpaceDE/>
              <w:autoSpaceDN/>
              <w:adjustRightInd/>
              <w:spacing w:line="276" w:lineRule="auto"/>
              <w:ind w:left="357" w:hanging="357"/>
              <w:jc w:val="both"/>
              <w:rPr>
                <w:color w:val="auto"/>
              </w:rPr>
            </w:pPr>
            <w:r w:rsidRPr="00FE64AA">
              <w:rPr>
                <w:color w:val="auto"/>
              </w:rPr>
              <w:t xml:space="preserve">osobiście w siedzibie OSDn, </w:t>
            </w:r>
          </w:p>
          <w:p w14:paraId="04E0432B" w14:textId="77777777" w:rsidR="006B710E" w:rsidRPr="00FE64AA" w:rsidRDefault="006B710E">
            <w:pPr>
              <w:pStyle w:val="Default"/>
              <w:numPr>
                <w:ilvl w:val="0"/>
                <w:numId w:val="183"/>
              </w:numPr>
              <w:autoSpaceDE/>
              <w:autoSpaceDN/>
              <w:adjustRightInd/>
              <w:spacing w:line="276" w:lineRule="auto"/>
              <w:ind w:left="357" w:hanging="357"/>
              <w:jc w:val="both"/>
              <w:rPr>
                <w:color w:val="auto"/>
              </w:rPr>
            </w:pPr>
            <w:r w:rsidRPr="00FE64AA">
              <w:rPr>
                <w:color w:val="auto"/>
              </w:rPr>
              <w:t xml:space="preserve">listownie na adres OSDn, </w:t>
            </w:r>
          </w:p>
          <w:p w14:paraId="2A7D74AE" w14:textId="77777777" w:rsidR="006B710E" w:rsidRPr="00FE64AA" w:rsidRDefault="006B710E">
            <w:pPr>
              <w:pStyle w:val="Default"/>
              <w:numPr>
                <w:ilvl w:val="0"/>
                <w:numId w:val="183"/>
              </w:numPr>
              <w:autoSpaceDE/>
              <w:autoSpaceDN/>
              <w:adjustRightInd/>
              <w:spacing w:line="276" w:lineRule="auto"/>
              <w:ind w:left="357" w:hanging="357"/>
              <w:jc w:val="both"/>
              <w:rPr>
                <w:color w:val="auto"/>
              </w:rPr>
            </w:pPr>
            <w:r w:rsidRPr="00FE64AA">
              <w:rPr>
                <w:color w:val="auto"/>
              </w:rPr>
              <w:t xml:space="preserve">pocztą elektroniczną, </w:t>
            </w:r>
          </w:p>
          <w:p w14:paraId="29F2098F" w14:textId="77777777" w:rsidR="006B710E" w:rsidRPr="00FE64AA" w:rsidRDefault="006B710E">
            <w:pPr>
              <w:pStyle w:val="Default"/>
              <w:numPr>
                <w:ilvl w:val="0"/>
                <w:numId w:val="183"/>
              </w:numPr>
              <w:autoSpaceDE/>
              <w:autoSpaceDN/>
              <w:adjustRightInd/>
              <w:spacing w:line="276" w:lineRule="auto"/>
              <w:ind w:left="357" w:hanging="357"/>
              <w:jc w:val="both"/>
              <w:rPr>
                <w:color w:val="auto"/>
              </w:rPr>
            </w:pPr>
            <w:r w:rsidRPr="00FE64AA">
              <w:rPr>
                <w:color w:val="auto"/>
              </w:rPr>
              <w:t xml:space="preserve">faksem, </w:t>
            </w:r>
          </w:p>
          <w:p w14:paraId="45657E54" w14:textId="77777777" w:rsidR="006B710E" w:rsidRPr="00FE64AA" w:rsidRDefault="006B710E">
            <w:pPr>
              <w:pStyle w:val="Default"/>
              <w:numPr>
                <w:ilvl w:val="0"/>
                <w:numId w:val="183"/>
              </w:numPr>
              <w:autoSpaceDE/>
              <w:autoSpaceDN/>
              <w:adjustRightInd/>
              <w:spacing w:line="276" w:lineRule="auto"/>
              <w:ind w:left="357" w:hanging="357"/>
              <w:jc w:val="both"/>
              <w:rPr>
                <w:color w:val="auto"/>
              </w:rPr>
            </w:pPr>
            <w:r w:rsidRPr="00FE64AA">
              <w:rPr>
                <w:color w:val="auto"/>
              </w:rPr>
              <w:t xml:space="preserve">telefonicznie. </w:t>
            </w:r>
          </w:p>
          <w:p w14:paraId="61AC2C03" w14:textId="77777777" w:rsidR="006B710E" w:rsidRPr="00FE64AA" w:rsidRDefault="006B710E" w:rsidP="00A638AF">
            <w:pPr>
              <w:pStyle w:val="styl0"/>
              <w:rPr>
                <w:szCs w:val="24"/>
              </w:rPr>
            </w:pPr>
            <w:r w:rsidRPr="00FE64AA">
              <w:rPr>
                <w:szCs w:val="24"/>
              </w:rPr>
              <w:t xml:space="preserve">OSDn udziela odbiorcy odpowiedzi dotyczących informacji szczegółowych taką drogą jaką zostało złożone zapytanie, chyba że odbiorca wskaże inną drogę udzielenia odpowiedzi. </w:t>
            </w:r>
          </w:p>
        </w:tc>
      </w:tr>
      <w:tr w:rsidR="006B710E" w:rsidRPr="00F33072" w14:paraId="25FF9DD3" w14:textId="77777777" w:rsidTr="00825E2E">
        <w:tc>
          <w:tcPr>
            <w:tcW w:w="1010" w:type="dxa"/>
            <w:shd w:val="clear" w:color="auto" w:fill="auto"/>
          </w:tcPr>
          <w:p w14:paraId="0D1C546A" w14:textId="77777777" w:rsidR="006B710E" w:rsidRPr="00F33072" w:rsidRDefault="006B710E">
            <w:pPr>
              <w:pStyle w:val="styl0"/>
              <w:numPr>
                <w:ilvl w:val="0"/>
                <w:numId w:val="190"/>
              </w:numPr>
              <w:ind w:hanging="720"/>
            </w:pPr>
          </w:p>
        </w:tc>
        <w:tc>
          <w:tcPr>
            <w:tcW w:w="8201" w:type="dxa"/>
            <w:shd w:val="clear" w:color="auto" w:fill="auto"/>
          </w:tcPr>
          <w:p w14:paraId="12DF2766" w14:textId="77777777" w:rsidR="006B710E" w:rsidRPr="00FE64AA" w:rsidRDefault="006B710E" w:rsidP="00A638AF">
            <w:pPr>
              <w:pStyle w:val="styl0"/>
              <w:rPr>
                <w:sz w:val="23"/>
                <w:szCs w:val="23"/>
              </w:rPr>
            </w:pPr>
            <w:r w:rsidRPr="00FE64AA">
              <w:rPr>
                <w:sz w:val="23"/>
                <w:szCs w:val="23"/>
              </w:rPr>
              <w:t>OSDn informuje odbiorców o warunkach zmiany sprzedawcy, a w szczególności o:</w:t>
            </w:r>
          </w:p>
          <w:p w14:paraId="15F73313" w14:textId="77777777" w:rsidR="006B710E" w:rsidRPr="00FE64AA" w:rsidRDefault="006B710E">
            <w:pPr>
              <w:pStyle w:val="styl0"/>
              <w:numPr>
                <w:ilvl w:val="0"/>
                <w:numId w:val="176"/>
              </w:numPr>
              <w:spacing w:line="276" w:lineRule="auto"/>
              <w:ind w:left="357" w:hanging="357"/>
            </w:pPr>
            <w:r w:rsidRPr="00FE64AA">
              <w:t>uwarunkowaniach formalno-prawnych,</w:t>
            </w:r>
          </w:p>
          <w:p w14:paraId="476F0A29" w14:textId="77777777" w:rsidR="006B710E" w:rsidRPr="00FE64AA" w:rsidRDefault="006B710E">
            <w:pPr>
              <w:pStyle w:val="styl0"/>
              <w:numPr>
                <w:ilvl w:val="0"/>
                <w:numId w:val="176"/>
              </w:numPr>
              <w:spacing w:line="276" w:lineRule="auto"/>
              <w:ind w:left="357" w:hanging="357"/>
            </w:pPr>
            <w:r w:rsidRPr="00FE64AA">
              <w:t>ogólnych zasadach funkcjonowania rynku bilansującego,</w:t>
            </w:r>
          </w:p>
          <w:p w14:paraId="09E5B1D2" w14:textId="77777777" w:rsidR="006B710E" w:rsidRPr="00FE64AA" w:rsidRDefault="006B710E">
            <w:pPr>
              <w:pStyle w:val="styl0"/>
              <w:numPr>
                <w:ilvl w:val="0"/>
                <w:numId w:val="176"/>
              </w:numPr>
              <w:spacing w:line="276" w:lineRule="auto"/>
              <w:ind w:left="357" w:hanging="357"/>
            </w:pPr>
            <w:r w:rsidRPr="00FE64AA">
              <w:t>procedurach zmiany sprzedawcy,</w:t>
            </w:r>
          </w:p>
          <w:p w14:paraId="4BE3807B" w14:textId="77777777" w:rsidR="006B710E" w:rsidRPr="00FE64AA" w:rsidRDefault="006B710E">
            <w:pPr>
              <w:pStyle w:val="styl0"/>
              <w:numPr>
                <w:ilvl w:val="0"/>
                <w:numId w:val="176"/>
              </w:numPr>
              <w:spacing w:line="276" w:lineRule="auto"/>
              <w:ind w:left="357" w:hanging="357"/>
            </w:pPr>
            <w:r w:rsidRPr="00FE64AA">
              <w:t>wymaganych umowach,</w:t>
            </w:r>
          </w:p>
          <w:p w14:paraId="71C4DB8D" w14:textId="77777777" w:rsidR="006B710E" w:rsidRPr="00FE64AA" w:rsidRDefault="006B710E">
            <w:pPr>
              <w:pStyle w:val="styl0"/>
              <w:numPr>
                <w:ilvl w:val="0"/>
                <w:numId w:val="176"/>
              </w:numPr>
              <w:spacing w:line="276" w:lineRule="auto"/>
              <w:ind w:left="357" w:hanging="357"/>
            </w:pPr>
            <w:r w:rsidRPr="00FE64AA">
              <w:t>prawach i obowiązkach podmiotów korzystających z prawa wyboru sprzedawcy,</w:t>
            </w:r>
          </w:p>
          <w:p w14:paraId="2827AD81" w14:textId="77777777" w:rsidR="006B710E" w:rsidRPr="00FE64AA" w:rsidRDefault="006B710E">
            <w:pPr>
              <w:pStyle w:val="styl0"/>
              <w:numPr>
                <w:ilvl w:val="0"/>
                <w:numId w:val="176"/>
              </w:numPr>
              <w:spacing w:line="276" w:lineRule="auto"/>
              <w:ind w:left="357" w:hanging="357"/>
            </w:pPr>
            <w:r w:rsidRPr="00FE64AA">
              <w:t>procedurach powiadamiania o zawartych umowach sprzedaży energii elektrycznej oraz weryfikacji powiadomień,</w:t>
            </w:r>
          </w:p>
          <w:p w14:paraId="1537FC51" w14:textId="77777777" w:rsidR="006B710E" w:rsidRPr="00FE64AA" w:rsidRDefault="006B710E">
            <w:pPr>
              <w:pStyle w:val="styl0"/>
              <w:numPr>
                <w:ilvl w:val="0"/>
                <w:numId w:val="176"/>
              </w:numPr>
              <w:spacing w:line="276" w:lineRule="auto"/>
              <w:ind w:left="357" w:hanging="357"/>
            </w:pPr>
            <w:r w:rsidRPr="00FE64AA">
              <w:t>zasadach ustanawiania i zmiany POB,</w:t>
            </w:r>
          </w:p>
          <w:p w14:paraId="1FD769B9" w14:textId="77777777" w:rsidR="006B710E" w:rsidRPr="00FE64AA" w:rsidRDefault="006B710E">
            <w:pPr>
              <w:pStyle w:val="styl0"/>
              <w:numPr>
                <w:ilvl w:val="0"/>
                <w:numId w:val="176"/>
              </w:numPr>
              <w:spacing w:line="276" w:lineRule="auto"/>
              <w:ind w:left="357" w:hanging="357"/>
            </w:pPr>
            <w:r w:rsidRPr="00FE64AA">
              <w:t>warunkach świadczenia usług dystrybucyjnych.</w:t>
            </w:r>
          </w:p>
        </w:tc>
      </w:tr>
      <w:tr w:rsidR="006B710E" w:rsidRPr="00F33072" w14:paraId="1B838CDE" w14:textId="77777777" w:rsidTr="00825E2E">
        <w:tc>
          <w:tcPr>
            <w:tcW w:w="1010" w:type="dxa"/>
            <w:shd w:val="clear" w:color="auto" w:fill="auto"/>
          </w:tcPr>
          <w:p w14:paraId="5A56634B" w14:textId="77777777" w:rsidR="006B710E" w:rsidRPr="00F33072" w:rsidRDefault="006B710E">
            <w:pPr>
              <w:pStyle w:val="styl0"/>
              <w:numPr>
                <w:ilvl w:val="0"/>
                <w:numId w:val="190"/>
              </w:numPr>
              <w:ind w:hanging="720"/>
            </w:pPr>
          </w:p>
        </w:tc>
        <w:tc>
          <w:tcPr>
            <w:tcW w:w="8201" w:type="dxa"/>
            <w:shd w:val="clear" w:color="auto" w:fill="auto"/>
          </w:tcPr>
          <w:p w14:paraId="3F2C2490" w14:textId="77777777" w:rsidR="00740D03" w:rsidRPr="00FE64AA" w:rsidRDefault="006B710E" w:rsidP="00A638AF">
            <w:pPr>
              <w:pStyle w:val="styl0"/>
            </w:pPr>
            <w:r w:rsidRPr="00FE64AA">
              <w:t>Lista sprzedawców mających zawarte GUD i GUD-K z OSDn jest publikowana na stronie internetowej OSDn.</w:t>
            </w:r>
          </w:p>
        </w:tc>
      </w:tr>
      <w:tr w:rsidR="00740D03" w:rsidRPr="00F33072" w14:paraId="0F330B5C" w14:textId="77777777" w:rsidTr="00825E2E">
        <w:tc>
          <w:tcPr>
            <w:tcW w:w="1010" w:type="dxa"/>
            <w:shd w:val="clear" w:color="auto" w:fill="auto"/>
          </w:tcPr>
          <w:p w14:paraId="20BFF159" w14:textId="77777777" w:rsidR="00740D03" w:rsidRPr="00F33072" w:rsidRDefault="00740D03">
            <w:pPr>
              <w:pStyle w:val="styl0"/>
              <w:numPr>
                <w:ilvl w:val="0"/>
                <w:numId w:val="190"/>
              </w:numPr>
              <w:ind w:hanging="720"/>
            </w:pPr>
          </w:p>
        </w:tc>
        <w:tc>
          <w:tcPr>
            <w:tcW w:w="8201" w:type="dxa"/>
            <w:shd w:val="clear" w:color="auto" w:fill="auto"/>
          </w:tcPr>
          <w:p w14:paraId="7E9AAEDB" w14:textId="2B9E2265" w:rsidR="00941DB5" w:rsidRPr="00FE64AA" w:rsidRDefault="00740D03" w:rsidP="00941DB5">
            <w:pPr>
              <w:pStyle w:val="styl0"/>
            </w:pPr>
            <w:r>
              <w:t xml:space="preserve">Na wniosek URD, OSDn przedstawia aktualną listę sprzedawców, o której mowa </w:t>
            </w:r>
            <w:r w:rsidR="00E77553">
              <w:br/>
            </w:r>
            <w:r>
              <w:t>w pkt. A.3.6. lit. a) lub b).</w:t>
            </w:r>
          </w:p>
        </w:tc>
      </w:tr>
      <w:tr w:rsidR="00941DB5" w:rsidRPr="00F33072" w14:paraId="589519AE" w14:textId="77777777" w:rsidTr="00825E2E">
        <w:tc>
          <w:tcPr>
            <w:tcW w:w="1010" w:type="dxa"/>
            <w:shd w:val="clear" w:color="auto" w:fill="auto"/>
          </w:tcPr>
          <w:p w14:paraId="574A3DB8" w14:textId="77777777" w:rsidR="00941DB5" w:rsidRPr="00F33072" w:rsidRDefault="00941DB5">
            <w:pPr>
              <w:pStyle w:val="styl0"/>
              <w:numPr>
                <w:ilvl w:val="0"/>
                <w:numId w:val="190"/>
              </w:numPr>
              <w:ind w:hanging="720"/>
            </w:pPr>
          </w:p>
        </w:tc>
        <w:tc>
          <w:tcPr>
            <w:tcW w:w="8201" w:type="dxa"/>
            <w:shd w:val="clear" w:color="auto" w:fill="auto"/>
          </w:tcPr>
          <w:p w14:paraId="562EB2FB" w14:textId="12D43D71" w:rsidR="00941DB5" w:rsidRDefault="00941DB5" w:rsidP="00A638AF">
            <w:pPr>
              <w:pStyle w:val="styl0"/>
            </w:pPr>
            <w:r>
              <w:rPr>
                <w:color w:val="000000"/>
              </w:rPr>
              <w:t>OSDn oraz Sprzedawcy umieszczają kod PPE na wystawianych przez siebie fakturach dla URD z tytułu sprzedaży energii elektrycznej, świadczonych usług dystrybucji lub świadczonej usługi kompleksowej</w:t>
            </w:r>
            <w:r w:rsidR="00845A29">
              <w:rPr>
                <w:color w:val="000000"/>
              </w:rPr>
              <w:t>.</w:t>
            </w:r>
          </w:p>
        </w:tc>
      </w:tr>
    </w:tbl>
    <w:p w14:paraId="34478F61" w14:textId="77777777" w:rsidR="00825E2E" w:rsidRDefault="00825E2E" w:rsidP="00A638AF">
      <w:pPr>
        <w:tabs>
          <w:tab w:val="left" w:pos="1001"/>
        </w:tabs>
        <w:spacing w:line="234" w:lineRule="auto"/>
        <w:ind w:right="986"/>
        <w:rPr>
          <w:rFonts w:eastAsia="Times New Roman"/>
          <w:b/>
          <w:sz w:val="26"/>
        </w:rPr>
      </w:pPr>
    </w:p>
    <w:p w14:paraId="3854569A" w14:textId="77777777" w:rsidR="00572BA3" w:rsidRPr="00825E2E" w:rsidRDefault="00825E2E" w:rsidP="00100C62">
      <w:pPr>
        <w:pStyle w:val="Nagwek1"/>
        <w:ind w:left="567" w:hanging="567"/>
        <w:jc w:val="both"/>
      </w:pPr>
      <w:bookmarkStart w:id="123" w:name="_Toc141963925"/>
      <w:r w:rsidRPr="00825E2E">
        <w:t>E. PROCEDURY USTANAWIANIA I ZMIANY PODMIOTÓW ODPOWIEDZIALNYCH ZA BILANSOWANIE HANDLOWE</w:t>
      </w:r>
      <w:bookmarkEnd w:id="123"/>
      <w:r w:rsidRPr="00825E2E">
        <w:t xml:space="preserve"> </w:t>
      </w:r>
    </w:p>
    <w:p w14:paraId="168B2E09" w14:textId="77777777" w:rsidR="00572BA3" w:rsidRDefault="00572BA3">
      <w:pPr>
        <w:spacing w:line="200" w:lineRule="exact"/>
        <w:rPr>
          <w:rFonts w:eastAsia="Times New Roman"/>
        </w:rPr>
      </w:pPr>
    </w:p>
    <w:p w14:paraId="7471CBCF" w14:textId="77777777" w:rsidR="00C44BE8" w:rsidRDefault="00C44BE8">
      <w:pPr>
        <w:spacing w:line="200" w:lineRule="exact"/>
        <w:rPr>
          <w:rFonts w:eastAsia="Times New Roman"/>
        </w:rPr>
      </w:pPr>
    </w:p>
    <w:tbl>
      <w:tblPr>
        <w:tblW w:w="0" w:type="auto"/>
        <w:tblInd w:w="-108" w:type="dxa"/>
        <w:tblCellMar>
          <w:left w:w="0" w:type="dxa"/>
          <w:right w:w="0" w:type="dxa"/>
        </w:tblCellMar>
        <w:tblLook w:val="01E0" w:firstRow="1" w:lastRow="1" w:firstColumn="1" w:lastColumn="1" w:noHBand="0" w:noVBand="0"/>
      </w:tblPr>
      <w:tblGrid>
        <w:gridCol w:w="1127"/>
        <w:gridCol w:w="8115"/>
      </w:tblGrid>
      <w:tr w:rsidR="00410B1B" w:rsidRPr="00093EC2" w14:paraId="0DD4FDF6" w14:textId="77777777" w:rsidTr="00357BB6">
        <w:trPr>
          <w:trHeight w:val="525"/>
        </w:trPr>
        <w:tc>
          <w:tcPr>
            <w:tcW w:w="1135" w:type="dxa"/>
            <w:shd w:val="clear" w:color="auto" w:fill="auto"/>
          </w:tcPr>
          <w:p w14:paraId="4CA4BB69" w14:textId="77777777" w:rsidR="00C44BE8" w:rsidRPr="002B5135" w:rsidRDefault="00C44BE8" w:rsidP="005213E9">
            <w:r>
              <w:t>E</w:t>
            </w:r>
            <w:r w:rsidRPr="002B5135">
              <w:t>.1.</w:t>
            </w:r>
          </w:p>
        </w:tc>
        <w:tc>
          <w:tcPr>
            <w:tcW w:w="8186" w:type="dxa"/>
            <w:shd w:val="clear" w:color="auto" w:fill="auto"/>
          </w:tcPr>
          <w:p w14:paraId="66B684AF" w14:textId="5BFA2CA9" w:rsidR="00C44BE8" w:rsidRPr="004616E6" w:rsidRDefault="00C44BE8" w:rsidP="00E43500">
            <w:pPr>
              <w:spacing w:line="276" w:lineRule="auto"/>
              <w:jc w:val="both"/>
            </w:pPr>
            <w:r w:rsidRPr="00093EC2">
              <w:t xml:space="preserve">Procedura ustanawiania i zmiany podmiotu odpowiedzialnego za bilansowanie handlowe (POB) przebiega zgodnie z zapisami IRiESD OSDp, </w:t>
            </w:r>
            <w:r w:rsidR="00607CAF">
              <w:t>WDB</w:t>
            </w:r>
            <w:r w:rsidRPr="00093EC2">
              <w:t xml:space="preserve"> oraz umowy, </w:t>
            </w:r>
            <w:r w:rsidR="000E5EC4">
              <w:br/>
            </w:r>
            <w:r w:rsidRPr="00093EC2">
              <w:t xml:space="preserve">o której mowa w </w:t>
            </w:r>
            <w:r w:rsidRPr="004616E6">
              <w:t>pkt. A.4.1.</w:t>
            </w:r>
          </w:p>
          <w:p w14:paraId="030D09BD" w14:textId="77777777" w:rsidR="00C44BE8" w:rsidRPr="00093EC2" w:rsidRDefault="00C44BE8" w:rsidP="00E43500">
            <w:pPr>
              <w:spacing w:line="276" w:lineRule="auto"/>
              <w:jc w:val="both"/>
            </w:pPr>
            <w:r w:rsidRPr="004616E6">
              <w:t>POB jest ustanawiany przez:</w:t>
            </w:r>
            <w:r w:rsidRPr="00093EC2">
              <w:t xml:space="preserve"> </w:t>
            </w:r>
          </w:p>
          <w:p w14:paraId="263B5B2C" w14:textId="77777777" w:rsidR="00C44BE8" w:rsidRPr="00093EC2" w:rsidRDefault="00C44BE8">
            <w:pPr>
              <w:numPr>
                <w:ilvl w:val="0"/>
                <w:numId w:val="178"/>
              </w:numPr>
              <w:spacing w:line="276" w:lineRule="auto"/>
              <w:ind w:left="317" w:hanging="317"/>
              <w:jc w:val="both"/>
            </w:pPr>
            <w:r w:rsidRPr="00093EC2">
              <w:t>Sprzedawcę, który zamierza sprzedawać energię elektryczną URD typu odbiorca (URDo), przyłączonemu do sieci dystrybucyjnej OSDn</w:t>
            </w:r>
            <w:r>
              <w:t>,</w:t>
            </w:r>
            <w:r w:rsidRPr="00093EC2">
              <w:t xml:space="preserve"> </w:t>
            </w:r>
          </w:p>
          <w:p w14:paraId="4CBB2663" w14:textId="77777777" w:rsidR="00C44BE8" w:rsidRDefault="00C44BE8">
            <w:pPr>
              <w:numPr>
                <w:ilvl w:val="0"/>
                <w:numId w:val="178"/>
              </w:numPr>
              <w:spacing w:line="276" w:lineRule="auto"/>
              <w:ind w:left="317" w:hanging="317"/>
              <w:jc w:val="both"/>
            </w:pPr>
            <w:r w:rsidRPr="00093EC2">
              <w:t>URD typu wytwórca (URDw), przyłączonego do sieci dystrybucyjnej OSDn</w:t>
            </w:r>
            <w:r w:rsidR="00027A24">
              <w:t>,</w:t>
            </w:r>
          </w:p>
          <w:p w14:paraId="0BEE1BA1" w14:textId="77777777" w:rsidR="00027A24" w:rsidRDefault="00027A24">
            <w:pPr>
              <w:numPr>
                <w:ilvl w:val="0"/>
                <w:numId w:val="178"/>
              </w:numPr>
              <w:spacing w:line="276" w:lineRule="auto"/>
              <w:ind w:left="317" w:hanging="317"/>
              <w:jc w:val="both"/>
            </w:pPr>
            <w:r>
              <w:t>URD</w:t>
            </w:r>
            <w:r w:rsidRPr="00027A24">
              <w:rPr>
                <w:vertAlign w:val="subscript"/>
              </w:rPr>
              <w:t>ME</w:t>
            </w:r>
            <w:r>
              <w:t xml:space="preserve"> przyłączonego do sieci OSDn.</w:t>
            </w:r>
          </w:p>
          <w:p w14:paraId="4E2573B6" w14:textId="3EC8349B" w:rsidR="00027A24" w:rsidRPr="00093EC2" w:rsidRDefault="00027A24" w:rsidP="00E43500">
            <w:pPr>
              <w:spacing w:line="276" w:lineRule="auto"/>
              <w:jc w:val="both"/>
            </w:pPr>
            <w:r>
              <w:t>W przypadku URD</w:t>
            </w:r>
            <w:r w:rsidRPr="00027A24">
              <w:rPr>
                <w:vertAlign w:val="subscript"/>
              </w:rPr>
              <w:t>O</w:t>
            </w:r>
            <w:r>
              <w:t xml:space="preserve"> prz</w:t>
            </w:r>
            <w:r w:rsidR="007E4E85">
              <w:t>yłączonego do sieci OSDn, POB jest wskazywany przez sprzedawcę, który zawarł z tym URD</w:t>
            </w:r>
            <w:r w:rsidR="007E4E85" w:rsidRPr="007E4E85">
              <w:rPr>
                <w:vertAlign w:val="subscript"/>
              </w:rPr>
              <w:t>O</w:t>
            </w:r>
            <w:r w:rsidR="007E4E85">
              <w:t xml:space="preserve"> umowę sprzedaży labo umowę kompleksową. </w:t>
            </w:r>
          </w:p>
        </w:tc>
      </w:tr>
      <w:tr w:rsidR="00410B1B" w:rsidRPr="00093EC2" w14:paraId="3C3854A3" w14:textId="77777777" w:rsidTr="00856FE3">
        <w:trPr>
          <w:trHeight w:val="284"/>
        </w:trPr>
        <w:tc>
          <w:tcPr>
            <w:tcW w:w="1135" w:type="dxa"/>
            <w:shd w:val="clear" w:color="auto" w:fill="auto"/>
          </w:tcPr>
          <w:p w14:paraId="3F1F8EF9" w14:textId="4B826708" w:rsidR="00C44BE8" w:rsidRPr="002B5135" w:rsidRDefault="00C44BE8" w:rsidP="00554DD1">
            <w:pPr>
              <w:spacing w:line="276" w:lineRule="auto"/>
            </w:pPr>
            <w:r>
              <w:t>E</w:t>
            </w:r>
            <w:r w:rsidRPr="002B5135">
              <w:t>.2.</w:t>
            </w:r>
          </w:p>
        </w:tc>
        <w:tc>
          <w:tcPr>
            <w:tcW w:w="8186" w:type="dxa"/>
            <w:shd w:val="clear" w:color="auto" w:fill="auto"/>
          </w:tcPr>
          <w:p w14:paraId="4312B79A" w14:textId="77777777" w:rsidR="009A73F5" w:rsidRPr="003C2553" w:rsidRDefault="009A73F5" w:rsidP="00554DD1">
            <w:pPr>
              <w:pStyle w:val="Tekstpodstawowy"/>
              <w:spacing w:before="0" w:line="276" w:lineRule="auto"/>
              <w:rPr>
                <w:szCs w:val="24"/>
                <w:lang w:eastAsia="pl-PL"/>
              </w:rPr>
            </w:pPr>
            <w:r w:rsidRPr="003C2553">
              <w:rPr>
                <w:szCs w:val="24"/>
                <w:lang w:eastAsia="pl-PL"/>
              </w:rPr>
              <w:t>Proces ustanawiania i zmiany POB odpowiedzialnego za bilansowanie handlowe sprzedawcy, URDw lub URD</w:t>
            </w:r>
            <w:r w:rsidRPr="003C2553">
              <w:rPr>
                <w:szCs w:val="24"/>
                <w:vertAlign w:val="subscript"/>
                <w:lang w:eastAsia="pl-PL"/>
              </w:rPr>
              <w:t>ME</w:t>
            </w:r>
            <w:r w:rsidRPr="003C2553">
              <w:rPr>
                <w:szCs w:val="24"/>
                <w:lang w:eastAsia="pl-PL"/>
              </w:rPr>
              <w:t xml:space="preserve"> jest realizowany przez OSDp.</w:t>
            </w:r>
          </w:p>
          <w:p w14:paraId="1D37F668" w14:textId="77777777" w:rsidR="00C44BE8" w:rsidRDefault="009A73F5" w:rsidP="00E43500">
            <w:pPr>
              <w:spacing w:line="276" w:lineRule="auto"/>
              <w:jc w:val="both"/>
              <w:rPr>
                <w:rFonts w:cs="Times New Roman"/>
                <w:szCs w:val="24"/>
              </w:rPr>
            </w:pPr>
            <w:r w:rsidRPr="003C2553">
              <w:rPr>
                <w:rFonts w:cs="Times New Roman"/>
                <w:szCs w:val="24"/>
              </w:rPr>
              <w:t>Zgodnie z IRiESD OSDp proces ustanawiania i zmiany POB odpowiedzialnego za bilansowanie handlowe sprzedawcy, URDw</w:t>
            </w:r>
            <w:r w:rsidR="003C2553" w:rsidRPr="003C2553">
              <w:rPr>
                <w:rFonts w:cs="Times New Roman"/>
                <w:szCs w:val="24"/>
              </w:rPr>
              <w:t xml:space="preserve"> lub URD</w:t>
            </w:r>
            <w:r w:rsidR="003C2553" w:rsidRPr="003C2553">
              <w:rPr>
                <w:rFonts w:cs="Times New Roman"/>
                <w:szCs w:val="24"/>
                <w:vertAlign w:val="subscript"/>
              </w:rPr>
              <w:t>ME</w:t>
            </w:r>
            <w:r w:rsidR="003C2553" w:rsidRPr="003C2553">
              <w:rPr>
                <w:rFonts w:cs="Times New Roman"/>
                <w:szCs w:val="24"/>
              </w:rPr>
              <w:t>, jest realizowany według następującej procedury:</w:t>
            </w:r>
          </w:p>
          <w:p w14:paraId="06F4C2AF" w14:textId="606A8F74" w:rsidR="00F96234" w:rsidRPr="00F96234" w:rsidRDefault="00F96234" w:rsidP="00E43500">
            <w:pPr>
              <w:spacing w:before="120" w:line="276" w:lineRule="auto"/>
              <w:ind w:left="398" w:hanging="398"/>
              <w:jc w:val="both"/>
              <w:rPr>
                <w:rFonts w:cs="Times New Roman"/>
                <w:szCs w:val="24"/>
              </w:rPr>
            </w:pPr>
            <w:r w:rsidRPr="00F96234">
              <w:rPr>
                <w:rFonts w:cs="Times New Roman"/>
                <w:szCs w:val="24"/>
              </w:rPr>
              <w:t>1) sprzedawca, URDw lub URD</w:t>
            </w:r>
            <w:r w:rsidRPr="00F96234">
              <w:rPr>
                <w:rFonts w:cs="Times New Roman"/>
                <w:szCs w:val="24"/>
                <w:vertAlign w:val="subscript"/>
              </w:rPr>
              <w:t>ME</w:t>
            </w:r>
            <w:r w:rsidRPr="00F96234">
              <w:rPr>
                <w:rFonts w:cs="Times New Roman"/>
                <w:szCs w:val="24"/>
              </w:rPr>
              <w:t xml:space="preserve"> powiadamia OSDp, na formularzu zgodnym </w:t>
            </w:r>
            <w:r w:rsidR="00315695">
              <w:rPr>
                <w:rFonts w:cs="Times New Roman"/>
                <w:szCs w:val="24"/>
              </w:rPr>
              <w:br/>
            </w:r>
            <w:r w:rsidRPr="00F96234">
              <w:rPr>
                <w:rFonts w:cs="Times New Roman"/>
                <w:szCs w:val="24"/>
              </w:rPr>
              <w:t>z wzorem określonym w umowie dystrybucji, o ustanowieniu POB lub planowanym przejęciu odpowiedzialności za bilansowanie handlowe tego sprzedawcy, URDw lub URD</w:t>
            </w:r>
            <w:r w:rsidRPr="00F96234">
              <w:rPr>
                <w:rFonts w:cs="Times New Roman"/>
                <w:szCs w:val="24"/>
                <w:vertAlign w:val="subscript"/>
              </w:rPr>
              <w:t>ME</w:t>
            </w:r>
            <w:r w:rsidRPr="00F96234">
              <w:rPr>
                <w:rFonts w:cs="Times New Roman"/>
                <w:szCs w:val="24"/>
              </w:rPr>
              <w:t xml:space="preserve"> przez nowego POB; formularz ten powinien zostać podpisany zarówno przez nowego POB, jak i sprzedawcę, URDw lub URD</w:t>
            </w:r>
            <w:r w:rsidRPr="00F96234">
              <w:rPr>
                <w:rFonts w:cs="Times New Roman"/>
                <w:szCs w:val="24"/>
                <w:vertAlign w:val="subscript"/>
              </w:rPr>
              <w:t>ME</w:t>
            </w:r>
            <w:r w:rsidRPr="00F96234">
              <w:rPr>
                <w:rFonts w:cs="Times New Roman"/>
                <w:szCs w:val="24"/>
              </w:rPr>
              <w:t>,</w:t>
            </w:r>
          </w:p>
          <w:p w14:paraId="76DD7150" w14:textId="04636B62" w:rsidR="00F96234" w:rsidRPr="00F96234" w:rsidRDefault="00F96234" w:rsidP="00E43500">
            <w:pPr>
              <w:spacing w:before="120" w:line="276" w:lineRule="auto"/>
              <w:ind w:left="398" w:hanging="398"/>
              <w:jc w:val="both"/>
              <w:rPr>
                <w:rFonts w:cs="Times New Roman"/>
                <w:szCs w:val="24"/>
              </w:rPr>
            </w:pPr>
            <w:r w:rsidRPr="00F96234">
              <w:rPr>
                <w:rFonts w:cs="Times New Roman"/>
                <w:szCs w:val="24"/>
              </w:rPr>
              <w:t xml:space="preserve">2) OSDp dokonuje weryfikacji poprawności wypełnienia powiadomienia w ciągu </w:t>
            </w:r>
            <w:r w:rsidR="00315695">
              <w:rPr>
                <w:rFonts w:cs="Times New Roman"/>
                <w:szCs w:val="24"/>
              </w:rPr>
              <w:br/>
            </w:r>
            <w:r w:rsidRPr="00F96234">
              <w:rPr>
                <w:rFonts w:cs="Times New Roman"/>
                <w:szCs w:val="24"/>
              </w:rPr>
              <w:t xml:space="preserve">5 dni roboczych po jego otrzymaniu, pod względem poprawności i zgodności </w:t>
            </w:r>
            <w:r w:rsidR="00315695">
              <w:rPr>
                <w:rFonts w:cs="Times New Roman"/>
                <w:szCs w:val="24"/>
              </w:rPr>
              <w:br/>
            </w:r>
            <w:r w:rsidRPr="00F96234">
              <w:rPr>
                <w:rFonts w:cs="Times New Roman"/>
                <w:szCs w:val="24"/>
              </w:rPr>
              <w:t>z zawartymi umowami dystrybucyjnymi,</w:t>
            </w:r>
          </w:p>
          <w:p w14:paraId="2850FDAE" w14:textId="77777777" w:rsidR="00F96234" w:rsidRPr="00F96234" w:rsidRDefault="00F96234" w:rsidP="00E43500">
            <w:pPr>
              <w:spacing w:before="120" w:line="276" w:lineRule="auto"/>
              <w:ind w:left="398" w:hanging="398"/>
              <w:jc w:val="both"/>
              <w:rPr>
                <w:rFonts w:cs="Times New Roman"/>
                <w:szCs w:val="24"/>
              </w:rPr>
            </w:pPr>
            <w:r w:rsidRPr="00F96234">
              <w:rPr>
                <w:rFonts w:cs="Times New Roman"/>
                <w:szCs w:val="24"/>
              </w:rPr>
              <w:t>3) OSDp, w przypadku pozytywnej weryfikacji:</w:t>
            </w:r>
          </w:p>
          <w:p w14:paraId="4620BA2D" w14:textId="77777777" w:rsidR="00F96234" w:rsidRPr="00F96234" w:rsidRDefault="00F96234" w:rsidP="00E43500">
            <w:pPr>
              <w:spacing w:before="120" w:line="276" w:lineRule="auto"/>
              <w:ind w:left="540" w:hanging="284"/>
              <w:jc w:val="both"/>
              <w:rPr>
                <w:rFonts w:cs="Times New Roman"/>
                <w:szCs w:val="24"/>
              </w:rPr>
            </w:pPr>
            <w:r w:rsidRPr="00F96234">
              <w:rPr>
                <w:rFonts w:cs="Times New Roman"/>
                <w:szCs w:val="24"/>
              </w:rPr>
              <w:t>a) niezwłocznie informuje dotychczasowego POB o dacie, w której przestaje pełnić funkcję POB oraz dokonuje aktualizacji stosownych postanowień umowy dystrybucyjnej z tym POB – w przypadku zmiany POB,</w:t>
            </w:r>
          </w:p>
          <w:p w14:paraId="70933280" w14:textId="3AE7DACD" w:rsidR="00F96234" w:rsidRPr="00F96234" w:rsidRDefault="00F96234" w:rsidP="00E43500">
            <w:pPr>
              <w:spacing w:before="120" w:line="276" w:lineRule="auto"/>
              <w:ind w:left="540" w:hanging="284"/>
              <w:jc w:val="both"/>
              <w:rPr>
                <w:rFonts w:cs="Times New Roman"/>
                <w:szCs w:val="24"/>
              </w:rPr>
            </w:pPr>
            <w:r w:rsidRPr="00F96234">
              <w:rPr>
                <w:rFonts w:cs="Times New Roman"/>
                <w:szCs w:val="24"/>
              </w:rPr>
              <w:t>b) niezwłocznie informuje sprzedawcę, URDw lub URD</w:t>
            </w:r>
            <w:r w:rsidRPr="00F96234">
              <w:rPr>
                <w:rFonts w:cs="Times New Roman"/>
                <w:szCs w:val="24"/>
                <w:vertAlign w:val="subscript"/>
              </w:rPr>
              <w:t>ME</w:t>
            </w:r>
            <w:r w:rsidRPr="00F96234">
              <w:rPr>
                <w:rFonts w:cs="Times New Roman"/>
                <w:szCs w:val="24"/>
              </w:rPr>
              <w:t xml:space="preserve"> oraz nowego POB </w:t>
            </w:r>
            <w:r w:rsidR="00315695">
              <w:rPr>
                <w:rFonts w:cs="Times New Roman"/>
                <w:szCs w:val="24"/>
              </w:rPr>
              <w:br/>
            </w:r>
            <w:r w:rsidRPr="00F96234">
              <w:rPr>
                <w:rFonts w:cs="Times New Roman"/>
                <w:szCs w:val="24"/>
              </w:rPr>
              <w:t>o dacie, w której następuje ustanowienie lub zmiana POB,</w:t>
            </w:r>
          </w:p>
          <w:p w14:paraId="5A0556C1" w14:textId="77777777" w:rsidR="00F96234" w:rsidRPr="00F96234" w:rsidRDefault="00F96234" w:rsidP="00E43500">
            <w:pPr>
              <w:spacing w:before="120" w:line="276" w:lineRule="auto"/>
              <w:ind w:left="540" w:hanging="284"/>
              <w:jc w:val="both"/>
              <w:rPr>
                <w:rFonts w:cs="Times New Roman"/>
                <w:szCs w:val="24"/>
              </w:rPr>
            </w:pPr>
            <w:r w:rsidRPr="00F96234">
              <w:rPr>
                <w:rFonts w:cs="Times New Roman"/>
                <w:szCs w:val="24"/>
              </w:rPr>
              <w:lastRenderedPageBreak/>
              <w:t>c) przyporządkowuje w swoich systemach informatycznych obsługi rynku energii PPE URDo posiadających umowę sprzedaży lub umowę kompleksową ze sprzedawcą lub miejsca dostarczania URDw oraz URD</w:t>
            </w:r>
            <w:r w:rsidRPr="00F96234">
              <w:rPr>
                <w:rFonts w:cs="Times New Roman"/>
                <w:szCs w:val="24"/>
                <w:vertAlign w:val="subscript"/>
              </w:rPr>
              <w:t>ME</w:t>
            </w:r>
            <w:r w:rsidRPr="00F96234">
              <w:rPr>
                <w:rFonts w:cs="Times New Roman"/>
                <w:szCs w:val="24"/>
              </w:rPr>
              <w:t xml:space="preserve"> do MB nowego POB,</w:t>
            </w:r>
          </w:p>
          <w:p w14:paraId="19DE0681" w14:textId="71942029" w:rsidR="00F96234" w:rsidRPr="00F96234" w:rsidRDefault="00F96234" w:rsidP="00E43500">
            <w:pPr>
              <w:spacing w:before="120" w:line="276" w:lineRule="auto"/>
              <w:ind w:left="398" w:hanging="398"/>
              <w:jc w:val="both"/>
              <w:rPr>
                <w:rFonts w:cs="Times New Roman"/>
                <w:szCs w:val="24"/>
              </w:rPr>
            </w:pPr>
            <w:r w:rsidRPr="00F96234">
              <w:rPr>
                <w:rFonts w:cs="Times New Roman"/>
                <w:szCs w:val="24"/>
              </w:rPr>
              <w:t>4) OSDp, w przypadku negatywnej weryfikacji zgłoszenia, o którym mowa w ppkt 1), informuje niezwłocznie nowego POB oraz sprzedawcę, URDw lub URD</w:t>
            </w:r>
            <w:r w:rsidRPr="00F96234">
              <w:rPr>
                <w:rFonts w:cs="Times New Roman"/>
                <w:szCs w:val="24"/>
                <w:vertAlign w:val="subscript"/>
              </w:rPr>
              <w:t>ME</w:t>
            </w:r>
            <w:r w:rsidRPr="00F96234">
              <w:rPr>
                <w:rFonts w:cs="Times New Roman"/>
                <w:szCs w:val="24"/>
              </w:rPr>
              <w:t xml:space="preserve"> </w:t>
            </w:r>
            <w:r w:rsidR="00F401BD">
              <w:rPr>
                <w:rFonts w:cs="Times New Roman"/>
                <w:szCs w:val="24"/>
              </w:rPr>
              <w:br/>
            </w:r>
            <w:r w:rsidRPr="00F96234">
              <w:rPr>
                <w:rFonts w:cs="Times New Roman"/>
                <w:szCs w:val="24"/>
              </w:rPr>
              <w:t>o przyczynach negatywnej weryfikacji.</w:t>
            </w:r>
          </w:p>
          <w:p w14:paraId="38BCC0AC" w14:textId="75AC34EA" w:rsidR="00F96234" w:rsidRPr="00093EC2" w:rsidRDefault="00F96234" w:rsidP="00E43500">
            <w:pPr>
              <w:spacing w:line="276" w:lineRule="auto"/>
              <w:jc w:val="both"/>
            </w:pPr>
            <w:r w:rsidRPr="00F96234">
              <w:rPr>
                <w:rFonts w:cs="Times New Roman"/>
                <w:szCs w:val="24"/>
              </w:rPr>
              <w:t>Powiadomienia, o którym mowa w ppkt 1) może dokonać również nowy POB upoważniony przez sprzedawcę, URDw lub URD</w:t>
            </w:r>
            <w:r w:rsidRPr="00F96234">
              <w:rPr>
                <w:rFonts w:cs="Times New Roman"/>
                <w:szCs w:val="24"/>
                <w:vertAlign w:val="subscript"/>
              </w:rPr>
              <w:t>ME</w:t>
            </w:r>
            <w:r w:rsidRPr="00F96234">
              <w:rPr>
                <w:rFonts w:cs="Times New Roman"/>
                <w:szCs w:val="24"/>
              </w:rPr>
              <w:t>. Powiadomienie to może być wykonane również w formie elektronicznej poprzez dedykowany adres poczty elektronicznej</w:t>
            </w:r>
          </w:p>
        </w:tc>
      </w:tr>
      <w:tr w:rsidR="00410B1B" w:rsidRPr="00F8228A" w14:paraId="06961557" w14:textId="77777777" w:rsidTr="005213E9">
        <w:tc>
          <w:tcPr>
            <w:tcW w:w="1135" w:type="dxa"/>
            <w:shd w:val="clear" w:color="auto" w:fill="auto"/>
          </w:tcPr>
          <w:p w14:paraId="5813B5FF" w14:textId="77777777" w:rsidR="00C44BE8" w:rsidRPr="00F8228A" w:rsidRDefault="00C44BE8" w:rsidP="005213E9">
            <w:pPr>
              <w:rPr>
                <w:color w:val="000000"/>
              </w:rPr>
            </w:pPr>
            <w:r>
              <w:rPr>
                <w:color w:val="000000"/>
              </w:rPr>
              <w:lastRenderedPageBreak/>
              <w:t>E</w:t>
            </w:r>
            <w:r w:rsidRPr="00F8228A">
              <w:rPr>
                <w:color w:val="000000"/>
              </w:rPr>
              <w:t>.3.</w:t>
            </w:r>
          </w:p>
        </w:tc>
        <w:tc>
          <w:tcPr>
            <w:tcW w:w="8186" w:type="dxa"/>
            <w:shd w:val="clear" w:color="auto" w:fill="auto"/>
          </w:tcPr>
          <w:p w14:paraId="43242306" w14:textId="7C87D21B" w:rsidR="005F2105" w:rsidRPr="005F2105" w:rsidRDefault="005F2105" w:rsidP="00554DD1">
            <w:pPr>
              <w:pStyle w:val="Tekstpodstawowy"/>
              <w:spacing w:before="0" w:line="276" w:lineRule="auto"/>
              <w:rPr>
                <w:szCs w:val="24"/>
                <w:lang w:eastAsia="pl-PL"/>
              </w:rPr>
            </w:pPr>
            <w:r w:rsidRPr="005F2105">
              <w:rPr>
                <w:szCs w:val="24"/>
                <w:lang w:eastAsia="pl-PL"/>
              </w:rPr>
              <w:t xml:space="preserve">Udział OSDn w procedurze ustanawiania i zmiany POB związany jest </w:t>
            </w:r>
            <w:r w:rsidR="00FC3268">
              <w:rPr>
                <w:szCs w:val="24"/>
                <w:lang w:eastAsia="pl-PL"/>
              </w:rPr>
              <w:br/>
            </w:r>
            <w:r w:rsidRPr="005F2105">
              <w:rPr>
                <w:szCs w:val="24"/>
                <w:lang w:eastAsia="pl-PL"/>
              </w:rPr>
              <w:t>z następującymi czynnościami:</w:t>
            </w:r>
          </w:p>
          <w:p w14:paraId="5C606A21" w14:textId="665CDFDC" w:rsidR="005F2105" w:rsidRPr="005F2105" w:rsidRDefault="005F2105">
            <w:pPr>
              <w:pStyle w:val="Tekstpodstawowy"/>
              <w:numPr>
                <w:ilvl w:val="0"/>
                <w:numId w:val="181"/>
              </w:numPr>
              <w:tabs>
                <w:tab w:val="clear" w:pos="4536"/>
                <w:tab w:val="clear" w:pos="9072"/>
              </w:tabs>
              <w:spacing w:line="240" w:lineRule="auto"/>
              <w:ind w:left="398" w:hanging="398"/>
              <w:rPr>
                <w:szCs w:val="24"/>
                <w:lang w:eastAsia="pl-PL"/>
              </w:rPr>
            </w:pPr>
            <w:r w:rsidRPr="005F2105">
              <w:rPr>
                <w:szCs w:val="24"/>
                <w:lang w:eastAsia="pl-PL"/>
              </w:rPr>
              <w:t>Sprzedawca, URDw lub URD</w:t>
            </w:r>
            <w:r w:rsidRPr="005F2105">
              <w:rPr>
                <w:szCs w:val="24"/>
                <w:vertAlign w:val="subscript"/>
                <w:lang w:eastAsia="pl-PL"/>
              </w:rPr>
              <w:t>ME</w:t>
            </w:r>
            <w:r w:rsidRPr="005F2105">
              <w:rPr>
                <w:szCs w:val="24"/>
                <w:lang w:eastAsia="pl-PL"/>
              </w:rPr>
              <w:t xml:space="preserve"> powiadamia OSDn o planowanym przejęciu odpowiedzialności za bilansowanie handlowe tego sprzedawcy, URDw lub URD</w:t>
            </w:r>
            <w:r w:rsidRPr="005F2105">
              <w:rPr>
                <w:szCs w:val="24"/>
                <w:vertAlign w:val="subscript"/>
                <w:lang w:eastAsia="pl-PL"/>
              </w:rPr>
              <w:t>ME</w:t>
            </w:r>
            <w:r w:rsidRPr="005F2105">
              <w:rPr>
                <w:szCs w:val="24"/>
                <w:lang w:eastAsia="pl-PL"/>
              </w:rPr>
              <w:t xml:space="preserve"> przez nowego POB, wypełniając formularz powiadomienia zawarty </w:t>
            </w:r>
            <w:r w:rsidR="000561FD">
              <w:rPr>
                <w:szCs w:val="24"/>
                <w:lang w:eastAsia="pl-PL"/>
              </w:rPr>
              <w:br/>
            </w:r>
            <w:r w:rsidRPr="005F2105">
              <w:rPr>
                <w:szCs w:val="24"/>
                <w:lang w:eastAsia="pl-PL"/>
              </w:rPr>
              <w:t>w GUD, bądź GUD-K, jaka wiąże sprzedawcę, URD</w:t>
            </w:r>
            <w:r w:rsidRPr="005F2105">
              <w:rPr>
                <w:szCs w:val="24"/>
                <w:vertAlign w:val="subscript"/>
                <w:lang w:eastAsia="pl-PL"/>
              </w:rPr>
              <w:t>W</w:t>
            </w:r>
            <w:r w:rsidRPr="005F2105">
              <w:rPr>
                <w:szCs w:val="24"/>
                <w:lang w:eastAsia="pl-PL"/>
              </w:rPr>
              <w:t xml:space="preserve"> lub URD</w:t>
            </w:r>
            <w:r w:rsidRPr="005F2105">
              <w:rPr>
                <w:szCs w:val="24"/>
                <w:vertAlign w:val="subscript"/>
                <w:lang w:eastAsia="pl-PL"/>
              </w:rPr>
              <w:t>ME</w:t>
            </w:r>
            <w:r w:rsidRPr="005F2105">
              <w:rPr>
                <w:szCs w:val="24"/>
                <w:lang w:eastAsia="pl-PL"/>
              </w:rPr>
              <w:t xml:space="preserve"> z OSDn, </w:t>
            </w:r>
          </w:p>
          <w:p w14:paraId="79D462BB" w14:textId="5BCCDAA2" w:rsidR="005F2105" w:rsidRPr="005F2105" w:rsidRDefault="005F2105">
            <w:pPr>
              <w:pStyle w:val="Tekstpodstawowy"/>
              <w:numPr>
                <w:ilvl w:val="0"/>
                <w:numId w:val="181"/>
              </w:numPr>
              <w:tabs>
                <w:tab w:val="clear" w:pos="4536"/>
                <w:tab w:val="clear" w:pos="9072"/>
              </w:tabs>
              <w:spacing w:line="240" w:lineRule="auto"/>
              <w:ind w:left="398" w:hanging="398"/>
              <w:rPr>
                <w:szCs w:val="24"/>
                <w:lang w:eastAsia="pl-PL"/>
              </w:rPr>
            </w:pPr>
            <w:r w:rsidRPr="005F2105">
              <w:rPr>
                <w:szCs w:val="24"/>
                <w:lang w:eastAsia="pl-PL"/>
              </w:rPr>
              <w:t>OSDn powiadamia OSDp o planowanej zmianie POB przez sprzedawcę, URDw lub URD</w:t>
            </w:r>
            <w:r w:rsidRPr="005F2105">
              <w:rPr>
                <w:szCs w:val="24"/>
                <w:vertAlign w:val="subscript"/>
                <w:lang w:eastAsia="pl-PL"/>
              </w:rPr>
              <w:t>ME</w:t>
            </w:r>
            <w:r w:rsidR="00FC3268">
              <w:rPr>
                <w:szCs w:val="24"/>
                <w:vertAlign w:val="subscript"/>
                <w:lang w:val="pl-PL" w:eastAsia="pl-PL"/>
              </w:rPr>
              <w:t>,</w:t>
            </w:r>
          </w:p>
          <w:p w14:paraId="46F79CC3" w14:textId="1404E77F" w:rsidR="005F2105" w:rsidRPr="005F2105" w:rsidRDefault="005F2105">
            <w:pPr>
              <w:pStyle w:val="Tekstpodstawowy"/>
              <w:numPr>
                <w:ilvl w:val="0"/>
                <w:numId w:val="181"/>
              </w:numPr>
              <w:tabs>
                <w:tab w:val="clear" w:pos="4536"/>
                <w:tab w:val="clear" w:pos="9072"/>
              </w:tabs>
              <w:spacing w:line="240" w:lineRule="auto"/>
              <w:ind w:left="398" w:hanging="398"/>
              <w:rPr>
                <w:szCs w:val="24"/>
                <w:lang w:eastAsia="pl-PL"/>
              </w:rPr>
            </w:pPr>
            <w:r w:rsidRPr="005F2105">
              <w:rPr>
                <w:szCs w:val="24"/>
                <w:lang w:eastAsia="pl-PL"/>
              </w:rPr>
              <w:t>po otrzymaniu powiadomienia i jego pozytywnej weryfikacji OSDp przeprowadza procedurę ustanawianie lub zmiany POB</w:t>
            </w:r>
            <w:r w:rsidRPr="005F2105">
              <w:rPr>
                <w:szCs w:val="24"/>
                <w:lang w:val="pl-PL" w:eastAsia="pl-PL"/>
              </w:rPr>
              <w:t xml:space="preserve"> </w:t>
            </w:r>
            <w:r w:rsidRPr="005F2105">
              <w:rPr>
                <w:szCs w:val="24"/>
                <w:lang w:eastAsia="pl-PL"/>
              </w:rPr>
              <w:t xml:space="preserve">zgodnie z procedurą zawartą w IRiESD OSDp, </w:t>
            </w:r>
          </w:p>
          <w:p w14:paraId="2445B610" w14:textId="1B31AE2F" w:rsidR="005F2105" w:rsidRPr="005F2105" w:rsidRDefault="005F2105">
            <w:pPr>
              <w:pStyle w:val="Tekstpodstawowy"/>
              <w:numPr>
                <w:ilvl w:val="0"/>
                <w:numId w:val="181"/>
              </w:numPr>
              <w:tabs>
                <w:tab w:val="clear" w:pos="4536"/>
                <w:tab w:val="clear" w:pos="9072"/>
              </w:tabs>
              <w:spacing w:line="240" w:lineRule="auto"/>
              <w:ind w:left="398" w:hanging="398"/>
              <w:rPr>
                <w:szCs w:val="24"/>
                <w:lang w:eastAsia="pl-PL"/>
              </w:rPr>
            </w:pPr>
            <w:r w:rsidRPr="005F2105">
              <w:rPr>
                <w:szCs w:val="24"/>
                <w:lang w:eastAsia="pl-PL"/>
              </w:rPr>
              <w:t>po zakończeniu procedury ustanawiania lub zmiany POB, OSDp informuje dotychczasowego POB, nowego POB oraz sprzedawcę, URD</w:t>
            </w:r>
            <w:r w:rsidRPr="009F7723">
              <w:rPr>
                <w:szCs w:val="24"/>
                <w:vertAlign w:val="subscript"/>
                <w:lang w:eastAsia="pl-PL"/>
              </w:rPr>
              <w:t xml:space="preserve">w </w:t>
            </w:r>
            <w:r w:rsidRPr="005F2105">
              <w:rPr>
                <w:szCs w:val="24"/>
                <w:lang w:eastAsia="pl-PL"/>
              </w:rPr>
              <w:t>lub URD</w:t>
            </w:r>
            <w:r w:rsidRPr="005F2105">
              <w:rPr>
                <w:szCs w:val="24"/>
                <w:vertAlign w:val="subscript"/>
                <w:lang w:eastAsia="pl-PL"/>
              </w:rPr>
              <w:t>ME</w:t>
            </w:r>
            <w:r w:rsidRPr="005F2105">
              <w:rPr>
                <w:szCs w:val="24"/>
                <w:lang w:eastAsia="pl-PL"/>
              </w:rPr>
              <w:t xml:space="preserve"> </w:t>
            </w:r>
            <w:r w:rsidR="000561FD">
              <w:rPr>
                <w:szCs w:val="24"/>
                <w:lang w:eastAsia="pl-PL"/>
              </w:rPr>
              <w:br/>
            </w:r>
            <w:r w:rsidRPr="005F2105">
              <w:rPr>
                <w:szCs w:val="24"/>
                <w:lang w:eastAsia="pl-PL"/>
              </w:rPr>
              <w:t>o dacie, w której następuje zmiana POB.</w:t>
            </w:r>
          </w:p>
          <w:p w14:paraId="6C940BD0" w14:textId="711367D8" w:rsidR="00C44BE8" w:rsidRPr="005F2105" w:rsidRDefault="005F2105" w:rsidP="005F2105">
            <w:pPr>
              <w:pStyle w:val="Tekstpodstawowy"/>
              <w:tabs>
                <w:tab w:val="clear" w:pos="4536"/>
                <w:tab w:val="clear" w:pos="9072"/>
              </w:tabs>
              <w:spacing w:before="0" w:line="240" w:lineRule="auto"/>
              <w:ind w:left="398" w:hanging="398"/>
              <w:rPr>
                <w:szCs w:val="24"/>
                <w:lang w:val="pl-PL" w:eastAsia="pl-PL"/>
              </w:rPr>
            </w:pPr>
            <w:r w:rsidRPr="005F2105">
              <w:rPr>
                <w:szCs w:val="24"/>
                <w:lang w:val="pl-PL" w:eastAsia="pl-PL"/>
              </w:rPr>
              <w:t xml:space="preserve">5) </w:t>
            </w:r>
            <w:r w:rsidRPr="005F2105">
              <w:rPr>
                <w:szCs w:val="24"/>
                <w:lang w:eastAsia="pl-PL"/>
              </w:rPr>
              <w:t>Sprzedawca oraz URD</w:t>
            </w:r>
            <w:r w:rsidRPr="009F7723">
              <w:rPr>
                <w:szCs w:val="24"/>
                <w:vertAlign w:val="subscript"/>
                <w:lang w:eastAsia="pl-PL"/>
              </w:rPr>
              <w:t>w</w:t>
            </w:r>
            <w:r w:rsidRPr="005F2105">
              <w:rPr>
                <w:szCs w:val="24"/>
                <w:lang w:eastAsia="pl-PL"/>
              </w:rPr>
              <w:t xml:space="preserve"> lub URD</w:t>
            </w:r>
            <w:r w:rsidRPr="005F2105">
              <w:rPr>
                <w:szCs w:val="24"/>
                <w:vertAlign w:val="subscript"/>
                <w:lang w:eastAsia="pl-PL"/>
              </w:rPr>
              <w:t>ME</w:t>
            </w:r>
            <w:r w:rsidRPr="005F2105">
              <w:rPr>
                <w:szCs w:val="24"/>
                <w:lang w:eastAsia="pl-PL"/>
              </w:rPr>
              <w:t xml:space="preserve"> po uzyskaniu informacji od OSDp </w:t>
            </w:r>
            <w:r w:rsidR="009F7723">
              <w:rPr>
                <w:szCs w:val="24"/>
                <w:lang w:eastAsia="pl-PL"/>
              </w:rPr>
              <w:br/>
            </w:r>
            <w:r w:rsidRPr="005F2105">
              <w:rPr>
                <w:szCs w:val="24"/>
                <w:lang w:eastAsia="pl-PL"/>
              </w:rPr>
              <w:t xml:space="preserve">o zakończeniu procedury zmiany POB informują o tym fakcie OSDn w terminie i na formularzu zgodnym z GUD lub GUD-K zawartą ze sprzedawcą lub </w:t>
            </w:r>
            <w:r w:rsidR="009F7723">
              <w:rPr>
                <w:szCs w:val="24"/>
                <w:lang w:eastAsia="pl-PL"/>
              </w:rPr>
              <w:br/>
            </w:r>
            <w:r w:rsidRPr="005F2105">
              <w:rPr>
                <w:szCs w:val="24"/>
                <w:lang w:eastAsia="pl-PL"/>
              </w:rPr>
              <w:t>z umową o świadczenie usług dystrybucji energii elektrycznej zawartą z URD</w:t>
            </w:r>
            <w:r w:rsidRPr="009F7723">
              <w:rPr>
                <w:szCs w:val="24"/>
                <w:vertAlign w:val="subscript"/>
                <w:lang w:eastAsia="pl-PL"/>
              </w:rPr>
              <w:t>w</w:t>
            </w:r>
            <w:r w:rsidRPr="005F2105">
              <w:rPr>
                <w:szCs w:val="24"/>
                <w:lang w:eastAsia="pl-PL"/>
              </w:rPr>
              <w:t xml:space="preserve"> lub URD</w:t>
            </w:r>
            <w:r w:rsidRPr="005F2105">
              <w:rPr>
                <w:szCs w:val="24"/>
                <w:vertAlign w:val="subscript"/>
                <w:lang w:eastAsia="pl-PL"/>
              </w:rPr>
              <w:t>ME</w:t>
            </w:r>
            <w:r w:rsidRPr="005F2105">
              <w:rPr>
                <w:szCs w:val="24"/>
                <w:lang w:eastAsia="pl-PL"/>
              </w:rPr>
              <w:t>. Wymóg ten dotyczy również przypadku zaprzestania działalności (w tym planowanej) przez POB na RB.</w:t>
            </w:r>
          </w:p>
        </w:tc>
      </w:tr>
      <w:tr w:rsidR="00410B1B" w:rsidRPr="00093EC2" w14:paraId="376394BC" w14:textId="77777777" w:rsidTr="005213E9">
        <w:trPr>
          <w:trHeight w:val="563"/>
        </w:trPr>
        <w:tc>
          <w:tcPr>
            <w:tcW w:w="1135" w:type="dxa"/>
            <w:shd w:val="clear" w:color="auto" w:fill="auto"/>
          </w:tcPr>
          <w:p w14:paraId="46BD57F0" w14:textId="77777777" w:rsidR="00C44BE8" w:rsidRPr="002B5135" w:rsidRDefault="00C44BE8" w:rsidP="005213E9">
            <w:r>
              <w:t>E</w:t>
            </w:r>
            <w:r w:rsidRPr="002B5135">
              <w:t>.4.</w:t>
            </w:r>
          </w:p>
        </w:tc>
        <w:tc>
          <w:tcPr>
            <w:tcW w:w="8186" w:type="dxa"/>
            <w:shd w:val="clear" w:color="auto" w:fill="auto"/>
          </w:tcPr>
          <w:p w14:paraId="712177A3" w14:textId="17F43B58" w:rsidR="00E43500" w:rsidRPr="00E43500" w:rsidRDefault="00E43500" w:rsidP="00894A25">
            <w:pPr>
              <w:ind w:left="113"/>
              <w:jc w:val="both"/>
              <w:rPr>
                <w:rFonts w:cs="Times New Roman"/>
                <w:szCs w:val="24"/>
              </w:rPr>
            </w:pPr>
            <w:r w:rsidRPr="00E43500">
              <w:rPr>
                <w:rFonts w:cs="Times New Roman"/>
                <w:szCs w:val="24"/>
              </w:rPr>
              <w:t xml:space="preserve">Zmiana podmiotu odpowiedzialnego za bilansowanie handlowe następuje nie wcześniej niż po 5 dniach roboczych od daty pozytywnej weryfikacji powiadomienia określonego w pkt </w:t>
            </w:r>
            <w:r>
              <w:rPr>
                <w:rFonts w:cs="Times New Roman"/>
                <w:szCs w:val="24"/>
              </w:rPr>
              <w:t>E</w:t>
            </w:r>
            <w:r w:rsidRPr="00E43500">
              <w:rPr>
                <w:rFonts w:cs="Times New Roman"/>
                <w:szCs w:val="24"/>
              </w:rPr>
              <w:t xml:space="preserve">.2., z zastrzeżeniem pkt </w:t>
            </w:r>
            <w:r>
              <w:rPr>
                <w:rFonts w:cs="Times New Roman"/>
                <w:szCs w:val="24"/>
              </w:rPr>
              <w:t>E</w:t>
            </w:r>
            <w:r w:rsidRPr="00E43500">
              <w:rPr>
                <w:rFonts w:cs="Times New Roman"/>
                <w:szCs w:val="24"/>
              </w:rPr>
              <w:t>.6.</w:t>
            </w:r>
          </w:p>
          <w:p w14:paraId="223DC963" w14:textId="29E326AA" w:rsidR="00C44BE8" w:rsidRPr="00093EC2" w:rsidRDefault="00E43500" w:rsidP="00E43500">
            <w:pPr>
              <w:ind w:left="114"/>
              <w:jc w:val="both"/>
            </w:pPr>
            <w:r w:rsidRPr="00E43500">
              <w:rPr>
                <w:rFonts w:cs="Times New Roman"/>
                <w:szCs w:val="24"/>
              </w:rPr>
              <w:t>Powyższe terminy nie dotyczą przypadku utraty POB przez sprzedawcę, URDw lub URD</w:t>
            </w:r>
            <w:r w:rsidRPr="00E43500">
              <w:rPr>
                <w:rFonts w:cs="Times New Roman"/>
                <w:szCs w:val="24"/>
                <w:vertAlign w:val="subscript"/>
              </w:rPr>
              <w:t>ME</w:t>
            </w:r>
            <w:r w:rsidRPr="00E43500">
              <w:rPr>
                <w:rFonts w:cs="Times New Roman"/>
                <w:szCs w:val="24"/>
              </w:rPr>
              <w:t xml:space="preserve"> w związku z zaprzestaniem lub zawieszeniem działalności przez dotychczasowego POB na RB, jeżeli sprzedawca, URDw lub URD</w:t>
            </w:r>
            <w:r w:rsidRPr="00E43500">
              <w:rPr>
                <w:rFonts w:cs="Times New Roman"/>
                <w:szCs w:val="24"/>
                <w:vertAlign w:val="subscript"/>
              </w:rPr>
              <w:t>ME</w:t>
            </w:r>
            <w:r w:rsidRPr="00E43500">
              <w:rPr>
                <w:rFonts w:cs="Times New Roman"/>
                <w:szCs w:val="24"/>
              </w:rPr>
              <w:t xml:space="preserve"> przekaże OSDp powiadomienie, o którym mowa w pkt </w:t>
            </w:r>
            <w:r>
              <w:rPr>
                <w:rFonts w:cs="Times New Roman"/>
                <w:szCs w:val="24"/>
              </w:rPr>
              <w:t>E</w:t>
            </w:r>
            <w:r w:rsidRPr="00E43500">
              <w:rPr>
                <w:rFonts w:cs="Times New Roman"/>
                <w:szCs w:val="24"/>
              </w:rPr>
              <w:t xml:space="preserve">.2. ppkt 1) przed terminem zaprzestania lub zawieszenia działalności na RB przez dotychczasowego POB. </w:t>
            </w:r>
            <w:r>
              <w:rPr>
                <w:rFonts w:cs="Times New Roman"/>
                <w:szCs w:val="24"/>
              </w:rPr>
              <w:br/>
            </w:r>
            <w:r w:rsidRPr="00E43500">
              <w:rPr>
                <w:rFonts w:cs="Times New Roman"/>
                <w:szCs w:val="24"/>
              </w:rPr>
              <w:t>W takim przypadku zmiana POB następuje po dokonaniu przez OSDp pozytywnej weryfikacji otrzymanego powiadomienia pod względem poprawności i zgodności z zawartymi umowami, w terminie zaprzestania lub zawieszenia działalności przez dotychczasowego POB na RB.</w:t>
            </w:r>
          </w:p>
        </w:tc>
      </w:tr>
      <w:tr w:rsidR="00410B1B" w:rsidRPr="00093EC2" w14:paraId="7A949CD7" w14:textId="77777777" w:rsidTr="005213E9">
        <w:trPr>
          <w:trHeight w:val="1094"/>
        </w:trPr>
        <w:tc>
          <w:tcPr>
            <w:tcW w:w="1135" w:type="dxa"/>
            <w:shd w:val="clear" w:color="auto" w:fill="auto"/>
          </w:tcPr>
          <w:p w14:paraId="024DCBDD" w14:textId="77777777" w:rsidR="00C44BE8" w:rsidRPr="002B5135" w:rsidRDefault="00C44BE8" w:rsidP="005213E9">
            <w:r>
              <w:lastRenderedPageBreak/>
              <w:t>E</w:t>
            </w:r>
            <w:r w:rsidRPr="002B5135">
              <w:t>.5.</w:t>
            </w:r>
          </w:p>
        </w:tc>
        <w:tc>
          <w:tcPr>
            <w:tcW w:w="8186" w:type="dxa"/>
            <w:shd w:val="clear" w:color="auto" w:fill="auto"/>
          </w:tcPr>
          <w:p w14:paraId="7794A925" w14:textId="57DDE16B" w:rsidR="001D5A41" w:rsidRPr="001D5A41" w:rsidRDefault="001D5A41" w:rsidP="00894A25">
            <w:pPr>
              <w:pStyle w:val="Default"/>
              <w:jc w:val="both"/>
              <w:rPr>
                <w:color w:val="auto"/>
              </w:rPr>
            </w:pPr>
            <w:r w:rsidRPr="001D5A41">
              <w:rPr>
                <w:color w:val="auto"/>
              </w:rPr>
              <w:t>Z dniem zmiany POB, OSDp przeprowadza zmiany w konfiguracji i strukturze obiektowej i podmiotowej rynku detalicznego, które obejmują POB przekazującego odpowiedzialność za bilansowanie handlowe (dotychczasowy POB) i POB przejmującego tą odpowiedzialność (nowy POB) z uwzględnieniem</w:t>
            </w:r>
            <w:r w:rsidR="00670C67">
              <w:rPr>
                <w:color w:val="auto"/>
              </w:rPr>
              <w:t>,</w:t>
            </w:r>
            <w:r w:rsidRPr="001D5A41">
              <w:rPr>
                <w:color w:val="auto"/>
              </w:rPr>
              <w:t xml:space="preserve"> że:</w:t>
            </w:r>
          </w:p>
          <w:p w14:paraId="1D29E15C" w14:textId="77777777" w:rsidR="001D5A41" w:rsidRPr="001D5A41" w:rsidRDefault="001D5A41" w:rsidP="00670C67">
            <w:pPr>
              <w:pStyle w:val="Default"/>
              <w:spacing w:before="120"/>
              <w:ind w:left="256" w:hanging="256"/>
              <w:jc w:val="both"/>
              <w:rPr>
                <w:color w:val="auto"/>
              </w:rPr>
            </w:pPr>
            <w:r w:rsidRPr="001D5A41">
              <w:rPr>
                <w:color w:val="auto"/>
              </w:rPr>
              <w:t>1) każdy PPE danego URD</w:t>
            </w:r>
            <w:r w:rsidRPr="001D5A41">
              <w:rPr>
                <w:color w:val="auto"/>
                <w:vertAlign w:val="subscript"/>
              </w:rPr>
              <w:t>O</w:t>
            </w:r>
            <w:r w:rsidRPr="001D5A41">
              <w:rPr>
                <w:color w:val="auto"/>
              </w:rPr>
              <w:t xml:space="preserve"> powinien być przyporządkowany tylko do jednego MDD;</w:t>
            </w:r>
          </w:p>
          <w:p w14:paraId="6AB75612" w14:textId="77777777" w:rsidR="001D5A41" w:rsidRPr="001D5A41" w:rsidRDefault="001D5A41" w:rsidP="00670C67">
            <w:pPr>
              <w:pStyle w:val="Default"/>
              <w:spacing w:before="120"/>
              <w:ind w:left="256" w:hanging="256"/>
              <w:jc w:val="both"/>
              <w:rPr>
                <w:color w:val="auto"/>
              </w:rPr>
            </w:pPr>
            <w:r w:rsidRPr="001D5A41">
              <w:rPr>
                <w:color w:val="auto"/>
              </w:rPr>
              <w:t>2) każdy MDD powinien być przyporządkowany tylko do jednego MB</w:t>
            </w:r>
            <w:r w:rsidRPr="001D5A41">
              <w:rPr>
                <w:color w:val="auto"/>
                <w:vertAlign w:val="subscript"/>
              </w:rPr>
              <w:t>O</w:t>
            </w:r>
            <w:r w:rsidRPr="001D5A41">
              <w:rPr>
                <w:color w:val="auto"/>
              </w:rPr>
              <w:t>;</w:t>
            </w:r>
          </w:p>
          <w:p w14:paraId="166DCD9A" w14:textId="77777777" w:rsidR="001D5A41" w:rsidRPr="001D5A41" w:rsidRDefault="001D5A41" w:rsidP="00670C67">
            <w:pPr>
              <w:pStyle w:val="Default"/>
              <w:spacing w:before="120"/>
              <w:ind w:left="256" w:hanging="256"/>
              <w:jc w:val="both"/>
              <w:rPr>
                <w:color w:val="auto"/>
              </w:rPr>
            </w:pPr>
            <w:r w:rsidRPr="001D5A41">
              <w:rPr>
                <w:color w:val="auto"/>
              </w:rPr>
              <w:t>3) URD</w:t>
            </w:r>
            <w:r w:rsidRPr="001D5A41">
              <w:rPr>
                <w:color w:val="auto"/>
                <w:vertAlign w:val="subscript"/>
              </w:rPr>
              <w:t>W</w:t>
            </w:r>
            <w:r w:rsidRPr="001D5A41">
              <w:rPr>
                <w:color w:val="auto"/>
              </w:rPr>
              <w:t xml:space="preserve"> mogą być bilansowani handlowo tylko w jednym z następujących MB: MB</w:t>
            </w:r>
            <w:r w:rsidRPr="001D5A41">
              <w:rPr>
                <w:color w:val="auto"/>
                <w:vertAlign w:val="subscript"/>
              </w:rPr>
              <w:t>W</w:t>
            </w:r>
            <w:r w:rsidRPr="001D5A41">
              <w:rPr>
                <w:color w:val="auto"/>
              </w:rPr>
              <w:t>, MB</w:t>
            </w:r>
            <w:r w:rsidRPr="001D5A41">
              <w:rPr>
                <w:color w:val="auto"/>
                <w:vertAlign w:val="subscript"/>
              </w:rPr>
              <w:t>AW</w:t>
            </w:r>
            <w:r w:rsidRPr="001D5A41">
              <w:rPr>
                <w:color w:val="auto"/>
              </w:rPr>
              <w:t>, MB</w:t>
            </w:r>
            <w:r w:rsidRPr="001D5A41">
              <w:rPr>
                <w:color w:val="auto"/>
                <w:vertAlign w:val="subscript"/>
              </w:rPr>
              <w:t>AFW</w:t>
            </w:r>
            <w:r w:rsidRPr="001D5A41">
              <w:rPr>
                <w:color w:val="auto"/>
              </w:rPr>
              <w:t xml:space="preserve"> lub MB</w:t>
            </w:r>
            <w:r w:rsidRPr="001D5A41">
              <w:rPr>
                <w:color w:val="auto"/>
                <w:vertAlign w:val="subscript"/>
              </w:rPr>
              <w:t>APV</w:t>
            </w:r>
            <w:r w:rsidRPr="001D5A41">
              <w:rPr>
                <w:color w:val="auto"/>
              </w:rPr>
              <w:t>;</w:t>
            </w:r>
          </w:p>
          <w:p w14:paraId="0D75575A" w14:textId="77777777" w:rsidR="001D5A41" w:rsidRPr="001D5A41" w:rsidRDefault="001D5A41" w:rsidP="00670C67">
            <w:pPr>
              <w:pStyle w:val="Default"/>
              <w:spacing w:before="120"/>
              <w:ind w:left="256" w:hanging="256"/>
              <w:jc w:val="both"/>
              <w:rPr>
                <w:color w:val="auto"/>
              </w:rPr>
            </w:pPr>
            <w:r w:rsidRPr="001D5A41">
              <w:rPr>
                <w:color w:val="auto"/>
              </w:rPr>
              <w:t>4) URD</w:t>
            </w:r>
            <w:r w:rsidRPr="001D5A41">
              <w:rPr>
                <w:color w:val="auto"/>
                <w:vertAlign w:val="subscript"/>
              </w:rPr>
              <w:t>O</w:t>
            </w:r>
            <w:r w:rsidRPr="001D5A41">
              <w:rPr>
                <w:color w:val="auto"/>
              </w:rPr>
              <w:t xml:space="preserve"> mogą być bilansowani handlowo tylko w jednym z następujących MB: MB</w:t>
            </w:r>
            <w:r w:rsidRPr="001D5A41">
              <w:rPr>
                <w:color w:val="auto"/>
                <w:vertAlign w:val="subscript"/>
              </w:rPr>
              <w:t>O</w:t>
            </w:r>
            <w:r w:rsidRPr="001D5A41">
              <w:rPr>
                <w:color w:val="auto"/>
              </w:rPr>
              <w:t xml:space="preserve"> lub MB</w:t>
            </w:r>
            <w:r w:rsidRPr="001D5A41">
              <w:rPr>
                <w:color w:val="auto"/>
                <w:vertAlign w:val="subscript"/>
              </w:rPr>
              <w:t>AO</w:t>
            </w:r>
            <w:r w:rsidRPr="001D5A41">
              <w:rPr>
                <w:color w:val="auto"/>
              </w:rPr>
              <w:t>;</w:t>
            </w:r>
          </w:p>
          <w:p w14:paraId="69A4D955" w14:textId="77777777" w:rsidR="001D5A41" w:rsidRPr="001D5A41" w:rsidRDefault="001D5A41" w:rsidP="00670C67">
            <w:pPr>
              <w:pStyle w:val="Default"/>
              <w:spacing w:before="120"/>
              <w:ind w:left="256" w:hanging="256"/>
              <w:jc w:val="both"/>
              <w:rPr>
                <w:color w:val="auto"/>
              </w:rPr>
            </w:pPr>
            <w:r w:rsidRPr="001D5A41">
              <w:rPr>
                <w:color w:val="auto"/>
              </w:rPr>
              <w:t>5) URD</w:t>
            </w:r>
            <w:r w:rsidRPr="001D5A41">
              <w:rPr>
                <w:color w:val="auto"/>
                <w:vertAlign w:val="subscript"/>
              </w:rPr>
              <w:t>ME</w:t>
            </w:r>
            <w:r w:rsidRPr="001D5A41">
              <w:rPr>
                <w:color w:val="auto"/>
              </w:rPr>
              <w:t xml:space="preserve"> mogą być bilansowani handlowo tylko w jednym z następujących MB: MB</w:t>
            </w:r>
            <w:r w:rsidRPr="001D5A41">
              <w:rPr>
                <w:color w:val="auto"/>
                <w:vertAlign w:val="subscript"/>
              </w:rPr>
              <w:t>W</w:t>
            </w:r>
            <w:r w:rsidRPr="001D5A41">
              <w:rPr>
                <w:color w:val="auto"/>
              </w:rPr>
              <w:t xml:space="preserve"> lub MB</w:t>
            </w:r>
            <w:r w:rsidRPr="001D5A41">
              <w:rPr>
                <w:color w:val="auto"/>
                <w:vertAlign w:val="subscript"/>
              </w:rPr>
              <w:t>AM</w:t>
            </w:r>
            <w:r w:rsidRPr="001D5A41">
              <w:rPr>
                <w:color w:val="auto"/>
              </w:rPr>
              <w:t>.</w:t>
            </w:r>
          </w:p>
          <w:p w14:paraId="42E2A0E3" w14:textId="5B55F614" w:rsidR="001D5A41" w:rsidRPr="001D5A41" w:rsidRDefault="001D5A41" w:rsidP="00670C67">
            <w:pPr>
              <w:pStyle w:val="Default"/>
              <w:spacing w:before="120"/>
              <w:ind w:left="256" w:hanging="256"/>
              <w:jc w:val="both"/>
              <w:rPr>
                <w:color w:val="auto"/>
              </w:rPr>
            </w:pPr>
            <w:r w:rsidRPr="001D5A41">
              <w:rPr>
                <w:color w:val="auto"/>
              </w:rPr>
              <w:t>Dla URD, którzy są bilansowani handlowo w jednym z następujących MB: MB</w:t>
            </w:r>
            <w:r w:rsidRPr="001D5A41">
              <w:rPr>
                <w:color w:val="auto"/>
                <w:vertAlign w:val="subscript"/>
              </w:rPr>
              <w:t>AO</w:t>
            </w:r>
            <w:r w:rsidRPr="001D5A41">
              <w:rPr>
                <w:color w:val="auto"/>
              </w:rPr>
              <w:t>, MB</w:t>
            </w:r>
            <w:r w:rsidRPr="001D5A41">
              <w:rPr>
                <w:color w:val="auto"/>
                <w:vertAlign w:val="subscript"/>
              </w:rPr>
              <w:t>AW</w:t>
            </w:r>
            <w:r w:rsidRPr="001D5A41">
              <w:rPr>
                <w:color w:val="auto"/>
              </w:rPr>
              <w:t>, MB</w:t>
            </w:r>
            <w:r w:rsidRPr="001D5A41">
              <w:rPr>
                <w:color w:val="auto"/>
                <w:vertAlign w:val="subscript"/>
              </w:rPr>
              <w:t>AFW</w:t>
            </w:r>
            <w:r w:rsidRPr="001D5A41">
              <w:rPr>
                <w:color w:val="auto"/>
              </w:rPr>
              <w:t>, MB</w:t>
            </w:r>
            <w:r w:rsidRPr="001D5A41">
              <w:rPr>
                <w:color w:val="auto"/>
                <w:vertAlign w:val="subscript"/>
              </w:rPr>
              <w:t>APV</w:t>
            </w:r>
            <w:r w:rsidRPr="001D5A41">
              <w:rPr>
                <w:color w:val="auto"/>
              </w:rPr>
              <w:t xml:space="preserve"> lub MB</w:t>
            </w:r>
            <w:r w:rsidRPr="001D5A41">
              <w:rPr>
                <w:color w:val="auto"/>
                <w:vertAlign w:val="subscript"/>
              </w:rPr>
              <w:t>AM</w:t>
            </w:r>
            <w:r w:rsidRPr="001D5A41">
              <w:rPr>
                <w:color w:val="auto"/>
              </w:rPr>
              <w:t xml:space="preserve"> w przypadku</w:t>
            </w:r>
            <w:r w:rsidR="00B91BFC">
              <w:rPr>
                <w:color w:val="auto"/>
              </w:rPr>
              <w:t>,</w:t>
            </w:r>
            <w:r w:rsidRPr="001D5A41">
              <w:rPr>
                <w:color w:val="auto"/>
              </w:rPr>
              <w:t xml:space="preserve"> gdy nastąpi zmiana POB, wówczas bilansowanie handlowe tych URD jest realizowane odpowiednio w:</w:t>
            </w:r>
          </w:p>
          <w:p w14:paraId="0B42F218" w14:textId="77777777" w:rsidR="001D5A41" w:rsidRPr="001D5A41" w:rsidRDefault="001D5A41" w:rsidP="00670C67">
            <w:pPr>
              <w:pStyle w:val="Default"/>
              <w:spacing w:before="120"/>
              <w:ind w:left="256" w:hanging="256"/>
              <w:jc w:val="both"/>
              <w:rPr>
                <w:color w:val="auto"/>
              </w:rPr>
            </w:pPr>
            <w:r w:rsidRPr="001D5A41">
              <w:rPr>
                <w:color w:val="auto"/>
              </w:rPr>
              <w:t>1) MB</w:t>
            </w:r>
            <w:r w:rsidRPr="001D5A41">
              <w:rPr>
                <w:color w:val="auto"/>
                <w:vertAlign w:val="subscript"/>
              </w:rPr>
              <w:t>AO</w:t>
            </w:r>
            <w:r w:rsidRPr="001D5A41">
              <w:rPr>
                <w:color w:val="auto"/>
              </w:rPr>
              <w:t>, MB</w:t>
            </w:r>
            <w:r w:rsidRPr="001D5A41">
              <w:rPr>
                <w:color w:val="auto"/>
                <w:vertAlign w:val="subscript"/>
              </w:rPr>
              <w:t>AW</w:t>
            </w:r>
            <w:r w:rsidRPr="001D5A41">
              <w:rPr>
                <w:color w:val="auto"/>
              </w:rPr>
              <w:t>, MB</w:t>
            </w:r>
            <w:r w:rsidRPr="001D5A41">
              <w:rPr>
                <w:color w:val="auto"/>
                <w:vertAlign w:val="subscript"/>
              </w:rPr>
              <w:t>AFW</w:t>
            </w:r>
            <w:r w:rsidRPr="001D5A41">
              <w:rPr>
                <w:color w:val="auto"/>
              </w:rPr>
              <w:t>, MB</w:t>
            </w:r>
            <w:r w:rsidRPr="001D5A41">
              <w:rPr>
                <w:color w:val="auto"/>
                <w:vertAlign w:val="subscript"/>
              </w:rPr>
              <w:t>APV</w:t>
            </w:r>
            <w:r w:rsidRPr="001D5A41">
              <w:rPr>
                <w:color w:val="auto"/>
              </w:rPr>
              <w:t xml:space="preserve"> lub MB</w:t>
            </w:r>
            <w:r w:rsidRPr="001D5A41">
              <w:rPr>
                <w:color w:val="auto"/>
                <w:vertAlign w:val="subscript"/>
              </w:rPr>
              <w:t>AM</w:t>
            </w:r>
            <w:r w:rsidRPr="001D5A41">
              <w:rPr>
                <w:color w:val="auto"/>
              </w:rPr>
              <w:t xml:space="preserve"> jeśli dany POB posiada wymienione MB, albo</w:t>
            </w:r>
          </w:p>
          <w:p w14:paraId="7D928F69" w14:textId="224E3D17" w:rsidR="00C44BE8" w:rsidRPr="001D5A41" w:rsidRDefault="001D5A41" w:rsidP="00670C67">
            <w:pPr>
              <w:pStyle w:val="Default"/>
              <w:ind w:left="256" w:hanging="256"/>
              <w:jc w:val="both"/>
              <w:rPr>
                <w:color w:val="auto"/>
              </w:rPr>
            </w:pPr>
            <w:r w:rsidRPr="001D5A41">
              <w:rPr>
                <w:color w:val="auto"/>
              </w:rPr>
              <w:t>2) MB</w:t>
            </w:r>
            <w:r w:rsidRPr="001D5A41">
              <w:rPr>
                <w:color w:val="auto"/>
                <w:vertAlign w:val="subscript"/>
              </w:rPr>
              <w:t>O</w:t>
            </w:r>
            <w:r w:rsidRPr="001D5A41">
              <w:rPr>
                <w:color w:val="auto"/>
              </w:rPr>
              <w:t xml:space="preserve"> lub MB</w:t>
            </w:r>
            <w:r w:rsidRPr="001D5A41">
              <w:rPr>
                <w:color w:val="auto"/>
                <w:vertAlign w:val="subscript"/>
              </w:rPr>
              <w:t>W</w:t>
            </w:r>
            <w:r w:rsidRPr="001D5A41">
              <w:rPr>
                <w:color w:val="auto"/>
              </w:rPr>
              <w:t xml:space="preserve"> jeśli dany POB nie posiada MB wymienionych w ppkt 1).</w:t>
            </w:r>
          </w:p>
        </w:tc>
      </w:tr>
      <w:tr w:rsidR="00410B1B" w:rsidRPr="00093EC2" w14:paraId="14861474" w14:textId="77777777" w:rsidTr="005213E9">
        <w:trPr>
          <w:trHeight w:val="888"/>
        </w:trPr>
        <w:tc>
          <w:tcPr>
            <w:tcW w:w="1135" w:type="dxa"/>
            <w:shd w:val="clear" w:color="auto" w:fill="auto"/>
          </w:tcPr>
          <w:p w14:paraId="3251D207" w14:textId="77777777" w:rsidR="00C44BE8" w:rsidRPr="002B5135" w:rsidRDefault="00C44BE8" w:rsidP="005213E9">
            <w:r>
              <w:t>E</w:t>
            </w:r>
            <w:r w:rsidRPr="002B5135">
              <w:t>.6.</w:t>
            </w:r>
          </w:p>
        </w:tc>
        <w:tc>
          <w:tcPr>
            <w:tcW w:w="8186" w:type="dxa"/>
            <w:shd w:val="clear" w:color="auto" w:fill="auto"/>
          </w:tcPr>
          <w:p w14:paraId="07F31C01" w14:textId="5DA952A9" w:rsidR="00C44BE8" w:rsidRPr="00FC0BA6" w:rsidRDefault="00FC0BA6" w:rsidP="00FC0BA6">
            <w:pPr>
              <w:spacing w:line="276" w:lineRule="auto"/>
              <w:jc w:val="both"/>
              <w:rPr>
                <w:rFonts w:cs="Times New Roman"/>
                <w:szCs w:val="24"/>
              </w:rPr>
            </w:pPr>
            <w:r w:rsidRPr="00FC0BA6">
              <w:rPr>
                <w:rFonts w:cs="Times New Roman"/>
                <w:szCs w:val="24"/>
              </w:rPr>
              <w:t xml:space="preserve">Jeżeli OSDp otrzyma powiadomienie, o którym mowa w pkt </w:t>
            </w:r>
            <w:r>
              <w:rPr>
                <w:rFonts w:cs="Times New Roman"/>
                <w:szCs w:val="24"/>
              </w:rPr>
              <w:t>E</w:t>
            </w:r>
            <w:r w:rsidRPr="00FC0BA6">
              <w:rPr>
                <w:rFonts w:cs="Times New Roman"/>
                <w:szCs w:val="24"/>
              </w:rPr>
              <w:t>.2. przed datą nadania i uaktywnienia na RB, zgodnie z zasadami określonymi w WDB, MB nowego POB w sieci dystrybucyjnej OSDp, wówczas weryfikacja powiadomienia o zmianie POB jest negatywna.</w:t>
            </w:r>
          </w:p>
        </w:tc>
      </w:tr>
      <w:tr w:rsidR="00FC0BA6" w:rsidRPr="00093EC2" w14:paraId="10983F15" w14:textId="77777777" w:rsidTr="005213E9">
        <w:trPr>
          <w:trHeight w:val="888"/>
        </w:trPr>
        <w:tc>
          <w:tcPr>
            <w:tcW w:w="1135" w:type="dxa"/>
            <w:shd w:val="clear" w:color="auto" w:fill="auto"/>
          </w:tcPr>
          <w:p w14:paraId="0B2AF20A" w14:textId="272B5813" w:rsidR="00FC0BA6" w:rsidRDefault="003F748B" w:rsidP="005213E9">
            <w:r>
              <w:t>E.7.</w:t>
            </w:r>
          </w:p>
        </w:tc>
        <w:tc>
          <w:tcPr>
            <w:tcW w:w="8186" w:type="dxa"/>
            <w:shd w:val="clear" w:color="auto" w:fill="auto"/>
          </w:tcPr>
          <w:p w14:paraId="0994128C" w14:textId="0FD6E565" w:rsidR="00F72503" w:rsidRPr="003F748B" w:rsidRDefault="003F748B" w:rsidP="00F72503">
            <w:pPr>
              <w:jc w:val="both"/>
              <w:rPr>
                <w:rFonts w:cs="Times New Roman"/>
                <w:szCs w:val="24"/>
              </w:rPr>
            </w:pPr>
            <w:r w:rsidRPr="003F748B">
              <w:rPr>
                <w:rFonts w:cs="Times New Roman"/>
                <w:szCs w:val="24"/>
              </w:rPr>
              <w:t xml:space="preserve">Z zastrzeżeniem pkt </w:t>
            </w:r>
            <w:r>
              <w:rPr>
                <w:rFonts w:cs="Times New Roman"/>
                <w:szCs w:val="24"/>
              </w:rPr>
              <w:t>E</w:t>
            </w:r>
            <w:r w:rsidRPr="003F748B">
              <w:rPr>
                <w:rFonts w:cs="Times New Roman"/>
                <w:szCs w:val="24"/>
              </w:rPr>
              <w:t xml:space="preserve">.2., </w:t>
            </w:r>
            <w:r>
              <w:rPr>
                <w:rFonts w:cs="Times New Roman"/>
                <w:szCs w:val="24"/>
              </w:rPr>
              <w:t>E</w:t>
            </w:r>
            <w:r w:rsidRPr="003F748B">
              <w:rPr>
                <w:rFonts w:cs="Times New Roman"/>
                <w:szCs w:val="24"/>
              </w:rPr>
              <w:t xml:space="preserve">.4. i </w:t>
            </w:r>
            <w:r>
              <w:rPr>
                <w:rFonts w:cs="Times New Roman"/>
                <w:szCs w:val="24"/>
              </w:rPr>
              <w:t>E</w:t>
            </w:r>
            <w:r w:rsidRPr="003F748B">
              <w:rPr>
                <w:rFonts w:cs="Times New Roman"/>
                <w:szCs w:val="24"/>
              </w:rPr>
              <w:t>.5., w przypadku, gdy POB wskazany przez sprzedawcę, URD</w:t>
            </w:r>
            <w:r w:rsidRPr="003F748B">
              <w:rPr>
                <w:rFonts w:cs="Times New Roman"/>
                <w:szCs w:val="24"/>
                <w:vertAlign w:val="subscript"/>
              </w:rPr>
              <w:t>W</w:t>
            </w:r>
            <w:r w:rsidRPr="003F748B">
              <w:rPr>
                <w:rFonts w:cs="Times New Roman"/>
                <w:szCs w:val="24"/>
              </w:rPr>
              <w:t xml:space="preserve"> lub URD</w:t>
            </w:r>
            <w:r w:rsidRPr="003F748B">
              <w:rPr>
                <w:rFonts w:cs="Times New Roman"/>
                <w:szCs w:val="24"/>
                <w:vertAlign w:val="subscript"/>
              </w:rPr>
              <w:t>ME</w:t>
            </w:r>
            <w:r w:rsidRPr="003F748B">
              <w:rPr>
                <w:rFonts w:cs="Times New Roman"/>
                <w:szCs w:val="24"/>
              </w:rPr>
              <w:t>, jako odpowiedzialny za jego bilansowanie handlowe, zaprzestanie niezależnie od przyczyny działalności na RB, wówczas odpowiedzialność za bilansowanie handlowe przechodzi ze skutkiem od dnia zaprzestania tej działalności przez dotychczasowego POB na nowego POB wskazanego przez sprzedawcę rezerwowego lub sprzedawcę z urzędu dla URD</w:t>
            </w:r>
            <w:r w:rsidRPr="003F748B">
              <w:rPr>
                <w:rFonts w:cs="Times New Roman"/>
                <w:szCs w:val="24"/>
                <w:vertAlign w:val="subscript"/>
              </w:rPr>
              <w:t>O</w:t>
            </w:r>
            <w:r w:rsidRPr="003F748B">
              <w:rPr>
                <w:rFonts w:cs="Times New Roman"/>
                <w:color w:val="FF0000"/>
                <w:szCs w:val="24"/>
              </w:rPr>
              <w:t xml:space="preserve"> </w:t>
            </w:r>
            <w:r w:rsidR="00F72503">
              <w:rPr>
                <w:rFonts w:cs="Times New Roman"/>
                <w:color w:val="FF0000"/>
                <w:szCs w:val="24"/>
              </w:rPr>
              <w:br/>
            </w:r>
            <w:r w:rsidRPr="003F748B">
              <w:rPr>
                <w:rFonts w:cs="Times New Roman"/>
                <w:szCs w:val="24"/>
              </w:rPr>
              <w:t>w przypadku utraty POB przez URD</w:t>
            </w:r>
            <w:r w:rsidRPr="003F748B">
              <w:rPr>
                <w:rFonts w:cs="Times New Roman"/>
                <w:szCs w:val="24"/>
                <w:vertAlign w:val="subscript"/>
              </w:rPr>
              <w:t>W</w:t>
            </w:r>
            <w:r w:rsidRPr="003F748B">
              <w:rPr>
                <w:rFonts w:cs="Times New Roman"/>
                <w:szCs w:val="24"/>
              </w:rPr>
              <w:t xml:space="preserve"> lub URD</w:t>
            </w:r>
            <w:r w:rsidRPr="003F748B">
              <w:rPr>
                <w:rFonts w:cs="Times New Roman"/>
                <w:szCs w:val="24"/>
                <w:vertAlign w:val="subscript"/>
              </w:rPr>
              <w:t>ME</w:t>
            </w:r>
            <w:r w:rsidRPr="003F748B">
              <w:rPr>
                <w:rFonts w:cs="Times New Roman"/>
                <w:szCs w:val="24"/>
              </w:rPr>
              <w:t>.</w:t>
            </w:r>
          </w:p>
        </w:tc>
      </w:tr>
      <w:tr w:rsidR="00F72503" w:rsidRPr="00093EC2" w14:paraId="33216657" w14:textId="77777777" w:rsidTr="005213E9">
        <w:trPr>
          <w:trHeight w:val="888"/>
        </w:trPr>
        <w:tc>
          <w:tcPr>
            <w:tcW w:w="1135" w:type="dxa"/>
            <w:shd w:val="clear" w:color="auto" w:fill="auto"/>
          </w:tcPr>
          <w:p w14:paraId="418C7A8D" w14:textId="1FA9EB03" w:rsidR="00F72503" w:rsidRDefault="00CF1728" w:rsidP="005213E9">
            <w:r>
              <w:t>E.8.</w:t>
            </w:r>
          </w:p>
        </w:tc>
        <w:tc>
          <w:tcPr>
            <w:tcW w:w="8186" w:type="dxa"/>
            <w:shd w:val="clear" w:color="auto" w:fill="auto"/>
          </w:tcPr>
          <w:p w14:paraId="45464066" w14:textId="3DA7EDA5" w:rsidR="00F72503" w:rsidRPr="00CF1728" w:rsidRDefault="00CF1728" w:rsidP="00F72503">
            <w:pPr>
              <w:jc w:val="both"/>
              <w:rPr>
                <w:rFonts w:cs="Times New Roman"/>
                <w:szCs w:val="24"/>
              </w:rPr>
            </w:pPr>
            <w:r w:rsidRPr="00CF1728">
              <w:rPr>
                <w:rFonts w:cs="Times New Roman"/>
                <w:szCs w:val="24"/>
              </w:rPr>
              <w:t>Jeżeli URDw lub URD</w:t>
            </w:r>
            <w:r w:rsidRPr="00CF1728">
              <w:rPr>
                <w:rFonts w:cs="Times New Roman"/>
                <w:szCs w:val="24"/>
                <w:vertAlign w:val="subscript"/>
              </w:rPr>
              <w:t>ME</w:t>
            </w:r>
            <w:r w:rsidRPr="00CF1728">
              <w:rPr>
                <w:rFonts w:cs="Times New Roman"/>
                <w:szCs w:val="24"/>
              </w:rPr>
              <w:t xml:space="preserve"> utraci wskazany przez siebie podmiot odpowiedzialny za jego bilansowanie handlowe, wówczas URDw lub URD</w:t>
            </w:r>
            <w:r w:rsidRPr="00CF1728">
              <w:rPr>
                <w:rFonts w:cs="Times New Roman"/>
                <w:szCs w:val="24"/>
                <w:vertAlign w:val="subscript"/>
              </w:rPr>
              <w:t>ME</w:t>
            </w:r>
            <w:r w:rsidRPr="00CF1728">
              <w:rPr>
                <w:rFonts w:cs="Times New Roman"/>
                <w:szCs w:val="24"/>
              </w:rPr>
              <w:t>, w porozumieniu z OSDn, winien zaprzestać wprowadzania energii do sieci dystrybucyjnej OSDn, a OSDn ma prawo do wyłączenia tego URDw lub URD</w:t>
            </w:r>
            <w:r w:rsidRPr="00CF1728">
              <w:rPr>
                <w:rFonts w:cs="Times New Roman"/>
                <w:szCs w:val="24"/>
                <w:vertAlign w:val="subscript"/>
              </w:rPr>
              <w:t>ME</w:t>
            </w:r>
            <w:r w:rsidRPr="00CF1728">
              <w:rPr>
                <w:rFonts w:cs="Times New Roman"/>
                <w:szCs w:val="24"/>
              </w:rPr>
              <w:t xml:space="preserve">, bez ponoszenia przez OSDn odpowiedzialności z tego tytułu. Sposób i zasady rozliczenia energii niezbilansowania w okresie poprzedzającym zaprzestanie wprowadzenia energii do sieci dystrybucyjnej, określone powinny zostać określone w umowie </w:t>
            </w:r>
            <w:r w:rsidRPr="00CF1728">
              <w:rPr>
                <w:rFonts w:cs="Times New Roman"/>
                <w:szCs w:val="24"/>
              </w:rPr>
              <w:br/>
              <w:t xml:space="preserve">o świadczenie usług dystrybucji energii elektrycznej zawartej pomiędzy OSDn, </w:t>
            </w:r>
            <w:r w:rsidR="00184363">
              <w:rPr>
                <w:rFonts w:cs="Times New Roman"/>
                <w:szCs w:val="24"/>
              </w:rPr>
              <w:br/>
            </w:r>
            <w:r w:rsidRPr="00CF1728">
              <w:rPr>
                <w:rFonts w:cs="Times New Roman"/>
                <w:szCs w:val="24"/>
              </w:rPr>
              <w:t>a URDw lub URD</w:t>
            </w:r>
            <w:r w:rsidRPr="00CF1728">
              <w:rPr>
                <w:rFonts w:cs="Times New Roman"/>
                <w:szCs w:val="24"/>
                <w:vertAlign w:val="subscript"/>
              </w:rPr>
              <w:t>ME</w:t>
            </w:r>
            <w:r w:rsidRPr="00CF1728">
              <w:rPr>
                <w:rFonts w:cs="Times New Roman"/>
                <w:szCs w:val="24"/>
              </w:rPr>
              <w:t>.</w:t>
            </w:r>
          </w:p>
        </w:tc>
      </w:tr>
      <w:tr w:rsidR="00CF1728" w:rsidRPr="00093EC2" w14:paraId="76F50CF2" w14:textId="77777777" w:rsidTr="005213E9">
        <w:trPr>
          <w:trHeight w:val="888"/>
        </w:trPr>
        <w:tc>
          <w:tcPr>
            <w:tcW w:w="1135" w:type="dxa"/>
            <w:shd w:val="clear" w:color="auto" w:fill="auto"/>
          </w:tcPr>
          <w:p w14:paraId="767927F7" w14:textId="2FBC9C11" w:rsidR="00CF1728" w:rsidRDefault="00CF1728" w:rsidP="005213E9">
            <w:r>
              <w:t>E.9.</w:t>
            </w:r>
          </w:p>
        </w:tc>
        <w:tc>
          <w:tcPr>
            <w:tcW w:w="8186" w:type="dxa"/>
            <w:shd w:val="clear" w:color="auto" w:fill="auto"/>
          </w:tcPr>
          <w:p w14:paraId="20FF232C" w14:textId="26B1C053" w:rsidR="00CF1728" w:rsidRPr="00CF1728" w:rsidRDefault="00CF1728" w:rsidP="00F72503">
            <w:pPr>
              <w:jc w:val="both"/>
              <w:rPr>
                <w:rFonts w:cs="Times New Roman"/>
                <w:szCs w:val="24"/>
              </w:rPr>
            </w:pPr>
            <w:r w:rsidRPr="00CF1728">
              <w:rPr>
                <w:rFonts w:cs="Times New Roman"/>
                <w:szCs w:val="24"/>
              </w:rPr>
              <w:t>OSDp niezwłocznie po uzyskaniu od OSP informacji o planowanym zaprzestaniu działalności na RB przez POB powiadamia sprzedawcę, URD</w:t>
            </w:r>
            <w:r w:rsidRPr="00CF1728">
              <w:rPr>
                <w:rFonts w:cs="Times New Roman"/>
                <w:szCs w:val="24"/>
                <w:vertAlign w:val="subscript"/>
              </w:rPr>
              <w:t>W</w:t>
            </w:r>
            <w:r w:rsidRPr="00CF1728">
              <w:rPr>
                <w:rFonts w:cs="Times New Roman"/>
                <w:szCs w:val="24"/>
              </w:rPr>
              <w:t xml:space="preserve"> lub URD</w:t>
            </w:r>
            <w:r w:rsidRPr="00CF1728">
              <w:rPr>
                <w:rFonts w:cs="Times New Roman"/>
                <w:szCs w:val="24"/>
                <w:vertAlign w:val="subscript"/>
              </w:rPr>
              <w:t>ME</w:t>
            </w:r>
            <w:r w:rsidRPr="00CF1728">
              <w:rPr>
                <w:rFonts w:cs="Times New Roman"/>
                <w:szCs w:val="24"/>
              </w:rPr>
              <w:t xml:space="preserve">, którzy wskazali tego POB jako odpowiedzialnego za ich bilansowanie handlowe oraz OSDn, o braku możliwości bilansowania handlowego przez wskazanego POB. </w:t>
            </w:r>
            <w:r>
              <w:rPr>
                <w:rFonts w:cs="Times New Roman"/>
                <w:szCs w:val="24"/>
              </w:rPr>
              <w:br/>
            </w:r>
            <w:r w:rsidRPr="00CF1728">
              <w:rPr>
                <w:rFonts w:cs="Times New Roman"/>
                <w:szCs w:val="24"/>
              </w:rPr>
              <w:t>W takim przypadku sprzedawca, URD</w:t>
            </w:r>
            <w:r w:rsidRPr="00CF1728">
              <w:rPr>
                <w:rFonts w:cs="Times New Roman"/>
                <w:szCs w:val="24"/>
                <w:vertAlign w:val="subscript"/>
              </w:rPr>
              <w:t>W</w:t>
            </w:r>
            <w:r w:rsidRPr="00CF1728">
              <w:rPr>
                <w:rFonts w:cs="Times New Roman"/>
                <w:szCs w:val="24"/>
              </w:rPr>
              <w:t xml:space="preserve"> lub URD</w:t>
            </w:r>
            <w:r w:rsidRPr="00CF1728">
              <w:rPr>
                <w:rFonts w:cs="Times New Roman"/>
                <w:szCs w:val="24"/>
                <w:vertAlign w:val="subscript"/>
              </w:rPr>
              <w:t>ME</w:t>
            </w:r>
            <w:r w:rsidRPr="00CF1728">
              <w:rPr>
                <w:rFonts w:cs="Times New Roman"/>
                <w:szCs w:val="24"/>
              </w:rPr>
              <w:t xml:space="preserve"> jest zobowiązany do zmiany POB. Zmiana ta musi nastąpić przed ww. terminem planowanego zaprzestania </w:t>
            </w:r>
            <w:r w:rsidRPr="00CF1728">
              <w:rPr>
                <w:rFonts w:cs="Times New Roman"/>
                <w:szCs w:val="24"/>
              </w:rPr>
              <w:lastRenderedPageBreak/>
              <w:t>działalności na RB przez dotychczasowego POB, z zachowaniem postanowień niniejszego rozdziału.</w:t>
            </w:r>
          </w:p>
        </w:tc>
      </w:tr>
      <w:tr w:rsidR="00ED4BE7" w:rsidRPr="00093EC2" w14:paraId="58059EB5" w14:textId="77777777" w:rsidTr="005213E9">
        <w:trPr>
          <w:trHeight w:val="888"/>
        </w:trPr>
        <w:tc>
          <w:tcPr>
            <w:tcW w:w="1135" w:type="dxa"/>
            <w:shd w:val="clear" w:color="auto" w:fill="auto"/>
          </w:tcPr>
          <w:p w14:paraId="5D5E9AC6" w14:textId="72C1B565" w:rsidR="00ED4BE7" w:rsidRDefault="00ED4BE7" w:rsidP="005213E9">
            <w:r>
              <w:lastRenderedPageBreak/>
              <w:t>E.10.</w:t>
            </w:r>
          </w:p>
        </w:tc>
        <w:tc>
          <w:tcPr>
            <w:tcW w:w="8186" w:type="dxa"/>
            <w:shd w:val="clear" w:color="auto" w:fill="auto"/>
          </w:tcPr>
          <w:p w14:paraId="11648316" w14:textId="497C1651" w:rsidR="00ED4BE7" w:rsidRPr="00ED4BE7" w:rsidRDefault="00ED4BE7" w:rsidP="00F72503">
            <w:pPr>
              <w:jc w:val="both"/>
              <w:rPr>
                <w:rFonts w:cs="Times New Roman"/>
                <w:szCs w:val="24"/>
              </w:rPr>
            </w:pPr>
            <w:r w:rsidRPr="00ED4BE7">
              <w:rPr>
                <w:rFonts w:cs="Times New Roman"/>
                <w:szCs w:val="24"/>
              </w:rPr>
              <w:t>POB odpowiedzialny za bilansowanie sprzedawcy, URD</w:t>
            </w:r>
            <w:r w:rsidRPr="00ED4BE7">
              <w:rPr>
                <w:rFonts w:cs="Times New Roman"/>
                <w:szCs w:val="24"/>
                <w:vertAlign w:val="subscript"/>
              </w:rPr>
              <w:t>W</w:t>
            </w:r>
            <w:r w:rsidRPr="00ED4BE7">
              <w:rPr>
                <w:rFonts w:cs="Times New Roman"/>
                <w:szCs w:val="24"/>
              </w:rPr>
              <w:t xml:space="preserve"> lub URD</w:t>
            </w:r>
            <w:r w:rsidRPr="00ED4BE7">
              <w:rPr>
                <w:rFonts w:cs="Times New Roman"/>
                <w:szCs w:val="24"/>
                <w:vertAlign w:val="subscript"/>
              </w:rPr>
              <w:t>ME</w:t>
            </w:r>
            <w:r w:rsidRPr="00ED4BE7">
              <w:rPr>
                <w:rFonts w:cs="Times New Roman"/>
                <w:szCs w:val="24"/>
              </w:rPr>
              <w:t xml:space="preserve"> jest zobowiązany do natychmiastowego poinformowania OSDp, sprzedawcy, URD</w:t>
            </w:r>
            <w:r w:rsidRPr="00ED4BE7">
              <w:rPr>
                <w:rFonts w:cs="Times New Roman"/>
                <w:szCs w:val="24"/>
                <w:vertAlign w:val="subscript"/>
              </w:rPr>
              <w:t>W</w:t>
            </w:r>
            <w:r w:rsidRPr="00ED4BE7">
              <w:rPr>
                <w:rFonts w:cs="Times New Roman"/>
                <w:szCs w:val="24"/>
              </w:rPr>
              <w:t xml:space="preserve"> lub URD</w:t>
            </w:r>
            <w:r w:rsidRPr="00ED4BE7">
              <w:rPr>
                <w:rFonts w:cs="Times New Roman"/>
                <w:szCs w:val="24"/>
                <w:vertAlign w:val="subscript"/>
              </w:rPr>
              <w:t>ME</w:t>
            </w:r>
            <w:r w:rsidRPr="00ED4BE7">
              <w:rPr>
                <w:rFonts w:cs="Times New Roman"/>
                <w:szCs w:val="24"/>
              </w:rPr>
              <w:t>, który go wskazał oraz OSDn, o zaprzestaniu działalności na RB.</w:t>
            </w:r>
          </w:p>
        </w:tc>
      </w:tr>
      <w:tr w:rsidR="00410B1B" w:rsidRPr="00093EC2" w14:paraId="28FCA142" w14:textId="77777777" w:rsidTr="005213E9">
        <w:trPr>
          <w:trHeight w:val="1094"/>
        </w:trPr>
        <w:tc>
          <w:tcPr>
            <w:tcW w:w="1135" w:type="dxa"/>
            <w:shd w:val="clear" w:color="auto" w:fill="auto"/>
          </w:tcPr>
          <w:p w14:paraId="76CB618E" w14:textId="06376EBA" w:rsidR="00C44BE8" w:rsidRPr="002B5135" w:rsidRDefault="00C44BE8" w:rsidP="005213E9">
            <w:r>
              <w:t>E.</w:t>
            </w:r>
            <w:r w:rsidR="00410B1B">
              <w:t>11</w:t>
            </w:r>
            <w:r>
              <w:t>.</w:t>
            </w:r>
          </w:p>
        </w:tc>
        <w:tc>
          <w:tcPr>
            <w:tcW w:w="8186" w:type="dxa"/>
            <w:shd w:val="clear" w:color="auto" w:fill="auto"/>
          </w:tcPr>
          <w:p w14:paraId="26BDE05C" w14:textId="18EBDFA1" w:rsidR="00410B1B" w:rsidRPr="00410B1B" w:rsidRDefault="00410B1B" w:rsidP="00410B1B">
            <w:pPr>
              <w:pStyle w:val="Default"/>
              <w:spacing w:before="120"/>
              <w:ind w:left="-27" w:firstLine="27"/>
              <w:jc w:val="both"/>
              <w:rPr>
                <w:color w:val="auto"/>
              </w:rPr>
            </w:pPr>
            <w:r w:rsidRPr="00410B1B">
              <w:rPr>
                <w:color w:val="auto"/>
              </w:rPr>
              <w:t>Powiadomienie OSDp o zakończeniu prowadzenia przez POB bilansowania handlowego sprzedawcy, URD</w:t>
            </w:r>
            <w:r w:rsidRPr="00410B1B">
              <w:rPr>
                <w:color w:val="auto"/>
                <w:vertAlign w:val="subscript"/>
              </w:rPr>
              <w:t>W</w:t>
            </w:r>
            <w:r w:rsidRPr="00410B1B">
              <w:rPr>
                <w:color w:val="auto"/>
              </w:rPr>
              <w:t xml:space="preserve"> lub URD</w:t>
            </w:r>
            <w:r w:rsidRPr="00410B1B">
              <w:rPr>
                <w:color w:val="auto"/>
                <w:vertAlign w:val="subscript"/>
              </w:rPr>
              <w:t>ME</w:t>
            </w:r>
            <w:r w:rsidRPr="00410B1B">
              <w:rPr>
                <w:color w:val="auto"/>
              </w:rPr>
              <w:t xml:space="preserve"> albo o rozwiązaniu umowy </w:t>
            </w:r>
            <w:r w:rsidR="007547E3">
              <w:rPr>
                <w:color w:val="auto"/>
              </w:rPr>
              <w:br/>
            </w:r>
            <w:r w:rsidRPr="00410B1B">
              <w:rPr>
                <w:color w:val="auto"/>
              </w:rPr>
              <w:t xml:space="preserve">o świadczenie usług bilansowania handlowego zawartej pomiędzy POB, </w:t>
            </w:r>
            <w:r w:rsidR="00400C4A">
              <w:rPr>
                <w:color w:val="auto"/>
              </w:rPr>
              <w:br/>
            </w:r>
            <w:r w:rsidRPr="00410B1B">
              <w:rPr>
                <w:color w:val="auto"/>
              </w:rPr>
              <w:t>a sprzedawcą albo pomiędzy POB a URD</w:t>
            </w:r>
            <w:r w:rsidRPr="00410B1B">
              <w:rPr>
                <w:color w:val="auto"/>
                <w:vertAlign w:val="subscript"/>
              </w:rPr>
              <w:t>W</w:t>
            </w:r>
            <w:r w:rsidRPr="00410B1B">
              <w:rPr>
                <w:color w:val="auto"/>
              </w:rPr>
              <w:t xml:space="preserve"> albo między POB a URD</w:t>
            </w:r>
            <w:r w:rsidRPr="00410B1B">
              <w:rPr>
                <w:color w:val="auto"/>
                <w:vertAlign w:val="subscript"/>
              </w:rPr>
              <w:t>ME</w:t>
            </w:r>
            <w:r w:rsidRPr="00410B1B">
              <w:rPr>
                <w:color w:val="auto"/>
              </w:rPr>
              <w:t xml:space="preserve"> powinno nastąpić niezwłocznie po uzyskaniu takich informacji przez ww. podmioty, jednak nie później niż 15 dni kalendarzowych przed zakończeniem przez POB bilansowania handlowego sprzedawcy, URD</w:t>
            </w:r>
            <w:r w:rsidRPr="00410B1B">
              <w:rPr>
                <w:color w:val="auto"/>
                <w:vertAlign w:val="subscript"/>
              </w:rPr>
              <w:t>W</w:t>
            </w:r>
            <w:r w:rsidRPr="00410B1B">
              <w:rPr>
                <w:color w:val="auto"/>
              </w:rPr>
              <w:t xml:space="preserve"> lub URD</w:t>
            </w:r>
            <w:r w:rsidRPr="00410B1B">
              <w:rPr>
                <w:color w:val="auto"/>
                <w:vertAlign w:val="subscript"/>
              </w:rPr>
              <w:t>ME</w:t>
            </w:r>
            <w:r w:rsidRPr="00410B1B">
              <w:rPr>
                <w:color w:val="auto"/>
              </w:rPr>
              <w:t>.</w:t>
            </w:r>
          </w:p>
          <w:p w14:paraId="508A958D" w14:textId="77777777" w:rsidR="00CA2C53" w:rsidRDefault="00410B1B" w:rsidP="00410B1B">
            <w:pPr>
              <w:pStyle w:val="Default"/>
              <w:ind w:left="-27" w:firstLine="27"/>
              <w:jc w:val="both"/>
              <w:rPr>
                <w:color w:val="auto"/>
              </w:rPr>
            </w:pPr>
            <w:r w:rsidRPr="00410B1B">
              <w:rPr>
                <w:color w:val="auto"/>
              </w:rPr>
              <w:t>W przypadku niedotrzymania powyższego terminu, POB będzie prowadził bilansowanie handlowe sprzedawcy, URD</w:t>
            </w:r>
            <w:r w:rsidRPr="00410B1B">
              <w:rPr>
                <w:color w:val="auto"/>
                <w:vertAlign w:val="subscript"/>
              </w:rPr>
              <w:t>W</w:t>
            </w:r>
            <w:r w:rsidRPr="00410B1B">
              <w:rPr>
                <w:color w:val="auto"/>
              </w:rPr>
              <w:t xml:space="preserve"> lub URD</w:t>
            </w:r>
            <w:r w:rsidRPr="00410B1B">
              <w:rPr>
                <w:color w:val="auto"/>
                <w:vertAlign w:val="subscript"/>
              </w:rPr>
              <w:t>ME</w:t>
            </w:r>
            <w:r w:rsidRPr="00410B1B">
              <w:rPr>
                <w:color w:val="auto"/>
              </w:rPr>
              <w:t xml:space="preserve"> do 15 dnia kalendarzowego od uzyskania tej informacji przez OSDp, chyba, że w terminie wcześniejszym nastąpi zmiana POB zgodnie z procedurą określoną w pkt </w:t>
            </w:r>
            <w:r w:rsidR="007547E3">
              <w:rPr>
                <w:color w:val="auto"/>
              </w:rPr>
              <w:t>E</w:t>
            </w:r>
            <w:r w:rsidRPr="00410B1B">
              <w:rPr>
                <w:color w:val="auto"/>
              </w:rPr>
              <w:t>.2.,</w:t>
            </w:r>
            <w:r w:rsidR="007547E3">
              <w:rPr>
                <w:color w:val="auto"/>
              </w:rPr>
              <w:t xml:space="preserve"> E</w:t>
            </w:r>
            <w:r w:rsidRPr="00410B1B">
              <w:rPr>
                <w:color w:val="auto"/>
              </w:rPr>
              <w:t xml:space="preserve">.4. i </w:t>
            </w:r>
            <w:r w:rsidR="007547E3">
              <w:rPr>
                <w:color w:val="auto"/>
              </w:rPr>
              <w:t>E</w:t>
            </w:r>
            <w:r w:rsidRPr="00410B1B">
              <w:rPr>
                <w:color w:val="auto"/>
              </w:rPr>
              <w:t>.5.</w:t>
            </w:r>
          </w:p>
          <w:p w14:paraId="58B16856" w14:textId="6A260B40" w:rsidR="007B11D2" w:rsidRPr="00093EC2" w:rsidRDefault="007B11D2" w:rsidP="00410B1B">
            <w:pPr>
              <w:pStyle w:val="Default"/>
              <w:ind w:left="-27" w:firstLine="27"/>
              <w:jc w:val="both"/>
            </w:pPr>
          </w:p>
        </w:tc>
      </w:tr>
    </w:tbl>
    <w:p w14:paraId="7EC317AC" w14:textId="3F56FFA5" w:rsidR="00B15D46" w:rsidRDefault="00B15D46" w:rsidP="00B15D46">
      <w:pPr>
        <w:pStyle w:val="Nagwek1"/>
        <w:tabs>
          <w:tab w:val="left" w:pos="709"/>
        </w:tabs>
        <w:spacing w:before="120"/>
        <w:ind w:left="567" w:hanging="567"/>
        <w:rPr>
          <w:sz w:val="28"/>
          <w:szCs w:val="28"/>
        </w:rPr>
      </w:pPr>
      <w:bookmarkStart w:id="124" w:name="_Toc532193598"/>
      <w:bookmarkStart w:id="125" w:name="_Toc141963926"/>
      <w:r>
        <w:rPr>
          <w:sz w:val="28"/>
          <w:szCs w:val="28"/>
        </w:rPr>
        <w:t>F</w:t>
      </w:r>
      <w:r w:rsidRPr="002B5135">
        <w:rPr>
          <w:sz w:val="28"/>
          <w:szCs w:val="28"/>
        </w:rPr>
        <w:t>.</w:t>
      </w:r>
      <w:r w:rsidRPr="002B5135">
        <w:rPr>
          <w:sz w:val="28"/>
          <w:szCs w:val="28"/>
        </w:rPr>
        <w:tab/>
        <w:t xml:space="preserve">ZASADY </w:t>
      </w:r>
      <w:r w:rsidR="00845A29">
        <w:rPr>
          <w:sz w:val="28"/>
          <w:szCs w:val="28"/>
        </w:rPr>
        <w:t xml:space="preserve">OPRACOWANIA, AKTUALIZACJI I UDOSTĘPNIANIA </w:t>
      </w:r>
      <w:r w:rsidRPr="002B5135">
        <w:rPr>
          <w:sz w:val="28"/>
          <w:szCs w:val="28"/>
        </w:rPr>
        <w:t>STANDARDOWYCH PROFILI ZUŻYCIA</w:t>
      </w:r>
      <w:bookmarkEnd w:id="124"/>
      <w:bookmarkEnd w:id="125"/>
    </w:p>
    <w:p w14:paraId="1D701241" w14:textId="77777777" w:rsidR="00C32417" w:rsidRPr="00C32417" w:rsidRDefault="00C32417" w:rsidP="00C32417"/>
    <w:tbl>
      <w:tblPr>
        <w:tblW w:w="9282" w:type="dxa"/>
        <w:tblInd w:w="-72" w:type="dxa"/>
        <w:tblLayout w:type="fixed"/>
        <w:tblCellMar>
          <w:left w:w="70" w:type="dxa"/>
          <w:right w:w="70" w:type="dxa"/>
        </w:tblCellMar>
        <w:tblLook w:val="0000" w:firstRow="0" w:lastRow="0" w:firstColumn="0" w:lastColumn="0" w:noHBand="0" w:noVBand="0"/>
      </w:tblPr>
      <w:tblGrid>
        <w:gridCol w:w="993"/>
        <w:gridCol w:w="8289"/>
      </w:tblGrid>
      <w:tr w:rsidR="00B15D46" w:rsidRPr="002B5135" w14:paraId="4E9D4428" w14:textId="77777777" w:rsidTr="002D212B">
        <w:tc>
          <w:tcPr>
            <w:tcW w:w="993" w:type="dxa"/>
            <w:shd w:val="clear" w:color="auto" w:fill="auto"/>
          </w:tcPr>
          <w:p w14:paraId="6F790953" w14:textId="77777777" w:rsidR="00B15D46" w:rsidRPr="002B5135" w:rsidRDefault="00B15D46" w:rsidP="00C32417">
            <w:pPr>
              <w:pStyle w:val="StylTcd"/>
              <w:keepLines w:val="0"/>
              <w:pageBreakBefore w:val="0"/>
              <w:spacing w:before="0" w:after="0"/>
              <w:jc w:val="left"/>
              <w:rPr>
                <w:color w:val="auto"/>
              </w:rPr>
            </w:pPr>
            <w:r>
              <w:rPr>
                <w:color w:val="auto"/>
              </w:rPr>
              <w:t>F</w:t>
            </w:r>
            <w:r w:rsidRPr="002B5135">
              <w:rPr>
                <w:color w:val="auto"/>
              </w:rPr>
              <w:t>.1.</w:t>
            </w:r>
          </w:p>
        </w:tc>
        <w:tc>
          <w:tcPr>
            <w:tcW w:w="8289" w:type="dxa"/>
            <w:shd w:val="clear" w:color="auto" w:fill="auto"/>
          </w:tcPr>
          <w:p w14:paraId="17561BA4" w14:textId="3917EB79" w:rsidR="00B15D46" w:rsidRDefault="00B15D46" w:rsidP="00C32417">
            <w:pPr>
              <w:pStyle w:val="Tekstpodstawowy"/>
              <w:tabs>
                <w:tab w:val="clear" w:pos="4536"/>
                <w:tab w:val="clear" w:pos="9072"/>
              </w:tabs>
              <w:spacing w:before="0" w:line="240" w:lineRule="auto"/>
              <w:rPr>
                <w:color w:val="auto"/>
                <w:lang w:val="pl-PL" w:eastAsia="pl-PL"/>
              </w:rPr>
            </w:pPr>
            <w:r w:rsidRPr="00A9485E">
              <w:rPr>
                <w:color w:val="auto"/>
                <w:lang w:val="pl-PL" w:eastAsia="pl-PL"/>
              </w:rPr>
              <w:t xml:space="preserve">OSDn </w:t>
            </w:r>
            <w:r w:rsidR="003D3806">
              <w:rPr>
                <w:color w:val="auto"/>
                <w:lang w:val="pl-PL" w:eastAsia="pl-PL"/>
              </w:rPr>
              <w:t xml:space="preserve">opracowuje i aktualizuje </w:t>
            </w:r>
            <w:r w:rsidRPr="00A9485E">
              <w:rPr>
                <w:color w:val="auto"/>
                <w:lang w:val="pl-PL" w:eastAsia="pl-PL"/>
              </w:rPr>
              <w:t xml:space="preserve">standardowe profile zużycia (profile) na podstawie pomierzonych zmienności obciążeń dobowych odbiorców przyłączonych bezpośrednio do sieci dystrybucyjnej nN oraz o mocy umownej nie większej niż </w:t>
            </w:r>
            <w:r w:rsidR="003734A5">
              <w:rPr>
                <w:color w:val="auto"/>
                <w:lang w:val="pl-PL" w:eastAsia="pl-PL"/>
              </w:rPr>
              <w:br/>
            </w:r>
            <w:r w:rsidRPr="00A9485E">
              <w:rPr>
                <w:color w:val="auto"/>
                <w:lang w:val="pl-PL" w:eastAsia="pl-PL"/>
              </w:rPr>
              <w:t>40 kW</w:t>
            </w:r>
            <w:r w:rsidR="008B6C8A">
              <w:rPr>
                <w:color w:val="auto"/>
                <w:lang w:val="pl-PL" w:eastAsia="pl-PL"/>
              </w:rPr>
              <w:t xml:space="preserve"> lub na podstawie </w:t>
            </w:r>
            <w:r w:rsidR="008B6C8A" w:rsidRPr="00A9485E">
              <w:rPr>
                <w:color w:val="auto"/>
                <w:lang w:val="pl-PL" w:eastAsia="pl-PL"/>
              </w:rPr>
              <w:t>standardow</w:t>
            </w:r>
            <w:r w:rsidR="008B6C8A">
              <w:rPr>
                <w:color w:val="auto"/>
                <w:lang w:val="pl-PL" w:eastAsia="pl-PL"/>
              </w:rPr>
              <w:t>ych</w:t>
            </w:r>
            <w:r w:rsidR="008B6C8A" w:rsidRPr="00A9485E">
              <w:rPr>
                <w:color w:val="auto"/>
                <w:lang w:val="pl-PL" w:eastAsia="pl-PL"/>
              </w:rPr>
              <w:t xml:space="preserve"> profil</w:t>
            </w:r>
            <w:r w:rsidR="008B6C8A">
              <w:rPr>
                <w:color w:val="auto"/>
                <w:lang w:val="pl-PL" w:eastAsia="pl-PL"/>
              </w:rPr>
              <w:t>i</w:t>
            </w:r>
            <w:r w:rsidR="008B6C8A" w:rsidRPr="00A9485E">
              <w:rPr>
                <w:color w:val="auto"/>
                <w:lang w:val="pl-PL" w:eastAsia="pl-PL"/>
              </w:rPr>
              <w:t xml:space="preserve"> zużycia</w:t>
            </w:r>
            <w:r w:rsidR="008B6C8A">
              <w:rPr>
                <w:color w:val="auto"/>
                <w:lang w:val="pl-PL" w:eastAsia="pl-PL"/>
              </w:rPr>
              <w:t xml:space="preserve"> publikowanych przez OSDp.</w:t>
            </w:r>
            <w:r w:rsidR="003734A5">
              <w:rPr>
                <w:color w:val="auto"/>
                <w:lang w:val="pl-PL" w:eastAsia="pl-PL"/>
              </w:rPr>
              <w:t xml:space="preserve"> </w:t>
            </w:r>
          </w:p>
          <w:p w14:paraId="11679A75" w14:textId="5D6F14C7" w:rsidR="003734A5" w:rsidRPr="00A9485E" w:rsidRDefault="003734A5" w:rsidP="00C32417">
            <w:pPr>
              <w:pStyle w:val="Tekstpodstawowy"/>
              <w:tabs>
                <w:tab w:val="clear" w:pos="4536"/>
                <w:tab w:val="clear" w:pos="9072"/>
              </w:tabs>
              <w:spacing w:before="0" w:line="240" w:lineRule="auto"/>
              <w:rPr>
                <w:color w:val="auto"/>
                <w:lang w:val="pl-PL" w:eastAsia="pl-PL"/>
              </w:rPr>
            </w:pPr>
            <w:r>
              <w:t>Profile są opracowywane i aktualizowane w zależności od zmienności danych będących podstawą ich opracowania</w:t>
            </w:r>
          </w:p>
        </w:tc>
      </w:tr>
      <w:tr w:rsidR="00B15D46" w:rsidRPr="002B5135" w14:paraId="3D2C675B" w14:textId="77777777" w:rsidTr="002D212B">
        <w:tc>
          <w:tcPr>
            <w:tcW w:w="993" w:type="dxa"/>
            <w:shd w:val="clear" w:color="auto" w:fill="auto"/>
          </w:tcPr>
          <w:p w14:paraId="024CA194" w14:textId="77777777" w:rsidR="00B15D46" w:rsidRPr="002B5135" w:rsidRDefault="00B15D46" w:rsidP="00C32417">
            <w:pPr>
              <w:pStyle w:val="StylTcd"/>
              <w:keepLines w:val="0"/>
              <w:pageBreakBefore w:val="0"/>
              <w:spacing w:before="0" w:after="0"/>
              <w:jc w:val="left"/>
              <w:rPr>
                <w:color w:val="auto"/>
              </w:rPr>
            </w:pPr>
            <w:r>
              <w:rPr>
                <w:color w:val="auto"/>
              </w:rPr>
              <w:t>F</w:t>
            </w:r>
            <w:r w:rsidRPr="002B5135">
              <w:rPr>
                <w:color w:val="auto"/>
              </w:rPr>
              <w:t>.2.</w:t>
            </w:r>
          </w:p>
        </w:tc>
        <w:tc>
          <w:tcPr>
            <w:tcW w:w="8289" w:type="dxa"/>
            <w:shd w:val="clear" w:color="auto" w:fill="auto"/>
          </w:tcPr>
          <w:p w14:paraId="50DF6595" w14:textId="77777777" w:rsidR="00B15D46" w:rsidRPr="00A9485E" w:rsidRDefault="00B15D46" w:rsidP="00C32417">
            <w:pPr>
              <w:pStyle w:val="Tekstpodstawowy"/>
              <w:tabs>
                <w:tab w:val="clear" w:pos="4536"/>
                <w:tab w:val="clear" w:pos="9072"/>
              </w:tabs>
              <w:spacing w:before="0" w:line="240" w:lineRule="auto"/>
              <w:rPr>
                <w:color w:val="auto"/>
                <w:lang w:val="pl-PL" w:eastAsia="pl-PL"/>
              </w:rPr>
            </w:pPr>
            <w:r w:rsidRPr="00A9485E">
              <w:rPr>
                <w:color w:val="auto"/>
                <w:lang w:val="pl-PL" w:eastAsia="pl-PL"/>
              </w:rPr>
              <w:t>Dla odbiorców, którzy chcą skorzystać z prawa wyboru sprzedawcy, o których mowa w pkt</w:t>
            </w:r>
            <w:r>
              <w:rPr>
                <w:color w:val="auto"/>
                <w:lang w:val="pl-PL" w:eastAsia="pl-PL"/>
              </w:rPr>
              <w:t>.</w:t>
            </w:r>
            <w:r w:rsidRPr="00A9485E">
              <w:rPr>
                <w:color w:val="auto"/>
                <w:lang w:val="pl-PL" w:eastAsia="pl-PL"/>
              </w:rPr>
              <w:t xml:space="preserve"> </w:t>
            </w:r>
            <w:r>
              <w:rPr>
                <w:color w:val="auto"/>
                <w:lang w:val="pl-PL" w:eastAsia="pl-PL"/>
              </w:rPr>
              <w:t>F</w:t>
            </w:r>
            <w:r w:rsidRPr="00A9485E">
              <w:rPr>
                <w:color w:val="auto"/>
                <w:lang w:val="pl-PL" w:eastAsia="pl-PL"/>
              </w:rPr>
              <w:t>.1., OSDn na podstawie:</w:t>
            </w:r>
          </w:p>
          <w:p w14:paraId="2548F587" w14:textId="77777777" w:rsidR="00B15D46" w:rsidRPr="00A9485E" w:rsidRDefault="00B15D46">
            <w:pPr>
              <w:pStyle w:val="Tekstpodstawowy"/>
              <w:numPr>
                <w:ilvl w:val="0"/>
                <w:numId w:val="175"/>
              </w:numPr>
              <w:tabs>
                <w:tab w:val="clear" w:pos="4536"/>
                <w:tab w:val="clear" w:pos="9072"/>
              </w:tabs>
              <w:spacing w:before="0" w:line="240" w:lineRule="auto"/>
              <w:rPr>
                <w:color w:val="auto"/>
                <w:lang w:val="pl-PL" w:eastAsia="pl-PL"/>
              </w:rPr>
            </w:pPr>
            <w:r w:rsidRPr="00A9485E">
              <w:rPr>
                <w:color w:val="auto"/>
                <w:lang w:val="pl-PL" w:eastAsia="pl-PL"/>
              </w:rPr>
              <w:t>parametrów technicznych przyłącza,</w:t>
            </w:r>
          </w:p>
          <w:p w14:paraId="7AFFF1D7" w14:textId="77777777" w:rsidR="00B15D46" w:rsidRPr="00A9485E" w:rsidRDefault="00B15D46">
            <w:pPr>
              <w:pStyle w:val="Tekstpodstawowy"/>
              <w:numPr>
                <w:ilvl w:val="0"/>
                <w:numId w:val="175"/>
              </w:numPr>
              <w:tabs>
                <w:tab w:val="clear" w:pos="4536"/>
                <w:tab w:val="clear" w:pos="9072"/>
              </w:tabs>
              <w:spacing w:before="0" w:line="240" w:lineRule="auto"/>
              <w:rPr>
                <w:color w:val="auto"/>
                <w:lang w:val="pl-PL" w:eastAsia="pl-PL"/>
              </w:rPr>
            </w:pPr>
            <w:r w:rsidRPr="00A9485E">
              <w:rPr>
                <w:color w:val="auto"/>
                <w:lang w:val="pl-PL" w:eastAsia="pl-PL"/>
              </w:rPr>
              <w:t>grupy taryfowej określonej w umowie o świadczenie usług dystrybucji lub umowie kompleksowej,</w:t>
            </w:r>
          </w:p>
          <w:p w14:paraId="47EDAEFB" w14:textId="77777777" w:rsidR="00B15D46" w:rsidRPr="00A9485E" w:rsidRDefault="00B15D46">
            <w:pPr>
              <w:pStyle w:val="Tekstpodstawowy"/>
              <w:numPr>
                <w:ilvl w:val="0"/>
                <w:numId w:val="175"/>
              </w:numPr>
              <w:tabs>
                <w:tab w:val="clear" w:pos="4536"/>
                <w:tab w:val="clear" w:pos="9072"/>
              </w:tabs>
              <w:spacing w:before="0" w:line="240" w:lineRule="auto"/>
              <w:rPr>
                <w:color w:val="auto"/>
                <w:lang w:val="pl-PL" w:eastAsia="pl-PL"/>
              </w:rPr>
            </w:pPr>
            <w:r w:rsidRPr="00A9485E">
              <w:rPr>
                <w:color w:val="auto"/>
                <w:lang w:val="pl-PL" w:eastAsia="pl-PL"/>
              </w:rPr>
              <w:t>historycznego lub przewidywanego rocznego zużycia energii elektrycznej,</w:t>
            </w:r>
          </w:p>
          <w:p w14:paraId="08C52F78" w14:textId="77777777" w:rsidR="009A045D" w:rsidRPr="008A3FBE" w:rsidRDefault="009A045D" w:rsidP="009A045D">
            <w:pPr>
              <w:autoSpaceDE w:val="0"/>
              <w:autoSpaceDN w:val="0"/>
              <w:adjustRightInd w:val="0"/>
              <w:spacing w:line="276" w:lineRule="auto"/>
              <w:jc w:val="both"/>
              <w:rPr>
                <w:rFonts w:cs="Times New Roman"/>
                <w:color w:val="000000"/>
                <w:sz w:val="23"/>
                <w:szCs w:val="23"/>
              </w:rPr>
            </w:pPr>
            <w:r w:rsidRPr="008A3FBE">
              <w:rPr>
                <w:rFonts w:cs="Times New Roman"/>
                <w:color w:val="000000"/>
                <w:sz w:val="23"/>
                <w:szCs w:val="23"/>
              </w:rPr>
              <w:t xml:space="preserve">d) charakteru odbioru (potrzeb, na jakie zużywana jest energia elektryczna), </w:t>
            </w:r>
          </w:p>
          <w:p w14:paraId="0FBAB2CA" w14:textId="77777777" w:rsidR="009A045D" w:rsidRPr="008A3FBE" w:rsidRDefault="009A045D" w:rsidP="009A045D">
            <w:pPr>
              <w:autoSpaceDE w:val="0"/>
              <w:autoSpaceDN w:val="0"/>
              <w:adjustRightInd w:val="0"/>
              <w:spacing w:line="276" w:lineRule="auto"/>
              <w:jc w:val="both"/>
              <w:rPr>
                <w:rFonts w:cs="Times New Roman"/>
                <w:color w:val="000000"/>
                <w:sz w:val="23"/>
                <w:szCs w:val="23"/>
              </w:rPr>
            </w:pPr>
            <w:r w:rsidRPr="008A3FBE">
              <w:rPr>
                <w:rFonts w:cs="Times New Roman"/>
                <w:color w:val="000000"/>
                <w:sz w:val="23"/>
                <w:szCs w:val="23"/>
              </w:rPr>
              <w:t xml:space="preserve">przydziela odpowiedni profil. </w:t>
            </w:r>
          </w:p>
          <w:p w14:paraId="045E9FFD" w14:textId="0FFA495D" w:rsidR="00B15D46" w:rsidRPr="00A9485E" w:rsidRDefault="009A045D" w:rsidP="009A045D">
            <w:pPr>
              <w:autoSpaceDE w:val="0"/>
              <w:autoSpaceDN w:val="0"/>
              <w:adjustRightInd w:val="0"/>
              <w:spacing w:line="276" w:lineRule="auto"/>
              <w:jc w:val="both"/>
            </w:pPr>
            <w:r w:rsidRPr="008A3FBE">
              <w:rPr>
                <w:rFonts w:cs="Times New Roman"/>
                <w:color w:val="000000"/>
                <w:sz w:val="23"/>
                <w:szCs w:val="23"/>
              </w:rPr>
              <w:t xml:space="preserve">Przydzielony standardowy profil zużycia może być wykorzystany przez </w:t>
            </w:r>
            <w:r>
              <w:rPr>
                <w:rFonts w:cs="Times New Roman"/>
                <w:color w:val="000000"/>
                <w:sz w:val="23"/>
                <w:szCs w:val="23"/>
              </w:rPr>
              <w:t>OSDn</w:t>
            </w:r>
            <w:r w:rsidRPr="008A3FBE">
              <w:rPr>
                <w:rFonts w:cs="Times New Roman"/>
                <w:color w:val="000000"/>
                <w:sz w:val="23"/>
                <w:szCs w:val="23"/>
              </w:rPr>
              <w:t xml:space="preserve"> na potrzeby, o których mowa w pkt. C.2. </w:t>
            </w:r>
          </w:p>
        </w:tc>
      </w:tr>
      <w:tr w:rsidR="00B15D46" w:rsidRPr="002B5135" w14:paraId="7BAA988A" w14:textId="77777777" w:rsidTr="002D212B">
        <w:tc>
          <w:tcPr>
            <w:tcW w:w="993" w:type="dxa"/>
            <w:shd w:val="clear" w:color="auto" w:fill="auto"/>
          </w:tcPr>
          <w:p w14:paraId="6B85DB9B" w14:textId="77777777" w:rsidR="00B15D46" w:rsidRPr="002B5135" w:rsidRDefault="00B15D46" w:rsidP="00C32417">
            <w:pPr>
              <w:pStyle w:val="StylTcd"/>
              <w:keepLines w:val="0"/>
              <w:pageBreakBefore w:val="0"/>
              <w:spacing w:before="0" w:after="0"/>
              <w:jc w:val="left"/>
              <w:rPr>
                <w:color w:val="auto"/>
              </w:rPr>
            </w:pPr>
            <w:r>
              <w:rPr>
                <w:color w:val="auto"/>
              </w:rPr>
              <w:t>F</w:t>
            </w:r>
            <w:r w:rsidRPr="002B5135">
              <w:rPr>
                <w:color w:val="auto"/>
              </w:rPr>
              <w:t>.3.</w:t>
            </w:r>
          </w:p>
        </w:tc>
        <w:tc>
          <w:tcPr>
            <w:tcW w:w="8289" w:type="dxa"/>
            <w:shd w:val="clear" w:color="auto" w:fill="auto"/>
          </w:tcPr>
          <w:p w14:paraId="0946C971" w14:textId="77777777" w:rsidR="00B15D46" w:rsidRPr="00A9485E" w:rsidRDefault="00B15D46" w:rsidP="00C32417">
            <w:pPr>
              <w:pStyle w:val="Tekstpodstawowy"/>
              <w:tabs>
                <w:tab w:val="clear" w:pos="4536"/>
                <w:tab w:val="clear" w:pos="9072"/>
              </w:tabs>
              <w:spacing w:before="0" w:line="240" w:lineRule="auto"/>
              <w:rPr>
                <w:color w:val="auto"/>
                <w:lang w:val="pl-PL" w:eastAsia="pl-PL"/>
              </w:rPr>
            </w:pPr>
            <w:r w:rsidRPr="00A9485E">
              <w:rPr>
                <w:color w:val="auto"/>
                <w:lang w:val="pl-PL" w:eastAsia="pl-PL"/>
              </w:rPr>
              <w:t>Przydzielony dla odbiorcy profil w razie wystąpienia takiej konieczności mogą zostać określone w generalnej umowie dystrybucji zawartej przez sprzedawcę tego odbiorcy profilowego z OSDn.</w:t>
            </w:r>
          </w:p>
        </w:tc>
      </w:tr>
      <w:tr w:rsidR="00B15D46" w:rsidRPr="002B5135" w14:paraId="6810106C" w14:textId="77777777" w:rsidTr="002D212B">
        <w:tc>
          <w:tcPr>
            <w:tcW w:w="993" w:type="dxa"/>
            <w:shd w:val="clear" w:color="auto" w:fill="auto"/>
          </w:tcPr>
          <w:p w14:paraId="5AAAD194" w14:textId="77777777" w:rsidR="00B15D46" w:rsidRPr="002B5135" w:rsidRDefault="00391DFB" w:rsidP="00C32417">
            <w:pPr>
              <w:pStyle w:val="StylTcd"/>
              <w:keepLines w:val="0"/>
              <w:pageBreakBefore w:val="0"/>
              <w:spacing w:before="0" w:after="0"/>
              <w:jc w:val="left"/>
              <w:rPr>
                <w:color w:val="auto"/>
              </w:rPr>
            </w:pPr>
            <w:r>
              <w:rPr>
                <w:color w:val="auto"/>
              </w:rPr>
              <w:t>F</w:t>
            </w:r>
            <w:r w:rsidR="00B15D46" w:rsidRPr="002B5135">
              <w:rPr>
                <w:color w:val="auto"/>
              </w:rPr>
              <w:t>.4.</w:t>
            </w:r>
          </w:p>
        </w:tc>
        <w:tc>
          <w:tcPr>
            <w:tcW w:w="8289" w:type="dxa"/>
            <w:shd w:val="clear" w:color="auto" w:fill="auto"/>
          </w:tcPr>
          <w:p w14:paraId="663706E3" w14:textId="77777777" w:rsidR="00B15D46" w:rsidRPr="003B2117" w:rsidRDefault="00B15D46" w:rsidP="00C32417">
            <w:pPr>
              <w:pStyle w:val="Default"/>
              <w:jc w:val="both"/>
              <w:rPr>
                <w:color w:val="auto"/>
              </w:rPr>
            </w:pPr>
            <w:r w:rsidRPr="003B2117">
              <w:rPr>
                <w:color w:val="auto"/>
              </w:rPr>
              <w:t>W przypadku zmiany parametrów, o których mowa w pkt</w:t>
            </w:r>
            <w:r>
              <w:rPr>
                <w:color w:val="auto"/>
              </w:rPr>
              <w:t>.</w:t>
            </w:r>
            <w:r w:rsidRPr="003B2117">
              <w:rPr>
                <w:color w:val="auto"/>
              </w:rPr>
              <w:t xml:space="preserve"> </w:t>
            </w:r>
            <w:r w:rsidR="00391DFB">
              <w:rPr>
                <w:color w:val="auto"/>
              </w:rPr>
              <w:t>F</w:t>
            </w:r>
            <w:r w:rsidRPr="003B2117">
              <w:rPr>
                <w:color w:val="auto"/>
              </w:rPr>
              <w:t>.2. odbiorca jest zobowiązany do powiadomienia OSDn. W takim przypadku OSDn dokonuje weryfikacji przydzielonego profilu oraz planowanej ilości poboru energii elektrycznej i dokonuje odpowiednich zmian w GUD.</w:t>
            </w:r>
          </w:p>
        </w:tc>
      </w:tr>
      <w:tr w:rsidR="002D212B" w:rsidRPr="002B5135" w14:paraId="49DF5789" w14:textId="77777777" w:rsidTr="002D212B">
        <w:tc>
          <w:tcPr>
            <w:tcW w:w="993" w:type="dxa"/>
            <w:shd w:val="clear" w:color="auto" w:fill="auto"/>
          </w:tcPr>
          <w:p w14:paraId="4B52F6E5" w14:textId="77777777" w:rsidR="002D212B" w:rsidRPr="00A40BEB" w:rsidRDefault="002D212B" w:rsidP="002D212B">
            <w:pPr>
              <w:pStyle w:val="StylTcd"/>
              <w:keepLines w:val="0"/>
              <w:pageBreakBefore w:val="0"/>
              <w:spacing w:before="0" w:after="0"/>
              <w:jc w:val="left"/>
            </w:pPr>
            <w:r w:rsidRPr="00A40BEB">
              <w:t>F.5.</w:t>
            </w:r>
          </w:p>
        </w:tc>
        <w:tc>
          <w:tcPr>
            <w:tcW w:w="8289" w:type="dxa"/>
            <w:shd w:val="clear" w:color="auto" w:fill="auto"/>
          </w:tcPr>
          <w:p w14:paraId="0B53E2AC" w14:textId="77777777" w:rsidR="002D212B" w:rsidRDefault="002D212B" w:rsidP="002D212B">
            <w:pPr>
              <w:pStyle w:val="Default"/>
              <w:jc w:val="both"/>
            </w:pPr>
            <w:r w:rsidRPr="00A40BEB">
              <w:t>Dla URD przyłączonych do sieci dystrybucyjnej OSDn</w:t>
            </w:r>
            <w:r>
              <w:t xml:space="preserve"> o mocy do 40 kW</w:t>
            </w:r>
            <w:r w:rsidRPr="00A40BEB">
              <w:t xml:space="preserve"> stosuje się standardow</w:t>
            </w:r>
            <w:r>
              <w:t>y</w:t>
            </w:r>
            <w:r w:rsidRPr="00A40BEB">
              <w:t xml:space="preserve"> profil zużycia</w:t>
            </w:r>
            <w:r>
              <w:t>:</w:t>
            </w:r>
          </w:p>
          <w:p w14:paraId="2C2B9D41" w14:textId="11F6BAA5" w:rsidR="002D212B" w:rsidRDefault="002D212B" w:rsidP="002D212B">
            <w:pPr>
              <w:pStyle w:val="Default"/>
              <w:spacing w:line="276" w:lineRule="auto"/>
              <w:jc w:val="both"/>
            </w:pPr>
            <w:r w:rsidRPr="000F7F0F">
              <w:t>Profil A - Odbiorcy z grupy taryfowej C11</w:t>
            </w:r>
            <w:r w:rsidR="005F5865">
              <w:t>, C11em, C11s,</w:t>
            </w:r>
          </w:p>
          <w:p w14:paraId="05B25C09" w14:textId="77777777" w:rsidR="001B6727" w:rsidRDefault="001B6727" w:rsidP="001B6727">
            <w:pPr>
              <w:pStyle w:val="Default"/>
              <w:spacing w:line="276" w:lineRule="auto"/>
              <w:ind w:left="-3" w:firstLine="3"/>
              <w:jc w:val="both"/>
            </w:pPr>
            <w:r w:rsidRPr="000F7F0F">
              <w:lastRenderedPageBreak/>
              <w:t xml:space="preserve">Profil </w:t>
            </w:r>
            <w:r>
              <w:t>B</w:t>
            </w:r>
            <w:r w:rsidRPr="000F7F0F">
              <w:t xml:space="preserve"> - Odbiorcy z grupy taryfowej</w:t>
            </w:r>
            <w:r>
              <w:t xml:space="preserve"> G11</w:t>
            </w:r>
          </w:p>
          <w:p w14:paraId="26818376" w14:textId="77777777" w:rsidR="001B6727" w:rsidRDefault="001B6727" w:rsidP="001B6727">
            <w:pPr>
              <w:pStyle w:val="Default"/>
              <w:spacing w:line="276" w:lineRule="auto"/>
              <w:ind w:left="-3" w:firstLine="3"/>
              <w:jc w:val="both"/>
            </w:pPr>
            <w:r w:rsidRPr="000F7F0F">
              <w:t xml:space="preserve">Profil </w:t>
            </w:r>
            <w:r>
              <w:t>C</w:t>
            </w:r>
            <w:r w:rsidRPr="000F7F0F">
              <w:t xml:space="preserve"> - Odbiorcy z grupy taryfowej </w:t>
            </w:r>
            <w:r>
              <w:t>G12as</w:t>
            </w:r>
          </w:p>
          <w:p w14:paraId="203C8601" w14:textId="77777777" w:rsidR="002D212B" w:rsidRDefault="002D212B" w:rsidP="002D212B">
            <w:pPr>
              <w:spacing w:line="0" w:lineRule="atLeast"/>
              <w:ind w:right="2"/>
              <w:jc w:val="both"/>
              <w:rPr>
                <w:rFonts w:cs="Times New Roman"/>
                <w:szCs w:val="24"/>
              </w:rPr>
            </w:pPr>
          </w:p>
          <w:p w14:paraId="4CEDA177" w14:textId="61E9FDBA" w:rsidR="002D212B" w:rsidRDefault="002D212B" w:rsidP="002D212B">
            <w:pPr>
              <w:spacing w:line="0" w:lineRule="atLeast"/>
              <w:ind w:right="2"/>
              <w:jc w:val="both"/>
              <w:rPr>
                <w:rFonts w:cs="Times New Roman"/>
                <w:szCs w:val="24"/>
              </w:rPr>
            </w:pPr>
            <w:r w:rsidRPr="000F7F0F">
              <w:rPr>
                <w:rFonts w:cs="Times New Roman"/>
                <w:szCs w:val="24"/>
              </w:rPr>
              <w:t>Profil</w:t>
            </w:r>
            <w:r w:rsidR="001B6727">
              <w:rPr>
                <w:rFonts w:cs="Times New Roman"/>
                <w:szCs w:val="24"/>
              </w:rPr>
              <w:t xml:space="preserve">e są </w:t>
            </w:r>
            <w:r w:rsidRPr="000F7F0F">
              <w:rPr>
                <w:rFonts w:cs="Times New Roman"/>
                <w:szCs w:val="24"/>
              </w:rPr>
              <w:t>integralną częścią IRiESD i stanowi</w:t>
            </w:r>
            <w:r w:rsidR="001B6727">
              <w:rPr>
                <w:rFonts w:cs="Times New Roman"/>
                <w:szCs w:val="24"/>
              </w:rPr>
              <w:t>ą</w:t>
            </w:r>
            <w:r w:rsidRPr="000F7F0F">
              <w:rPr>
                <w:rFonts w:cs="Times New Roman"/>
                <w:szCs w:val="24"/>
              </w:rPr>
              <w:t xml:space="preserve"> Załącznik nr </w:t>
            </w:r>
            <w:r>
              <w:rPr>
                <w:rFonts w:cs="Times New Roman"/>
                <w:szCs w:val="24"/>
              </w:rPr>
              <w:t>5</w:t>
            </w:r>
            <w:r w:rsidRPr="000F7F0F">
              <w:rPr>
                <w:rFonts w:cs="Times New Roman"/>
                <w:szCs w:val="24"/>
              </w:rPr>
              <w:t xml:space="preserve"> do niniejszej IRIESD</w:t>
            </w:r>
            <w:r>
              <w:rPr>
                <w:rFonts w:cs="Times New Roman"/>
                <w:szCs w:val="24"/>
              </w:rPr>
              <w:t>.</w:t>
            </w:r>
          </w:p>
          <w:p w14:paraId="5CA1E51C" w14:textId="77777777" w:rsidR="002D212B" w:rsidRPr="00840A1B" w:rsidRDefault="002D212B" w:rsidP="002D212B">
            <w:pPr>
              <w:pStyle w:val="Default"/>
              <w:jc w:val="both"/>
            </w:pPr>
          </w:p>
        </w:tc>
      </w:tr>
      <w:tr w:rsidR="00B15D46" w:rsidRPr="002B5135" w14:paraId="2C33AC71" w14:textId="77777777" w:rsidTr="002D212B">
        <w:tc>
          <w:tcPr>
            <w:tcW w:w="993" w:type="dxa"/>
            <w:shd w:val="clear" w:color="auto" w:fill="auto"/>
          </w:tcPr>
          <w:p w14:paraId="182DFFFC" w14:textId="77777777" w:rsidR="00B15D46" w:rsidRPr="00F8228A" w:rsidRDefault="00391DFB" w:rsidP="00C32417">
            <w:pPr>
              <w:pStyle w:val="StylTcd"/>
              <w:keepLines w:val="0"/>
              <w:pageBreakBefore w:val="0"/>
              <w:spacing w:before="0" w:after="0"/>
              <w:jc w:val="left"/>
            </w:pPr>
            <w:r>
              <w:lastRenderedPageBreak/>
              <w:t>F</w:t>
            </w:r>
            <w:r w:rsidR="00B15D46" w:rsidRPr="00F8228A">
              <w:t>.6.</w:t>
            </w:r>
          </w:p>
        </w:tc>
        <w:tc>
          <w:tcPr>
            <w:tcW w:w="8289" w:type="dxa"/>
            <w:shd w:val="clear" w:color="auto" w:fill="auto"/>
          </w:tcPr>
          <w:p w14:paraId="37C21886" w14:textId="7A526EF5" w:rsidR="00B15D46" w:rsidRPr="00840A1B" w:rsidRDefault="00B15D46" w:rsidP="00C32417">
            <w:pPr>
              <w:pStyle w:val="Default"/>
              <w:jc w:val="both"/>
            </w:pPr>
            <w:r w:rsidRPr="00840A1B">
              <w:t xml:space="preserve">Dla odbiorców, o których mowa w pkt. </w:t>
            </w:r>
            <w:r w:rsidR="00391DFB" w:rsidRPr="00840A1B">
              <w:t>F</w:t>
            </w:r>
            <w:r w:rsidRPr="00840A1B">
              <w:t xml:space="preserve">.1., którzy skorzystali z możliwości wyboru sprzedawcy, wyposażonych w układy pomiarowo-rozliczeniowe zintegrowane </w:t>
            </w:r>
            <w:r w:rsidR="00373CE0" w:rsidRPr="00840A1B">
              <w:br/>
            </w:r>
            <w:r w:rsidRPr="00840A1B">
              <w:t xml:space="preserve">z lokalnym systemem pomiarowo-rozliczeniowym (LSPR) OSDn, przy określaniu dobowo-godzinowego poboru energii elektrycznej tego odbiorcy, OSDn stosuje </w:t>
            </w:r>
            <w:r w:rsidR="00373CE0" w:rsidRPr="00840A1B">
              <w:br/>
            </w:r>
            <w:r w:rsidRPr="00840A1B">
              <w:t xml:space="preserve">w pierwszej kolejności dane rzeczywiste pozyskane z LSPR.  </w:t>
            </w:r>
            <w:r w:rsidRPr="00840A1B">
              <w:br/>
              <w:t xml:space="preserve">W przypadku braku możliwości określenia poboru w oparciu o rzeczywiste dane </w:t>
            </w:r>
            <w:r w:rsidRPr="00840A1B">
              <w:br/>
              <w:t xml:space="preserve">z LSPR zastosowanie mają zasady opisane od pkt. </w:t>
            </w:r>
            <w:r w:rsidR="00391DFB" w:rsidRPr="00840A1B">
              <w:t>F</w:t>
            </w:r>
            <w:r w:rsidRPr="00840A1B">
              <w:t xml:space="preserve">.2. do pkt. </w:t>
            </w:r>
            <w:r w:rsidR="00391DFB" w:rsidRPr="00840A1B">
              <w:t>F</w:t>
            </w:r>
            <w:r w:rsidRPr="00840A1B">
              <w:t>.5.</w:t>
            </w:r>
          </w:p>
        </w:tc>
      </w:tr>
    </w:tbl>
    <w:p w14:paraId="556B23C5" w14:textId="77777777" w:rsidR="00572BA3" w:rsidRDefault="00572BA3" w:rsidP="00C32417">
      <w:pPr>
        <w:spacing w:line="214" w:lineRule="exact"/>
        <w:rPr>
          <w:rFonts w:eastAsia="Times New Roman"/>
        </w:rPr>
      </w:pPr>
    </w:p>
    <w:p w14:paraId="0A4829AA" w14:textId="77777777" w:rsidR="00664BA1" w:rsidRPr="00E94E29" w:rsidRDefault="00664BA1" w:rsidP="0048564D">
      <w:pPr>
        <w:pStyle w:val="Nagwek1"/>
        <w:tabs>
          <w:tab w:val="left" w:pos="567"/>
        </w:tabs>
        <w:spacing w:before="120"/>
        <w:ind w:left="567" w:hanging="567"/>
        <w:jc w:val="both"/>
        <w:rPr>
          <w:sz w:val="28"/>
          <w:szCs w:val="28"/>
        </w:rPr>
      </w:pPr>
      <w:bookmarkStart w:id="126" w:name="_Toc346368064"/>
      <w:bookmarkStart w:id="127" w:name="_Toc532193592"/>
      <w:bookmarkStart w:id="128" w:name="_Toc141963927"/>
      <w:r>
        <w:rPr>
          <w:sz w:val="28"/>
          <w:szCs w:val="28"/>
        </w:rPr>
        <w:t>G</w:t>
      </w:r>
      <w:r w:rsidRPr="005D3DE1">
        <w:rPr>
          <w:sz w:val="28"/>
          <w:szCs w:val="28"/>
        </w:rPr>
        <w:t>.</w:t>
      </w:r>
      <w:r w:rsidRPr="005D3DE1">
        <w:rPr>
          <w:sz w:val="28"/>
          <w:szCs w:val="28"/>
        </w:rPr>
        <w:tab/>
        <w:t>POSTĘPOWANIE REKLAMACYJNE</w:t>
      </w:r>
      <w:bookmarkEnd w:id="126"/>
      <w:r w:rsidRPr="005D3DE1">
        <w:rPr>
          <w:sz w:val="28"/>
          <w:szCs w:val="28"/>
        </w:rPr>
        <w:t xml:space="preserve"> I OBOWIĄZKI INFORMACYJNE</w:t>
      </w:r>
      <w:bookmarkEnd w:id="127"/>
      <w:bookmarkEnd w:id="128"/>
    </w:p>
    <w:tbl>
      <w:tblPr>
        <w:tblW w:w="0" w:type="auto"/>
        <w:tblLayout w:type="fixed"/>
        <w:tblCellMar>
          <w:left w:w="70" w:type="dxa"/>
          <w:right w:w="70" w:type="dxa"/>
        </w:tblCellMar>
        <w:tblLook w:val="0000" w:firstRow="0" w:lastRow="0" w:firstColumn="0" w:lastColumn="0" w:noHBand="0" w:noVBand="0"/>
      </w:tblPr>
      <w:tblGrid>
        <w:gridCol w:w="1063"/>
        <w:gridCol w:w="8147"/>
      </w:tblGrid>
      <w:tr w:rsidR="00664BA1" w:rsidRPr="00DD2E42" w14:paraId="026B6FBF" w14:textId="77777777" w:rsidTr="00357BB6">
        <w:tc>
          <w:tcPr>
            <w:tcW w:w="1063" w:type="dxa"/>
          </w:tcPr>
          <w:p w14:paraId="0D732438" w14:textId="77777777" w:rsidR="00664BA1" w:rsidRPr="004D0F8F" w:rsidRDefault="00664BA1" w:rsidP="00C32417">
            <w:pPr>
              <w:widowControl w:val="0"/>
              <w:jc w:val="both"/>
            </w:pPr>
            <w:r>
              <w:t>G</w:t>
            </w:r>
            <w:r w:rsidRPr="004D0F8F">
              <w:t>.1.</w:t>
            </w:r>
          </w:p>
        </w:tc>
        <w:tc>
          <w:tcPr>
            <w:tcW w:w="8147" w:type="dxa"/>
            <w:shd w:val="clear" w:color="auto" w:fill="auto"/>
          </w:tcPr>
          <w:p w14:paraId="15413A6F" w14:textId="0207AAF5" w:rsidR="00664BA1" w:rsidRPr="004D0F8F" w:rsidRDefault="00664BA1" w:rsidP="00C32417">
            <w:pPr>
              <w:jc w:val="both"/>
            </w:pPr>
            <w:r w:rsidRPr="004D0F8F">
              <w:t>Reklamac</w:t>
            </w:r>
            <w:r w:rsidRPr="007C05CA">
              <w:t>j</w:t>
            </w:r>
            <w:r w:rsidRPr="005D3DE1">
              <w:t>e podmiotów zobowiązanych do stosowania IRiESD mogą być zgłaszane w formi</w:t>
            </w:r>
            <w:r w:rsidRPr="00E94E29">
              <w:t>e pisemnej (drogą pocztową, osobiście</w:t>
            </w:r>
            <w:r w:rsidR="00B53B78">
              <w:t>)</w:t>
            </w:r>
            <w:r w:rsidRPr="00E94E29">
              <w:t>,</w:t>
            </w:r>
            <w:r w:rsidR="00B53B78">
              <w:t xml:space="preserve"> w formie elektronicznej (</w:t>
            </w:r>
            <w:r w:rsidRPr="00E80BA8">
              <w:t>pocztą elektroniczną</w:t>
            </w:r>
            <w:r w:rsidRPr="004D0F8F">
              <w:t>).</w:t>
            </w:r>
          </w:p>
        </w:tc>
      </w:tr>
      <w:tr w:rsidR="00664BA1" w:rsidRPr="00D91C14" w14:paraId="51663B12" w14:textId="77777777" w:rsidTr="00357BB6">
        <w:tc>
          <w:tcPr>
            <w:tcW w:w="1063" w:type="dxa"/>
            <w:shd w:val="clear" w:color="auto" w:fill="auto"/>
          </w:tcPr>
          <w:p w14:paraId="6EAAA76F" w14:textId="716C2B2C" w:rsidR="00664BA1" w:rsidRPr="00E94E29" w:rsidRDefault="00664BA1" w:rsidP="00C32417">
            <w:pPr>
              <w:widowControl w:val="0"/>
              <w:jc w:val="both"/>
            </w:pPr>
            <w:r>
              <w:t>G</w:t>
            </w:r>
            <w:r w:rsidRPr="00E94E29">
              <w:t>.2.</w:t>
            </w:r>
          </w:p>
        </w:tc>
        <w:tc>
          <w:tcPr>
            <w:tcW w:w="8147" w:type="dxa"/>
            <w:shd w:val="clear" w:color="auto" w:fill="auto"/>
          </w:tcPr>
          <w:p w14:paraId="23E63E3F" w14:textId="7068B8DE" w:rsidR="00664BA1" w:rsidRDefault="00664BA1" w:rsidP="00C32417">
            <w:pPr>
              <w:pStyle w:val="Default"/>
              <w:jc w:val="both"/>
              <w:rPr>
                <w:color w:val="auto"/>
              </w:rPr>
            </w:pPr>
            <w:r w:rsidRPr="00E94E29">
              <w:rPr>
                <w:color w:val="auto"/>
              </w:rPr>
              <w:t>URD posiadający zawartą ze sprzedawcą umowę kompleksową, składa</w:t>
            </w:r>
            <w:r w:rsidR="000E1B50">
              <w:rPr>
                <w:color w:val="auto"/>
              </w:rPr>
              <w:t xml:space="preserve"> wnioski </w:t>
            </w:r>
            <w:r w:rsidR="000E1B50">
              <w:rPr>
                <w:color w:val="auto"/>
              </w:rPr>
              <w:br/>
              <w:t>i</w:t>
            </w:r>
            <w:r w:rsidRPr="00E94E29">
              <w:rPr>
                <w:color w:val="auto"/>
              </w:rPr>
              <w:t xml:space="preserve"> reklamacje</w:t>
            </w:r>
            <w:r w:rsidR="000E1B50">
              <w:rPr>
                <w:color w:val="auto"/>
              </w:rPr>
              <w:t>, o których mowa w niniejszym rozdziale, wyłączeni</w:t>
            </w:r>
            <w:r w:rsidRPr="00E94E29">
              <w:rPr>
                <w:color w:val="auto"/>
              </w:rPr>
              <w:t xml:space="preserve"> do tego sprzedawcy, z zastrzeżeniem pkt</w:t>
            </w:r>
            <w:r>
              <w:rPr>
                <w:color w:val="auto"/>
              </w:rPr>
              <w:t>.</w:t>
            </w:r>
            <w:r w:rsidRPr="00E94E29">
              <w:rPr>
                <w:color w:val="auto"/>
              </w:rPr>
              <w:t xml:space="preserve"> </w:t>
            </w:r>
            <w:r>
              <w:rPr>
                <w:color w:val="auto"/>
              </w:rPr>
              <w:t>G</w:t>
            </w:r>
            <w:r w:rsidRPr="00E94E29">
              <w:rPr>
                <w:color w:val="auto"/>
              </w:rPr>
              <w:t xml:space="preserve">.3. </w:t>
            </w:r>
            <w:r w:rsidR="000E1B50">
              <w:rPr>
                <w:color w:val="auto"/>
              </w:rPr>
              <w:t>oraz pkt G.4. ppkt 7).</w:t>
            </w:r>
          </w:p>
          <w:p w14:paraId="52EEB719" w14:textId="6E31A891" w:rsidR="00E13E9C" w:rsidRPr="003B5EA2" w:rsidRDefault="00E13E9C" w:rsidP="00C32417">
            <w:pPr>
              <w:spacing w:line="253" w:lineRule="auto"/>
              <w:jc w:val="both"/>
              <w:rPr>
                <w:rFonts w:eastAsia="Times New Roman" w:cs="Times New Roman"/>
                <w:color w:val="000000"/>
                <w:szCs w:val="24"/>
              </w:rPr>
            </w:pPr>
            <w:r w:rsidRPr="003B5EA2">
              <w:rPr>
                <w:rFonts w:eastAsia="Times New Roman" w:cs="Times New Roman"/>
                <w:color w:val="000000"/>
                <w:szCs w:val="24"/>
              </w:rPr>
              <w:t>Prosument</w:t>
            </w:r>
            <w:r w:rsidR="00871C20">
              <w:rPr>
                <w:rFonts w:eastAsia="Times New Roman" w:cs="Times New Roman"/>
                <w:color w:val="000000"/>
                <w:szCs w:val="24"/>
              </w:rPr>
              <w:t>, Prosument zbiorowy oraz Prosument wirtualny</w:t>
            </w:r>
            <w:r w:rsidRPr="003B5EA2">
              <w:rPr>
                <w:rFonts w:eastAsia="Times New Roman" w:cs="Times New Roman"/>
                <w:color w:val="000000"/>
                <w:szCs w:val="24"/>
              </w:rPr>
              <w:t xml:space="preserve"> będący konsumentem </w:t>
            </w:r>
            <w:r w:rsidR="00871C20">
              <w:rPr>
                <w:rFonts w:eastAsia="Times New Roman" w:cs="Times New Roman"/>
                <w:color w:val="000000"/>
                <w:szCs w:val="24"/>
              </w:rPr>
              <w:br/>
            </w:r>
            <w:r w:rsidRPr="003B5EA2">
              <w:rPr>
                <w:rFonts w:eastAsia="Times New Roman" w:cs="Times New Roman"/>
                <w:color w:val="000000"/>
                <w:szCs w:val="24"/>
              </w:rPr>
              <w:t>w rozumieniu przepisów ustawy z dnia 23 kwietnia 1964 r.- Kodeks cywilny, który posiada zawartą ze sprzedawcą umowę kompleksową, składa reklamacje dotyczące rozliczania i dystrybucji tej energii do tego sprzedawcy.</w:t>
            </w:r>
          </w:p>
          <w:p w14:paraId="2AF32D79" w14:textId="77777777" w:rsidR="00664BA1" w:rsidRPr="007C05CA" w:rsidRDefault="00664BA1" w:rsidP="00C32417">
            <w:pPr>
              <w:pStyle w:val="Tekstpodstawowy"/>
              <w:tabs>
                <w:tab w:val="clear" w:pos="4536"/>
                <w:tab w:val="clear" w:pos="9072"/>
              </w:tabs>
              <w:spacing w:before="0" w:line="240" w:lineRule="auto"/>
              <w:rPr>
                <w:color w:val="auto"/>
                <w:szCs w:val="24"/>
                <w:lang w:val="pl-PL" w:eastAsia="pl-PL"/>
              </w:rPr>
            </w:pPr>
            <w:r w:rsidRPr="007C05CA">
              <w:rPr>
                <w:color w:val="auto"/>
                <w:szCs w:val="24"/>
                <w:lang w:val="pl-PL" w:eastAsia="pl-PL"/>
              </w:rPr>
              <w:t>URD posiadający zawartą ze sprzedawcą umowę sprzedaży oraz z OSDn umowę dystrybucji</w:t>
            </w:r>
            <w:r>
              <w:rPr>
                <w:color w:val="auto"/>
                <w:szCs w:val="24"/>
                <w:lang w:val="pl-PL" w:eastAsia="pl-PL"/>
              </w:rPr>
              <w:t xml:space="preserve"> lub umowę kompleksową zawartą z OSDn</w:t>
            </w:r>
            <w:r w:rsidRPr="007C05CA">
              <w:rPr>
                <w:color w:val="auto"/>
                <w:szCs w:val="24"/>
                <w:lang w:val="pl-PL" w:eastAsia="pl-PL"/>
              </w:rPr>
              <w:t>, reklamacje dotyczące umowy dystrybucji składa bezpośrednio do OSDn.</w:t>
            </w:r>
          </w:p>
          <w:p w14:paraId="4E244A4E" w14:textId="77777777" w:rsidR="00664BA1" w:rsidRDefault="00664BA1" w:rsidP="00C32417">
            <w:pPr>
              <w:pStyle w:val="Tekstpodstawowy"/>
              <w:tabs>
                <w:tab w:val="clear" w:pos="4536"/>
                <w:tab w:val="clear" w:pos="9072"/>
              </w:tabs>
              <w:spacing w:before="0" w:line="240" w:lineRule="auto"/>
              <w:rPr>
                <w:color w:val="auto"/>
                <w:szCs w:val="24"/>
                <w:lang w:val="pl-PL" w:eastAsia="pl-PL"/>
              </w:rPr>
            </w:pPr>
            <w:r w:rsidRPr="00FD06AC">
              <w:rPr>
                <w:color w:val="auto"/>
                <w:szCs w:val="24"/>
                <w:lang w:val="pl-PL" w:eastAsia="pl-PL"/>
              </w:rPr>
              <w:t>Reklamacje powinny być dostarczone</w:t>
            </w:r>
            <w:r>
              <w:rPr>
                <w:color w:val="auto"/>
                <w:szCs w:val="24"/>
                <w:lang w:val="pl-PL" w:eastAsia="pl-PL"/>
              </w:rPr>
              <w:t xml:space="preserve"> w formie pisemnej</w:t>
            </w:r>
            <w:r w:rsidRPr="00FD06AC">
              <w:rPr>
                <w:color w:val="auto"/>
                <w:szCs w:val="24"/>
                <w:lang w:val="pl-PL" w:eastAsia="pl-PL"/>
              </w:rPr>
              <w:t xml:space="preserve"> do</w:t>
            </w:r>
            <w:r>
              <w:rPr>
                <w:color w:val="auto"/>
                <w:szCs w:val="24"/>
                <w:lang w:val="pl-PL" w:eastAsia="pl-PL"/>
              </w:rPr>
              <w:t xml:space="preserve"> siedziby </w:t>
            </w:r>
            <w:r w:rsidRPr="00FD06AC">
              <w:rPr>
                <w:color w:val="auto"/>
                <w:szCs w:val="24"/>
                <w:lang w:val="pl-PL" w:eastAsia="pl-PL"/>
              </w:rPr>
              <w:t>OSDn</w:t>
            </w:r>
            <w:r w:rsidR="00582E08">
              <w:rPr>
                <w:color w:val="auto"/>
                <w:szCs w:val="24"/>
                <w:lang w:val="pl-PL" w:eastAsia="pl-PL"/>
              </w:rPr>
              <w:t>:</w:t>
            </w:r>
          </w:p>
          <w:p w14:paraId="60278B93" w14:textId="77777777" w:rsidR="00FC1F58" w:rsidRPr="00FC1F58" w:rsidRDefault="00FC1F58" w:rsidP="00FC1F58">
            <w:pPr>
              <w:pStyle w:val="TableParagraph"/>
              <w:spacing w:before="120"/>
              <w:ind w:left="0"/>
              <w:rPr>
                <w:i/>
                <w:iCs/>
                <w:sz w:val="24"/>
                <w:szCs w:val="24"/>
              </w:rPr>
            </w:pPr>
            <w:r w:rsidRPr="00FC1F58">
              <w:rPr>
                <w:b/>
                <w:bCs/>
                <w:i/>
                <w:iCs/>
                <w:sz w:val="24"/>
                <w:szCs w:val="24"/>
              </w:rPr>
              <w:t>ERG S.A.</w:t>
            </w:r>
          </w:p>
          <w:p w14:paraId="682280FC" w14:textId="77777777" w:rsidR="00FC1F58" w:rsidRDefault="00FC1F58" w:rsidP="00FC1F58">
            <w:pPr>
              <w:pStyle w:val="TableParagraph"/>
              <w:spacing w:before="120"/>
              <w:ind w:left="0"/>
              <w:rPr>
                <w:i/>
                <w:sz w:val="24"/>
              </w:rPr>
            </w:pPr>
            <w:r>
              <w:rPr>
                <w:i/>
                <w:sz w:val="24"/>
              </w:rPr>
              <w:t>ul. Chemiczna 6</w:t>
            </w:r>
          </w:p>
          <w:p w14:paraId="0EBB23AF" w14:textId="77777777" w:rsidR="00FC1F58" w:rsidRDefault="00FC1F58" w:rsidP="00FC1F58">
            <w:pPr>
              <w:pStyle w:val="TableParagraph"/>
              <w:ind w:left="0"/>
              <w:rPr>
                <w:i/>
                <w:sz w:val="24"/>
              </w:rPr>
            </w:pPr>
            <w:r>
              <w:rPr>
                <w:i/>
                <w:sz w:val="24"/>
              </w:rPr>
              <w:t>42-520 Dąbrowa Górnicza</w:t>
            </w:r>
          </w:p>
          <w:p w14:paraId="3C54A5C6" w14:textId="77777777" w:rsidR="00FC1F58" w:rsidRDefault="00FC1F58" w:rsidP="00FC1F58">
            <w:pPr>
              <w:pStyle w:val="TableParagraph"/>
              <w:rPr>
                <w:i/>
                <w:sz w:val="24"/>
              </w:rPr>
            </w:pPr>
          </w:p>
          <w:p w14:paraId="6BFE5BFE" w14:textId="77777777" w:rsidR="00CE0807" w:rsidRDefault="00FC1F58" w:rsidP="00FC1F58">
            <w:pPr>
              <w:pStyle w:val="Tekstpodstawowy"/>
              <w:tabs>
                <w:tab w:val="clear" w:pos="4536"/>
                <w:tab w:val="clear" w:pos="9072"/>
              </w:tabs>
              <w:spacing w:before="0" w:line="240" w:lineRule="auto"/>
            </w:pPr>
            <w:r>
              <w:t>Strona internetowa OSDn dostępna jest pod adresem:</w:t>
            </w:r>
            <w:r>
              <w:rPr>
                <w:lang w:val="pl-PL"/>
              </w:rPr>
              <w:t xml:space="preserve"> </w:t>
            </w:r>
            <w:hyperlink r:id="rId15" w:history="1">
              <w:r w:rsidRPr="00D37A3B">
                <w:rPr>
                  <w:rStyle w:val="Hipercze"/>
                </w:rPr>
                <w:t>https://erg.com.pl</w:t>
              </w:r>
            </w:hyperlink>
            <w:r>
              <w:t xml:space="preserve">  </w:t>
            </w:r>
          </w:p>
          <w:p w14:paraId="720F5614" w14:textId="1668756C" w:rsidR="00FC1F58" w:rsidRPr="00CE0807" w:rsidRDefault="00FC1F58" w:rsidP="00FC1F58">
            <w:pPr>
              <w:pStyle w:val="Tekstpodstawowy"/>
              <w:tabs>
                <w:tab w:val="clear" w:pos="4536"/>
                <w:tab w:val="clear" w:pos="9072"/>
              </w:tabs>
              <w:spacing w:before="0" w:line="240" w:lineRule="auto"/>
              <w:rPr>
                <w:lang w:val="pl-PL"/>
              </w:rPr>
            </w:pPr>
          </w:p>
        </w:tc>
      </w:tr>
      <w:tr w:rsidR="00664BA1" w:rsidRPr="00D91C14" w14:paraId="0E6CBC3C" w14:textId="77777777" w:rsidTr="00357BB6">
        <w:tc>
          <w:tcPr>
            <w:tcW w:w="1063" w:type="dxa"/>
            <w:shd w:val="clear" w:color="auto" w:fill="auto"/>
          </w:tcPr>
          <w:p w14:paraId="59F4FA7A" w14:textId="77777777" w:rsidR="00664BA1" w:rsidRPr="00E94E29" w:rsidRDefault="00CD6F47" w:rsidP="00C32417">
            <w:pPr>
              <w:widowControl w:val="0"/>
              <w:jc w:val="both"/>
            </w:pPr>
            <w:r>
              <w:t>G</w:t>
            </w:r>
            <w:r w:rsidR="00664BA1" w:rsidRPr="00E94E29">
              <w:t>.3.</w:t>
            </w:r>
          </w:p>
        </w:tc>
        <w:tc>
          <w:tcPr>
            <w:tcW w:w="8147" w:type="dxa"/>
            <w:shd w:val="clear" w:color="auto" w:fill="auto"/>
          </w:tcPr>
          <w:p w14:paraId="263A0B77" w14:textId="77777777" w:rsidR="00664BA1" w:rsidRPr="00EE1CD3" w:rsidRDefault="00664BA1" w:rsidP="00C32417">
            <w:pPr>
              <w:pStyle w:val="Default"/>
              <w:jc w:val="both"/>
              <w:rPr>
                <w:color w:val="auto"/>
              </w:rPr>
            </w:pPr>
            <w:r w:rsidRPr="00E80BA8">
              <w:rPr>
                <w:color w:val="auto"/>
              </w:rPr>
              <w:t xml:space="preserve">OSDn samodzielnie (bez udziału sprzedawcy) realizować będzie następujące obowiązki w zakresie postępowania reklamacyjnego </w:t>
            </w:r>
            <w:r w:rsidRPr="00EE1CD3">
              <w:rPr>
                <w:color w:val="auto"/>
              </w:rPr>
              <w:t xml:space="preserve">oraz realizacji obowiązków informacyjnych wynikających z przepisów, o których mowa w pkt. </w:t>
            </w:r>
            <w:r w:rsidR="00380851" w:rsidRPr="00EE1CD3">
              <w:rPr>
                <w:color w:val="auto"/>
              </w:rPr>
              <w:t>A.1.1.</w:t>
            </w:r>
            <w:r w:rsidRPr="00EE1CD3">
              <w:rPr>
                <w:color w:val="auto"/>
              </w:rPr>
              <w:t xml:space="preserve">: </w:t>
            </w:r>
          </w:p>
          <w:p w14:paraId="1BD69259" w14:textId="77777777" w:rsidR="00664BA1" w:rsidRPr="00CB3547" w:rsidRDefault="00664BA1">
            <w:pPr>
              <w:pStyle w:val="Default"/>
              <w:numPr>
                <w:ilvl w:val="0"/>
                <w:numId w:val="195"/>
              </w:numPr>
              <w:ind w:left="355" w:hanging="355"/>
              <w:jc w:val="both"/>
              <w:rPr>
                <w:color w:val="auto"/>
              </w:rPr>
            </w:pPr>
            <w:r w:rsidRPr="00EE1CD3">
              <w:rPr>
                <w:color w:val="auto"/>
              </w:rPr>
              <w:t>przyjmuje od URD przez całą dobę zgłoszeń dotyczących</w:t>
            </w:r>
            <w:r w:rsidRPr="004D0F8F">
              <w:rPr>
                <w:color w:val="auto"/>
              </w:rPr>
              <w:t xml:space="preserve"> przerw </w:t>
            </w:r>
            <w:r w:rsidRPr="004D0F8F">
              <w:rPr>
                <w:color w:val="auto"/>
              </w:rPr>
              <w:br/>
            </w:r>
            <w:r w:rsidRPr="00CB3547">
              <w:rPr>
                <w:color w:val="auto"/>
              </w:rPr>
              <w:t>w dostarczaniu energii elektrycznej oraz wystąpienia zagrożeń życia i zdrowia spowodowanych niewłaściwą pracą sieci</w:t>
            </w:r>
            <w:r>
              <w:rPr>
                <w:color w:val="auto"/>
              </w:rPr>
              <w:t>,</w:t>
            </w:r>
          </w:p>
          <w:p w14:paraId="11B92A11" w14:textId="77777777" w:rsidR="00664BA1" w:rsidRPr="00CB3547" w:rsidRDefault="00664BA1">
            <w:pPr>
              <w:pStyle w:val="Default"/>
              <w:numPr>
                <w:ilvl w:val="0"/>
                <w:numId w:val="195"/>
              </w:numPr>
              <w:ind w:left="355" w:hanging="355"/>
              <w:jc w:val="both"/>
              <w:rPr>
                <w:color w:val="auto"/>
              </w:rPr>
            </w:pPr>
            <w:r w:rsidRPr="00CB3547">
              <w:rPr>
                <w:color w:val="auto"/>
              </w:rPr>
              <w:t xml:space="preserve">udzielanie URD, na ich żądanie, informacji o przewidywanym terminie wznowienia dostarczania energii elektrycznej przerwanego z powodu awarii </w:t>
            </w:r>
            <w:r w:rsidRPr="00CB3547">
              <w:rPr>
                <w:color w:val="auto"/>
              </w:rPr>
              <w:br/>
              <w:t>w sieci</w:t>
            </w:r>
            <w:r>
              <w:rPr>
                <w:color w:val="auto"/>
              </w:rPr>
              <w:t>,</w:t>
            </w:r>
            <w:r w:rsidRPr="00CB3547">
              <w:rPr>
                <w:color w:val="auto"/>
              </w:rPr>
              <w:t xml:space="preserve"> </w:t>
            </w:r>
          </w:p>
          <w:p w14:paraId="078F7777" w14:textId="77777777" w:rsidR="00664BA1" w:rsidRPr="00FD1D79" w:rsidRDefault="00664BA1">
            <w:pPr>
              <w:pStyle w:val="Default"/>
              <w:numPr>
                <w:ilvl w:val="0"/>
                <w:numId w:val="195"/>
              </w:numPr>
              <w:ind w:left="355" w:hanging="355"/>
              <w:jc w:val="both"/>
              <w:rPr>
                <w:color w:val="auto"/>
              </w:rPr>
            </w:pPr>
            <w:r w:rsidRPr="00FD1D79">
              <w:rPr>
                <w:color w:val="auto"/>
              </w:rPr>
              <w:t xml:space="preserve">powiadamianie, z co najmniej 5 dniowym wyprzedzeniem o terminach </w:t>
            </w:r>
            <w:r w:rsidRPr="00FD1D79">
              <w:rPr>
                <w:color w:val="auto"/>
              </w:rPr>
              <w:br/>
              <w:t xml:space="preserve">i czasie planowanych przerw w dostarczaniu energii elektrycznej w formie: </w:t>
            </w:r>
          </w:p>
          <w:p w14:paraId="25E6C6EE" w14:textId="77777777" w:rsidR="00664BA1" w:rsidRPr="00FD1D79" w:rsidRDefault="00664BA1">
            <w:pPr>
              <w:pStyle w:val="Default"/>
              <w:numPr>
                <w:ilvl w:val="0"/>
                <w:numId w:val="186"/>
              </w:numPr>
              <w:jc w:val="both"/>
              <w:rPr>
                <w:color w:val="auto"/>
              </w:rPr>
            </w:pPr>
            <w:r>
              <w:rPr>
                <w:color w:val="auto"/>
              </w:rPr>
              <w:t xml:space="preserve">lokalnych komunikatów i </w:t>
            </w:r>
            <w:r w:rsidRPr="00FD1D79">
              <w:rPr>
                <w:color w:val="auto"/>
              </w:rPr>
              <w:t xml:space="preserve">ogłoszeń </w:t>
            </w:r>
            <w:r>
              <w:rPr>
                <w:color w:val="auto"/>
              </w:rPr>
              <w:t>w formie papierowej</w:t>
            </w:r>
            <w:r w:rsidRPr="00FD1D79">
              <w:rPr>
                <w:color w:val="auto"/>
              </w:rPr>
              <w:t xml:space="preserve">, </w:t>
            </w:r>
            <w:r>
              <w:rPr>
                <w:color w:val="auto"/>
              </w:rPr>
              <w:t xml:space="preserve">ogłoszeń </w:t>
            </w:r>
            <w:r w:rsidRPr="00FD1D79">
              <w:rPr>
                <w:color w:val="auto"/>
              </w:rPr>
              <w:t xml:space="preserve">internetowych, </w:t>
            </w:r>
            <w:r w:rsidRPr="00C3032C">
              <w:rPr>
                <w:color w:val="auto"/>
              </w:rPr>
              <w:t xml:space="preserve">indywidualnych zawiadomień pisemnych, telefonicznych </w:t>
            </w:r>
            <w:r w:rsidRPr="00FD1D79">
              <w:rPr>
                <w:color w:val="auto"/>
              </w:rPr>
              <w:lastRenderedPageBreak/>
              <w:t xml:space="preserve">lub w inny sposób zwyczajowo przyjęty na danym terenie – jeżeli URD jest zasilany z sieci o napięciu znamionowym nie wyższym niż 1 kV, </w:t>
            </w:r>
          </w:p>
          <w:p w14:paraId="216A62DE" w14:textId="77777777" w:rsidR="00664BA1" w:rsidRPr="00C3032C" w:rsidRDefault="00664BA1">
            <w:pPr>
              <w:pStyle w:val="Default"/>
              <w:numPr>
                <w:ilvl w:val="0"/>
                <w:numId w:val="186"/>
              </w:numPr>
              <w:jc w:val="both"/>
              <w:rPr>
                <w:color w:val="auto"/>
              </w:rPr>
            </w:pPr>
            <w:r w:rsidRPr="00C3032C">
              <w:rPr>
                <w:color w:val="auto"/>
              </w:rPr>
              <w:t xml:space="preserve">indywidualnych zawiadomień pisemnych, telefonicznych lub za pomocą innego środka komunikowania się – jeżeli URD jest zasilany z sieci </w:t>
            </w:r>
            <w:r w:rsidRPr="00C3032C">
              <w:rPr>
                <w:color w:val="auto"/>
              </w:rPr>
              <w:br/>
              <w:t xml:space="preserve">o napięciu znamionowym wyższym niż 1 kV, </w:t>
            </w:r>
          </w:p>
          <w:p w14:paraId="095FA04A" w14:textId="77777777" w:rsidR="00664BA1" w:rsidRPr="00C3032C" w:rsidRDefault="00664BA1">
            <w:pPr>
              <w:pStyle w:val="Default"/>
              <w:numPr>
                <w:ilvl w:val="0"/>
                <w:numId w:val="195"/>
              </w:numPr>
              <w:ind w:left="355" w:hanging="355"/>
              <w:jc w:val="both"/>
              <w:rPr>
                <w:color w:val="auto"/>
              </w:rPr>
            </w:pPr>
            <w:r w:rsidRPr="00C3032C">
              <w:rPr>
                <w:color w:val="auto"/>
              </w:rPr>
              <w:t xml:space="preserve">informowanie na piśmie z co najmniej: </w:t>
            </w:r>
          </w:p>
          <w:p w14:paraId="3494EEDB" w14:textId="77777777" w:rsidR="00664BA1" w:rsidRPr="00E059C6" w:rsidRDefault="00664BA1">
            <w:pPr>
              <w:pStyle w:val="Default"/>
              <w:numPr>
                <w:ilvl w:val="0"/>
                <w:numId w:val="187"/>
              </w:numPr>
              <w:jc w:val="both"/>
              <w:rPr>
                <w:color w:val="auto"/>
              </w:rPr>
            </w:pPr>
            <w:r w:rsidRPr="00C3032C">
              <w:rPr>
                <w:color w:val="auto"/>
              </w:rPr>
              <w:t xml:space="preserve">rocznym wyprzedzeniem - o konieczności dostosowania urządzeń </w:t>
            </w:r>
            <w:r w:rsidRPr="00C3032C">
              <w:rPr>
                <w:color w:val="auto"/>
              </w:rPr>
              <w:br/>
              <w:t>i instalacji do zmienionego n</w:t>
            </w:r>
            <w:r w:rsidRPr="00E059C6">
              <w:rPr>
                <w:color w:val="auto"/>
              </w:rPr>
              <w:t xml:space="preserve">apięcia znamionowego, podwyższonego poziomu prądów zwarcia, zmiany rodzaju przyłącza lub innych warunków funkcjonowania sieci, jeżeli URD jest zasilany z sieci o napięciu znamionowym nie wyższym niż 1 kV, </w:t>
            </w:r>
          </w:p>
          <w:p w14:paraId="509C1555" w14:textId="77777777" w:rsidR="00664BA1" w:rsidRPr="001173A8" w:rsidRDefault="00664BA1">
            <w:pPr>
              <w:pStyle w:val="Default"/>
              <w:numPr>
                <w:ilvl w:val="0"/>
                <w:numId w:val="187"/>
              </w:numPr>
              <w:jc w:val="both"/>
              <w:rPr>
                <w:color w:val="auto"/>
              </w:rPr>
            </w:pPr>
            <w:r w:rsidRPr="001173A8">
              <w:rPr>
                <w:color w:val="auto"/>
              </w:rPr>
              <w:t xml:space="preserve">trzyletnim wyprzedzeniem - o konieczności dostosowania urządzeń </w:t>
            </w:r>
            <w:r w:rsidRPr="001173A8">
              <w:rPr>
                <w:color w:val="auto"/>
              </w:rPr>
              <w:br/>
              <w:t xml:space="preserve">i instalacji do zmienionego napięcia znamionowego, podwyższonego poziomu prądów zwarcia lub innych warunków funkcjonowania sieci, jeżeli URD jest zasilany z sieci o napięciu znamionowym wyższym niż </w:t>
            </w:r>
            <w:r w:rsidRPr="001173A8">
              <w:rPr>
                <w:color w:val="auto"/>
              </w:rPr>
              <w:br/>
              <w:t xml:space="preserve">1 kV, </w:t>
            </w:r>
          </w:p>
          <w:p w14:paraId="0EEB4C8D" w14:textId="77777777" w:rsidR="00664BA1" w:rsidRPr="001173A8" w:rsidRDefault="00664BA1">
            <w:pPr>
              <w:pStyle w:val="Default"/>
              <w:numPr>
                <w:ilvl w:val="0"/>
                <w:numId w:val="187"/>
              </w:numPr>
              <w:jc w:val="both"/>
              <w:rPr>
                <w:color w:val="auto"/>
              </w:rPr>
            </w:pPr>
            <w:r w:rsidRPr="001173A8">
              <w:rPr>
                <w:color w:val="auto"/>
              </w:rPr>
              <w:t xml:space="preserve">tygodniowym wyprzedzeniem – o zamierzonej zmianie nastawień </w:t>
            </w:r>
            <w:r w:rsidRPr="001173A8">
              <w:rPr>
                <w:color w:val="auto"/>
              </w:rPr>
              <w:br/>
              <w:t xml:space="preserve">w automatyce zabezpieczeniowej i innych parametrach mających wpływ na współpracę ruchową z siecią, jeżeli URD jest zasilany z sieci o napięciu znamionowym wyższym niż 1 kV. </w:t>
            </w:r>
          </w:p>
          <w:p w14:paraId="73E47B8F" w14:textId="77777777" w:rsidR="00664BA1" w:rsidRPr="001173A8" w:rsidRDefault="00664BA1">
            <w:pPr>
              <w:pStyle w:val="Default"/>
              <w:numPr>
                <w:ilvl w:val="0"/>
                <w:numId w:val="195"/>
              </w:numPr>
              <w:ind w:left="355" w:hanging="355"/>
              <w:jc w:val="both"/>
              <w:rPr>
                <w:color w:val="auto"/>
              </w:rPr>
            </w:pPr>
            <w:r w:rsidRPr="001173A8">
              <w:rPr>
                <w:color w:val="auto"/>
              </w:rPr>
              <w:t>kontaktowanie się z URD w sprawie odpłatnego podejmowania stosownych czynności w sieci w celu umożliwienia bezpiecznego wykonania, przez URD lub inny podmiot, prac w obszarze oddziaływania tej sieci,</w:t>
            </w:r>
          </w:p>
          <w:p w14:paraId="1F6521F3" w14:textId="77777777" w:rsidR="00664BA1" w:rsidRPr="00EE1CD3" w:rsidRDefault="00664BA1">
            <w:pPr>
              <w:pStyle w:val="Default"/>
              <w:numPr>
                <w:ilvl w:val="0"/>
                <w:numId w:val="195"/>
              </w:numPr>
              <w:ind w:left="355" w:hanging="355"/>
              <w:jc w:val="both"/>
              <w:rPr>
                <w:color w:val="auto"/>
              </w:rPr>
            </w:pPr>
            <w:r w:rsidRPr="001173A8">
              <w:rPr>
                <w:color w:val="auto"/>
              </w:rPr>
              <w:t xml:space="preserve">przyjmowanie od URD reklamacji na wstrzymanie przez OSDn dostarczania energii z przyczyn innych niż wskazana </w:t>
            </w:r>
            <w:r w:rsidRPr="00EE1CD3">
              <w:rPr>
                <w:color w:val="auto"/>
              </w:rPr>
              <w:t>w pkt. II.2</w:t>
            </w:r>
            <w:r w:rsidR="00EE1CD3" w:rsidRPr="00EE1CD3">
              <w:rPr>
                <w:color w:val="auto"/>
              </w:rPr>
              <w:t>.2.2.</w:t>
            </w:r>
            <w:r w:rsidRPr="00EE1CD3">
              <w:rPr>
                <w:color w:val="auto"/>
              </w:rPr>
              <w:t>,</w:t>
            </w:r>
          </w:p>
          <w:p w14:paraId="05D42AA4" w14:textId="77777777" w:rsidR="00664BA1" w:rsidRDefault="00664BA1">
            <w:pPr>
              <w:pStyle w:val="Default"/>
              <w:numPr>
                <w:ilvl w:val="0"/>
                <w:numId w:val="195"/>
              </w:numPr>
              <w:ind w:left="355" w:hanging="355"/>
              <w:jc w:val="both"/>
              <w:rPr>
                <w:color w:val="auto"/>
              </w:rPr>
            </w:pPr>
            <w:r w:rsidRPr="00EE1CD3">
              <w:rPr>
                <w:color w:val="auto"/>
              </w:rPr>
              <w:t>przyjmowanie dodatkowych zleceń od URD na wykonanie</w:t>
            </w:r>
            <w:r w:rsidRPr="00DD2E42">
              <w:rPr>
                <w:color w:val="auto"/>
              </w:rPr>
              <w:t xml:space="preserve"> czynności wynikających z taryfy OSDn</w:t>
            </w:r>
            <w:r w:rsidR="005A4BA0">
              <w:rPr>
                <w:color w:val="auto"/>
              </w:rPr>
              <w:t>,</w:t>
            </w:r>
          </w:p>
          <w:p w14:paraId="3774945E" w14:textId="237682FA" w:rsidR="005A4BA0" w:rsidRPr="00DD2E42" w:rsidRDefault="00F60B7A">
            <w:pPr>
              <w:numPr>
                <w:ilvl w:val="0"/>
                <w:numId w:val="195"/>
              </w:numPr>
              <w:spacing w:line="253" w:lineRule="auto"/>
              <w:ind w:left="350" w:hanging="350"/>
              <w:jc w:val="both"/>
            </w:pPr>
            <w:r>
              <w:rPr>
                <w:rFonts w:eastAsia="Times New Roman" w:cs="Times New Roman"/>
                <w:color w:val="000000"/>
                <w:szCs w:val="24"/>
              </w:rPr>
              <w:t xml:space="preserve">przyjmowanie od Prosumenta, </w:t>
            </w:r>
            <w:r w:rsidR="005A4BA0" w:rsidRPr="003B5EA2">
              <w:rPr>
                <w:rFonts w:eastAsia="Times New Roman" w:cs="Times New Roman"/>
                <w:color w:val="000000"/>
                <w:szCs w:val="24"/>
              </w:rPr>
              <w:t>Prosument</w:t>
            </w:r>
            <w:r>
              <w:rPr>
                <w:rFonts w:eastAsia="Times New Roman" w:cs="Times New Roman"/>
                <w:color w:val="000000"/>
                <w:szCs w:val="24"/>
              </w:rPr>
              <w:t xml:space="preserve">a zbiorowego oraz Prosumenta wirtualnego </w:t>
            </w:r>
            <w:r w:rsidR="005A4BA0" w:rsidRPr="003B5EA2">
              <w:rPr>
                <w:rFonts w:eastAsia="Times New Roman" w:cs="Times New Roman"/>
                <w:color w:val="000000"/>
                <w:szCs w:val="24"/>
              </w:rPr>
              <w:t>będąc</w:t>
            </w:r>
            <w:r>
              <w:rPr>
                <w:rFonts w:eastAsia="Times New Roman" w:cs="Times New Roman"/>
                <w:color w:val="000000"/>
                <w:szCs w:val="24"/>
              </w:rPr>
              <w:t>ego</w:t>
            </w:r>
            <w:r w:rsidR="005A4BA0" w:rsidRPr="003B5EA2">
              <w:rPr>
                <w:rFonts w:eastAsia="Times New Roman" w:cs="Times New Roman"/>
                <w:color w:val="000000"/>
                <w:szCs w:val="24"/>
              </w:rPr>
              <w:t xml:space="preserve"> konsumentem w rozumieniu przepisów ustawy z dnia 23 kwietnia 1964 r.- Kodeks cywilny,</w:t>
            </w:r>
            <w:r>
              <w:rPr>
                <w:rFonts w:eastAsia="Times New Roman" w:cs="Times New Roman"/>
                <w:color w:val="000000"/>
                <w:szCs w:val="24"/>
              </w:rPr>
              <w:t xml:space="preserve"> reklamacji</w:t>
            </w:r>
            <w:r w:rsidR="005A4BA0" w:rsidRPr="003B5EA2">
              <w:rPr>
                <w:rFonts w:eastAsia="Times New Roman" w:cs="Times New Roman"/>
                <w:color w:val="000000"/>
                <w:szCs w:val="24"/>
              </w:rPr>
              <w:t xml:space="preserve"> </w:t>
            </w:r>
            <w:r>
              <w:rPr>
                <w:rFonts w:eastAsia="Times New Roman" w:cs="Times New Roman"/>
                <w:color w:val="000000"/>
                <w:szCs w:val="24"/>
              </w:rPr>
              <w:t>dotyczących przyłączenia instalacji odnawialnego źródła energii, a także rozliczania i dystrybucji energii elektrycznej wytworzonej w tej instalacji, o ile prosument ten posiada zawartą umowę dystrybucji z OSDn.</w:t>
            </w:r>
          </w:p>
        </w:tc>
      </w:tr>
      <w:tr w:rsidR="00664BA1" w:rsidRPr="00D91C14" w14:paraId="3CAFD130" w14:textId="77777777" w:rsidTr="00357BB6">
        <w:tc>
          <w:tcPr>
            <w:tcW w:w="1063" w:type="dxa"/>
            <w:shd w:val="clear" w:color="auto" w:fill="auto"/>
          </w:tcPr>
          <w:p w14:paraId="7C7DF45A" w14:textId="77777777" w:rsidR="00664BA1" w:rsidRPr="00E94E29" w:rsidRDefault="00CD6F47" w:rsidP="00C32417">
            <w:pPr>
              <w:widowControl w:val="0"/>
              <w:jc w:val="both"/>
            </w:pPr>
            <w:r>
              <w:lastRenderedPageBreak/>
              <w:t>G</w:t>
            </w:r>
            <w:r w:rsidR="00664BA1" w:rsidRPr="00E94E29">
              <w:t>.4.</w:t>
            </w:r>
          </w:p>
        </w:tc>
        <w:tc>
          <w:tcPr>
            <w:tcW w:w="8147" w:type="dxa"/>
            <w:shd w:val="clear" w:color="auto" w:fill="auto"/>
          </w:tcPr>
          <w:p w14:paraId="0714277F" w14:textId="77777777" w:rsidR="00664BA1" w:rsidRPr="004D0F8F" w:rsidRDefault="00664BA1" w:rsidP="00C32417">
            <w:pPr>
              <w:pStyle w:val="Default"/>
              <w:jc w:val="both"/>
              <w:rPr>
                <w:color w:val="auto"/>
              </w:rPr>
            </w:pPr>
            <w:r w:rsidRPr="00E80BA8">
              <w:rPr>
                <w:color w:val="auto"/>
              </w:rPr>
              <w:t>Postępowanie w sprawie reklamacji złożonych sprzedawcy przez URD posiadającego zawa</w:t>
            </w:r>
            <w:r w:rsidRPr="004D0F8F">
              <w:rPr>
                <w:color w:val="auto"/>
              </w:rPr>
              <w:t xml:space="preserve">rtą umowę kompleksową, w sprawach innych niż opisane </w:t>
            </w:r>
            <w:r w:rsidRPr="004D0F8F">
              <w:rPr>
                <w:color w:val="auto"/>
              </w:rPr>
              <w:br/>
              <w:t>w pkt</w:t>
            </w:r>
            <w:r>
              <w:rPr>
                <w:color w:val="auto"/>
              </w:rPr>
              <w:t>.</w:t>
            </w:r>
            <w:r w:rsidRPr="004D0F8F">
              <w:rPr>
                <w:color w:val="auto"/>
              </w:rPr>
              <w:t xml:space="preserve"> </w:t>
            </w:r>
            <w:r w:rsidR="00D358B6">
              <w:rPr>
                <w:color w:val="auto"/>
              </w:rPr>
              <w:t>G</w:t>
            </w:r>
            <w:r w:rsidRPr="004D0F8F">
              <w:rPr>
                <w:color w:val="auto"/>
              </w:rPr>
              <w:t xml:space="preserve">.3., realizowane jest w następujący sposób: </w:t>
            </w:r>
          </w:p>
          <w:p w14:paraId="2B3BDDEC" w14:textId="77777777" w:rsidR="00664BA1" w:rsidRPr="00CB3547" w:rsidRDefault="00664BA1">
            <w:pPr>
              <w:pStyle w:val="Default"/>
              <w:numPr>
                <w:ilvl w:val="0"/>
                <w:numId w:val="197"/>
              </w:numPr>
              <w:ind w:left="355" w:hanging="355"/>
              <w:jc w:val="both"/>
              <w:rPr>
                <w:color w:val="auto"/>
              </w:rPr>
            </w:pPr>
            <w:r w:rsidRPr="004D0F8F">
              <w:rPr>
                <w:color w:val="auto"/>
              </w:rPr>
              <w:t>reklamacje dotyczące odczytu wskazań układu pomiarowo-rozliczeniowego przekazywane są przez sprzedawcę do OSDn</w:t>
            </w:r>
            <w:r w:rsidRPr="004D0F8F">
              <w:rPr>
                <w:bCs/>
                <w:color w:val="auto"/>
              </w:rPr>
              <w:t>. OSDn</w:t>
            </w:r>
            <w:r w:rsidRPr="004D0F8F">
              <w:rPr>
                <w:color w:val="auto"/>
              </w:rPr>
              <w:t xml:space="preserve"> dokonuje weryfikacji wskazań układu pomiarowo-rozliczeniowego w terminie 7 dni kalendarzowych od </w:t>
            </w:r>
            <w:r w:rsidRPr="00CB3547">
              <w:rPr>
                <w:color w:val="auto"/>
              </w:rPr>
              <w:t xml:space="preserve">daty otrzymania reklamacji od sprzedawcy i w tym samym terminie przekazuje odpowiedź sprzedawcy, </w:t>
            </w:r>
          </w:p>
          <w:p w14:paraId="32BD75B6" w14:textId="77777777" w:rsidR="00664BA1" w:rsidRPr="00CB3547" w:rsidRDefault="00664BA1">
            <w:pPr>
              <w:pStyle w:val="Default"/>
              <w:numPr>
                <w:ilvl w:val="0"/>
                <w:numId w:val="197"/>
              </w:numPr>
              <w:ind w:left="355" w:hanging="355"/>
              <w:jc w:val="both"/>
              <w:rPr>
                <w:color w:val="auto"/>
              </w:rPr>
            </w:pPr>
            <w:r w:rsidRPr="00CB3547">
              <w:rPr>
                <w:color w:val="auto"/>
              </w:rPr>
              <w:t xml:space="preserve">reklamacje dotyczące prawidłowości działania układu pomiarowo-rozliczeniowego sprzedawca przekazuje do OSDn w ciągu 2 dni roboczych </w:t>
            </w:r>
            <w:r w:rsidRPr="00CB3547">
              <w:rPr>
                <w:color w:val="auto"/>
              </w:rPr>
              <w:br/>
              <w:t xml:space="preserve">w formie elektronicznej. OSDn bezzwłocznie podejmuje działania w celu rozpatrzenia reklamacji oraz naprawy lub wymiany układu pomiarowo-rozliczeniowego. OSDn niezwłocznie informuje w formie elektronicznej sprzedawcę o zrealizowanych działaniach, w tym naprawach lub wymianach, </w:t>
            </w:r>
            <w:r w:rsidRPr="00CB3547">
              <w:rPr>
                <w:color w:val="auto"/>
              </w:rPr>
              <w:br/>
              <w:t xml:space="preserve">a także o ewentualnej korekcie danych pomiarowych w wyniku stwierdzonych nieprawidłowości pracy układu pomiarowo-rozliczeniowego. OSDn wykonuje </w:t>
            </w:r>
            <w:r w:rsidRPr="00CB3547">
              <w:rPr>
                <w:color w:val="auto"/>
              </w:rPr>
              <w:lastRenderedPageBreak/>
              <w:t xml:space="preserve">powyższe czynności w terminie 9 dni kalendarzowych od otrzymania reklamacji, </w:t>
            </w:r>
          </w:p>
          <w:p w14:paraId="29598BD4" w14:textId="77777777" w:rsidR="00664BA1" w:rsidRPr="00FD1D79" w:rsidRDefault="00664BA1">
            <w:pPr>
              <w:pStyle w:val="Default"/>
              <w:numPr>
                <w:ilvl w:val="0"/>
                <w:numId w:val="197"/>
              </w:numPr>
              <w:ind w:left="355" w:hanging="355"/>
              <w:jc w:val="both"/>
              <w:rPr>
                <w:color w:val="auto"/>
              </w:rPr>
            </w:pPr>
            <w:r w:rsidRPr="00CB3547">
              <w:rPr>
                <w:color w:val="auto"/>
              </w:rPr>
              <w:t>w przypadku żądania URD laboratoryjne</w:t>
            </w:r>
            <w:r w:rsidRPr="00FD1D79">
              <w:rPr>
                <w:color w:val="auto"/>
              </w:rPr>
              <w:t xml:space="preserve">go sprawdzenia licznika, sprzedawca informuje o tym OSDn w terminie 2 dni roboczych. OSDn realizuje żądanie URD w terminie zapewniającym realizację obowiązku w 14 dni kalendarzowych od zgłoszenia URD. Pokrycie kosztów laboratoryjnego sprawdzenia licznika odbywa się zgodnie z zapisami obowiązującego prawa, </w:t>
            </w:r>
          </w:p>
          <w:p w14:paraId="6B560D25" w14:textId="77777777" w:rsidR="00664BA1" w:rsidRPr="00FD1D79" w:rsidRDefault="00664BA1">
            <w:pPr>
              <w:pStyle w:val="Default"/>
              <w:numPr>
                <w:ilvl w:val="0"/>
                <w:numId w:val="197"/>
              </w:numPr>
              <w:ind w:left="355" w:hanging="355"/>
              <w:jc w:val="both"/>
              <w:rPr>
                <w:color w:val="auto"/>
              </w:rPr>
            </w:pPr>
            <w:r w:rsidRPr="00FD1D79">
              <w:rPr>
                <w:color w:val="auto"/>
              </w:rPr>
              <w:t>w ciągu 30 dni kalendarzowych od dnia otrzymania wyniku badania laboratoryjnego o którym mowa w pkt</w:t>
            </w:r>
            <w:r>
              <w:rPr>
                <w:color w:val="auto"/>
              </w:rPr>
              <w:t>.</w:t>
            </w:r>
            <w:r w:rsidRPr="00FD1D79">
              <w:rPr>
                <w:color w:val="auto"/>
              </w:rPr>
              <w:t xml:space="preserve"> 3), URD może zlecić wykonanie dodatkowej ekspertyzy badanego uprzednio układu pomiarowo-rozliczeniowego. Koszt ekspertyzy pokrywa URD na zasadach określonych </w:t>
            </w:r>
            <w:r w:rsidRPr="00FD1D79">
              <w:rPr>
                <w:color w:val="auto"/>
              </w:rPr>
              <w:br/>
              <w:t xml:space="preserve">w przepisach prawa, </w:t>
            </w:r>
          </w:p>
          <w:p w14:paraId="5F432912" w14:textId="3B4DFBB5" w:rsidR="00664BA1" w:rsidRPr="00C3032C" w:rsidRDefault="00664BA1">
            <w:pPr>
              <w:pStyle w:val="Default"/>
              <w:numPr>
                <w:ilvl w:val="0"/>
                <w:numId w:val="197"/>
              </w:numPr>
              <w:ind w:left="355" w:hanging="355"/>
              <w:jc w:val="both"/>
              <w:rPr>
                <w:color w:val="auto"/>
              </w:rPr>
            </w:pPr>
            <w:r w:rsidRPr="00FD1D79">
              <w:rPr>
                <w:color w:val="auto"/>
              </w:rPr>
              <w:t xml:space="preserve">reklamacje dotyczące dotrzymania parametrów jakościowych energii elektrycznej dostarczanej z sieci elektroenergetycznej, przekazywane są do OSDn przez sprzedawcę w terminie 2 dni roboczych. OSDn w miarę możliwości technicznych i organizacyjnych, dokonuje sprawdzenia dotrzymania parametrów jakościowych energii elektrycznej dostarczanej </w:t>
            </w:r>
            <w:r w:rsidRPr="00FD1D79">
              <w:rPr>
                <w:color w:val="auto"/>
              </w:rPr>
              <w:br/>
              <w:t xml:space="preserve">z sieci elektroenergetycznej, poprzez wykonanie odpowiednich pomiarów. OSDn przekazuje sprzedawcy </w:t>
            </w:r>
            <w:r w:rsidRPr="00C3032C">
              <w:rPr>
                <w:color w:val="auto"/>
              </w:rPr>
              <w:t>informację o wynikach sprawdzenia niezwłocznie po zakończeniu pomiarów</w:t>
            </w:r>
            <w:r w:rsidR="00690E5D">
              <w:rPr>
                <w:color w:val="auto"/>
              </w:rPr>
              <w:t>.</w:t>
            </w:r>
            <w:r w:rsidRPr="00C3032C">
              <w:rPr>
                <w:color w:val="auto"/>
              </w:rPr>
              <w:t xml:space="preserve"> W przypadku zgodności zmierzonych parametrów </w:t>
            </w:r>
            <w:r w:rsidR="00373CE0">
              <w:rPr>
                <w:color w:val="auto"/>
              </w:rPr>
              <w:br/>
            </w:r>
            <w:r w:rsidRPr="00C3032C">
              <w:rPr>
                <w:color w:val="auto"/>
              </w:rPr>
              <w:t xml:space="preserve">z określonymi w umowie kompleksowej lub IRiESD, koszty sprawdzenia </w:t>
            </w:r>
            <w:r w:rsidR="00373CE0">
              <w:rPr>
                <w:color w:val="auto"/>
              </w:rPr>
              <w:br/>
            </w:r>
            <w:r w:rsidRPr="00C3032C">
              <w:rPr>
                <w:color w:val="auto"/>
              </w:rPr>
              <w:t>i pomiarów ponosi URD, na zasadach określonych</w:t>
            </w:r>
            <w:r w:rsidR="00373CE0">
              <w:rPr>
                <w:color w:val="auto"/>
              </w:rPr>
              <w:t xml:space="preserve"> </w:t>
            </w:r>
            <w:r w:rsidRPr="00C3032C">
              <w:rPr>
                <w:color w:val="auto"/>
              </w:rPr>
              <w:t xml:space="preserve">w taryfie OSDn, </w:t>
            </w:r>
          </w:p>
          <w:p w14:paraId="2E8B6F48" w14:textId="77777777" w:rsidR="00754DA8" w:rsidRPr="00D07FD6" w:rsidRDefault="00754DA8">
            <w:pPr>
              <w:numPr>
                <w:ilvl w:val="0"/>
                <w:numId w:val="197"/>
              </w:numPr>
              <w:autoSpaceDE w:val="0"/>
              <w:autoSpaceDN w:val="0"/>
              <w:adjustRightInd w:val="0"/>
              <w:ind w:left="350" w:hanging="284"/>
              <w:jc w:val="both"/>
              <w:rPr>
                <w:rFonts w:cs="Times New Roman"/>
                <w:szCs w:val="24"/>
              </w:rPr>
            </w:pPr>
            <w:r w:rsidRPr="00D80DE5">
              <w:rPr>
                <w:rFonts w:cs="Times New Roman"/>
                <w:szCs w:val="24"/>
              </w:rPr>
              <w:t>w przypadku otrzymania przez sprzedawcę od:</w:t>
            </w:r>
            <w:r w:rsidRPr="00D07FD6">
              <w:rPr>
                <w:rFonts w:cs="Times New Roman"/>
                <w:szCs w:val="24"/>
              </w:rPr>
              <w:t xml:space="preserve"> </w:t>
            </w:r>
          </w:p>
          <w:p w14:paraId="3638EB88" w14:textId="77777777" w:rsidR="00754DA8" w:rsidRPr="00D07FD6" w:rsidRDefault="00754DA8" w:rsidP="00754DA8">
            <w:pPr>
              <w:autoSpaceDE w:val="0"/>
              <w:autoSpaceDN w:val="0"/>
              <w:adjustRightInd w:val="0"/>
              <w:ind w:left="633" w:hanging="283"/>
              <w:jc w:val="both"/>
              <w:rPr>
                <w:rFonts w:cs="Times New Roman"/>
                <w:color w:val="000000"/>
                <w:szCs w:val="24"/>
              </w:rPr>
            </w:pPr>
            <w:r w:rsidRPr="00D07FD6">
              <w:rPr>
                <w:rFonts w:cs="Times New Roman"/>
                <w:color w:val="000000"/>
                <w:szCs w:val="24"/>
              </w:rPr>
              <w:t xml:space="preserve">a) URD przyłączonego do sieci o napięciu znamionowym nie wyższym niż </w:t>
            </w:r>
            <w:r>
              <w:rPr>
                <w:rFonts w:cs="Times New Roman"/>
                <w:color w:val="000000"/>
                <w:szCs w:val="24"/>
              </w:rPr>
              <w:br/>
            </w:r>
            <w:r w:rsidRPr="00D07FD6">
              <w:rPr>
                <w:rFonts w:cs="Times New Roman"/>
                <w:color w:val="000000"/>
                <w:szCs w:val="24"/>
              </w:rPr>
              <w:t xml:space="preserve">1 kV, wniosku o udzielenie bonifikaty z tytułu przekroczenia dopuszczalnych czasów przerw w dostarczaniu energii elektrycznej, </w:t>
            </w:r>
          </w:p>
          <w:p w14:paraId="40B09A18" w14:textId="77777777" w:rsidR="00754DA8" w:rsidRPr="00D07FD6" w:rsidRDefault="00754DA8" w:rsidP="00754DA8">
            <w:pPr>
              <w:autoSpaceDE w:val="0"/>
              <w:autoSpaceDN w:val="0"/>
              <w:adjustRightInd w:val="0"/>
              <w:ind w:left="633" w:hanging="283"/>
              <w:jc w:val="both"/>
              <w:rPr>
                <w:rFonts w:cs="Times New Roman"/>
                <w:color w:val="000000"/>
                <w:szCs w:val="24"/>
              </w:rPr>
            </w:pPr>
            <w:r w:rsidRPr="00D07FD6">
              <w:rPr>
                <w:rFonts w:cs="Times New Roman"/>
                <w:color w:val="000000"/>
                <w:szCs w:val="24"/>
              </w:rPr>
              <w:t>b) URD wniosku o udzielenie bonifikaty z tytułu niedotrzymania parametrów jakościowych energii elektrycznej, z wyłączeniem niedotrzymania parametrów jakościowych energii elektrycznej określających dopuszczalne czasy przerw</w:t>
            </w:r>
            <w:r>
              <w:rPr>
                <w:rFonts w:cs="Times New Roman"/>
                <w:color w:val="000000"/>
                <w:szCs w:val="24"/>
              </w:rPr>
              <w:t xml:space="preserve"> </w:t>
            </w:r>
            <w:r w:rsidRPr="00D07FD6">
              <w:rPr>
                <w:rFonts w:cs="Times New Roman"/>
                <w:color w:val="000000"/>
                <w:szCs w:val="24"/>
              </w:rPr>
              <w:t xml:space="preserve">w dostarczaniu energii elektryczne, </w:t>
            </w:r>
          </w:p>
          <w:p w14:paraId="521474D1" w14:textId="77777777" w:rsidR="00754DA8" w:rsidRPr="00D07FD6" w:rsidRDefault="00754DA8" w:rsidP="00754DA8">
            <w:pPr>
              <w:autoSpaceDE w:val="0"/>
              <w:autoSpaceDN w:val="0"/>
              <w:adjustRightInd w:val="0"/>
              <w:ind w:left="350"/>
              <w:jc w:val="both"/>
              <w:rPr>
                <w:rFonts w:cs="Times New Roman"/>
                <w:color w:val="000000"/>
                <w:szCs w:val="24"/>
              </w:rPr>
            </w:pPr>
            <w:r w:rsidRPr="00D07FD6">
              <w:rPr>
                <w:rFonts w:cs="Times New Roman"/>
                <w:color w:val="000000"/>
                <w:szCs w:val="24"/>
              </w:rPr>
              <w:t xml:space="preserve">sprzedawca przekazuje OSDn w formie elektronicznej ten wniosek w ciągu </w:t>
            </w:r>
            <w:r>
              <w:rPr>
                <w:rFonts w:cs="Times New Roman"/>
                <w:color w:val="000000"/>
                <w:szCs w:val="24"/>
              </w:rPr>
              <w:br/>
            </w:r>
            <w:r w:rsidRPr="00D07FD6">
              <w:rPr>
                <w:rFonts w:cs="Times New Roman"/>
                <w:color w:val="000000"/>
                <w:szCs w:val="24"/>
              </w:rPr>
              <w:t xml:space="preserve">2 dni roboczych. </w:t>
            </w:r>
          </w:p>
          <w:p w14:paraId="75D2578E" w14:textId="77777777" w:rsidR="00754DA8" w:rsidRPr="00D07FD6" w:rsidRDefault="00754DA8" w:rsidP="00754DA8">
            <w:pPr>
              <w:autoSpaceDE w:val="0"/>
              <w:autoSpaceDN w:val="0"/>
              <w:adjustRightInd w:val="0"/>
              <w:ind w:left="350"/>
              <w:jc w:val="both"/>
              <w:rPr>
                <w:rFonts w:cs="Times New Roman"/>
                <w:color w:val="000000"/>
                <w:szCs w:val="24"/>
              </w:rPr>
            </w:pPr>
            <w:r w:rsidRPr="00D07FD6">
              <w:rPr>
                <w:rFonts w:cs="Times New Roman"/>
                <w:color w:val="000000"/>
                <w:szCs w:val="24"/>
              </w:rPr>
              <w:t xml:space="preserve">OSDn po rozpatrzeniu wniosku, przekazuje sprzedawcy informację o uznaniu bądź odrzuceniu wniosku URD wraz z podaniem przyczyn odrzucenia, </w:t>
            </w:r>
            <w:r>
              <w:rPr>
                <w:rFonts w:cs="Times New Roman"/>
                <w:color w:val="000000"/>
                <w:szCs w:val="24"/>
              </w:rPr>
              <w:br/>
            </w:r>
            <w:r w:rsidRPr="00D07FD6">
              <w:rPr>
                <w:rFonts w:cs="Times New Roman"/>
                <w:color w:val="000000"/>
                <w:szCs w:val="24"/>
              </w:rPr>
              <w:t xml:space="preserve">w terminie 14 dni kalendarzowych od dnia otrzymania wniosku od sprzedawcy, </w:t>
            </w:r>
          </w:p>
          <w:p w14:paraId="2175D66D" w14:textId="77777777" w:rsidR="00754DA8" w:rsidRPr="00D07FD6" w:rsidRDefault="00754DA8" w:rsidP="00536E1F">
            <w:pPr>
              <w:autoSpaceDE w:val="0"/>
              <w:autoSpaceDN w:val="0"/>
              <w:adjustRightInd w:val="0"/>
              <w:ind w:left="350" w:hanging="350"/>
              <w:jc w:val="both"/>
              <w:rPr>
                <w:rFonts w:cs="Times New Roman"/>
                <w:color w:val="000000"/>
                <w:szCs w:val="24"/>
              </w:rPr>
            </w:pPr>
            <w:r w:rsidRPr="00D07FD6">
              <w:rPr>
                <w:rFonts w:cs="Times New Roman"/>
                <w:color w:val="000000"/>
                <w:szCs w:val="24"/>
              </w:rPr>
              <w:t xml:space="preserve">6a) w przypadku udzielenia URD przez OSDn bonifikaty bez wcześniejszego wniosku URD, bonifikata ta jest uwzględniana w rozliczeniach z URD za najbliższy okres rozliczeniowy i uwzględniana w rozliczeniach pomiędzy OSDn a sprzedawcą, </w:t>
            </w:r>
          </w:p>
          <w:p w14:paraId="40AFE68B" w14:textId="6E549B05" w:rsidR="00754DA8" w:rsidRPr="00D07FD6" w:rsidRDefault="00754DA8" w:rsidP="00536E1F">
            <w:pPr>
              <w:autoSpaceDE w:val="0"/>
              <w:autoSpaceDN w:val="0"/>
              <w:adjustRightInd w:val="0"/>
              <w:ind w:left="350" w:hanging="350"/>
              <w:jc w:val="both"/>
              <w:rPr>
                <w:rFonts w:cs="Times New Roman"/>
                <w:color w:val="000000"/>
                <w:szCs w:val="24"/>
              </w:rPr>
            </w:pPr>
            <w:r w:rsidRPr="00D07FD6">
              <w:rPr>
                <w:rFonts w:cs="Times New Roman"/>
                <w:color w:val="000000"/>
                <w:szCs w:val="24"/>
              </w:rPr>
              <w:t xml:space="preserve">6b) w przypadku otrzymania przez sprzedawcę reklamacji URD w sprawie bonifikaty, sprzedawca przekazuje OSDn reklamację w formie elektronicznej </w:t>
            </w:r>
            <w:r w:rsidR="00184363">
              <w:rPr>
                <w:rFonts w:cs="Times New Roman"/>
                <w:color w:val="000000"/>
                <w:szCs w:val="24"/>
              </w:rPr>
              <w:br/>
            </w:r>
            <w:r w:rsidRPr="00D07FD6">
              <w:rPr>
                <w:rFonts w:cs="Times New Roman"/>
                <w:color w:val="000000"/>
                <w:szCs w:val="24"/>
              </w:rPr>
              <w:t>w ciągu 2 dni roboczych. OSDn po rozpatrzeniu reklamacji, przekazuje sprzedawcy informację</w:t>
            </w:r>
            <w:r w:rsidR="00C7646A">
              <w:rPr>
                <w:rFonts w:cs="Times New Roman"/>
                <w:color w:val="000000"/>
                <w:szCs w:val="24"/>
              </w:rPr>
              <w:t xml:space="preserve"> </w:t>
            </w:r>
            <w:r w:rsidRPr="00D07FD6">
              <w:rPr>
                <w:rFonts w:cs="Times New Roman"/>
                <w:color w:val="000000"/>
                <w:szCs w:val="24"/>
              </w:rPr>
              <w:t xml:space="preserve">o uznaniu bądź odrzuceniu reklamacji URD, wraz </w:t>
            </w:r>
            <w:r w:rsidR="00C7646A">
              <w:rPr>
                <w:rFonts w:cs="Times New Roman"/>
                <w:color w:val="000000"/>
                <w:szCs w:val="24"/>
              </w:rPr>
              <w:br/>
            </w:r>
            <w:r w:rsidRPr="00D07FD6">
              <w:rPr>
                <w:rFonts w:cs="Times New Roman"/>
                <w:color w:val="000000"/>
                <w:szCs w:val="24"/>
              </w:rPr>
              <w:t>z podaniem przyczyn odrzucenia,</w:t>
            </w:r>
            <w:r w:rsidR="00AF3535">
              <w:rPr>
                <w:rFonts w:cs="Times New Roman"/>
                <w:color w:val="000000"/>
                <w:szCs w:val="24"/>
              </w:rPr>
              <w:t xml:space="preserve"> </w:t>
            </w:r>
            <w:r w:rsidRPr="00D07FD6">
              <w:rPr>
                <w:rFonts w:cs="Times New Roman"/>
                <w:color w:val="000000"/>
                <w:szCs w:val="24"/>
              </w:rPr>
              <w:t xml:space="preserve">w terminie 21 dni kalendarzowych od dnia otrzymania reklamacji od sprzedawcy, </w:t>
            </w:r>
          </w:p>
          <w:p w14:paraId="372C3F42" w14:textId="77777777" w:rsidR="00664BA1" w:rsidRPr="001173A8" w:rsidRDefault="00664BA1">
            <w:pPr>
              <w:pStyle w:val="Default"/>
              <w:numPr>
                <w:ilvl w:val="0"/>
                <w:numId w:val="197"/>
              </w:numPr>
              <w:ind w:left="355" w:hanging="355"/>
              <w:jc w:val="both"/>
              <w:rPr>
                <w:color w:val="auto"/>
              </w:rPr>
            </w:pPr>
            <w:r w:rsidRPr="001173A8">
              <w:rPr>
                <w:color w:val="auto"/>
              </w:rPr>
              <w:t xml:space="preserve">wnioski URD o odszkodowanie wynikające z niedotrzymania parametrów jakościowych energii elektrycznej dostarczanej z sieci elektroenergetycznej, niedotrzymania standardów jakościowych obsługi URD, przerw </w:t>
            </w:r>
            <w:r w:rsidRPr="001173A8">
              <w:rPr>
                <w:color w:val="auto"/>
              </w:rPr>
              <w:br/>
              <w:t xml:space="preserve">w dostarczaniu energii elektrycznej bądź niewykonania lub nienależytego wykonania usługi dystrybucji na rzecz URD, sprzedawca przekazuje w ciągu </w:t>
            </w:r>
            <w:r w:rsidRPr="001173A8">
              <w:rPr>
                <w:color w:val="auto"/>
              </w:rPr>
              <w:br/>
            </w:r>
            <w:r w:rsidRPr="001173A8">
              <w:rPr>
                <w:color w:val="auto"/>
              </w:rPr>
              <w:lastRenderedPageBreak/>
              <w:t xml:space="preserve">2 dni roboczych do OSDn w formie elektronicznej wraz ze skanem wniosku. OSDn niezwłocznie rozpatruje złożone wnioski i informuje sprzedawcę lub URD o wyniku ich rozpatrzenia, </w:t>
            </w:r>
          </w:p>
          <w:p w14:paraId="37839BDF" w14:textId="77777777" w:rsidR="00664BA1" w:rsidRPr="001173A8" w:rsidRDefault="00664BA1">
            <w:pPr>
              <w:pStyle w:val="Default"/>
              <w:numPr>
                <w:ilvl w:val="0"/>
                <w:numId w:val="197"/>
              </w:numPr>
              <w:ind w:left="355" w:hanging="355"/>
              <w:jc w:val="both"/>
              <w:rPr>
                <w:color w:val="auto"/>
              </w:rPr>
            </w:pPr>
            <w:r w:rsidRPr="001173A8">
              <w:rPr>
                <w:color w:val="auto"/>
              </w:rPr>
              <w:t xml:space="preserve">w przypadku prowadzonego postępowania reklamacyjnego sprzedawca na żądanie OSDn, w terminie 7 dni od otrzymania żądania, prześle w formie elektronicznej do OSDn kopię odpowiedzi udzielonej URD. </w:t>
            </w:r>
          </w:p>
          <w:p w14:paraId="4EFF8C22" w14:textId="77777777" w:rsidR="00664BA1" w:rsidRPr="00A9485E" w:rsidRDefault="00664BA1" w:rsidP="00C32417">
            <w:pPr>
              <w:pStyle w:val="Tekstpodstawowy"/>
              <w:tabs>
                <w:tab w:val="clear" w:pos="4536"/>
                <w:tab w:val="clear" w:pos="9072"/>
              </w:tabs>
              <w:spacing w:before="0" w:line="240" w:lineRule="auto"/>
              <w:rPr>
                <w:color w:val="auto"/>
                <w:szCs w:val="24"/>
                <w:lang w:val="pl-PL" w:eastAsia="pl-PL"/>
              </w:rPr>
            </w:pPr>
            <w:r w:rsidRPr="00E94E29">
              <w:rPr>
                <w:color w:val="auto"/>
                <w:szCs w:val="24"/>
                <w:lang w:val="pl-PL" w:eastAsia="pl-PL"/>
              </w:rPr>
              <w:t>Odpowiedzi na reklamacje URD złożone do sprzedawcy, zgodnie z zasadami opisanymi w niniejszym punkcie, udzielane są URD przez sprzedawcę za wyjątkiem ppkt</w:t>
            </w:r>
            <w:r>
              <w:rPr>
                <w:color w:val="auto"/>
                <w:szCs w:val="24"/>
                <w:lang w:val="pl-PL" w:eastAsia="pl-PL"/>
              </w:rPr>
              <w:t>.</w:t>
            </w:r>
            <w:r w:rsidRPr="00E94E29">
              <w:rPr>
                <w:color w:val="auto"/>
                <w:szCs w:val="24"/>
                <w:lang w:val="pl-PL" w:eastAsia="pl-PL"/>
              </w:rPr>
              <w:t xml:space="preserve"> 7).</w:t>
            </w:r>
            <w:r w:rsidRPr="00A9485E">
              <w:rPr>
                <w:color w:val="auto"/>
                <w:szCs w:val="24"/>
                <w:lang w:val="pl-PL" w:eastAsia="pl-PL"/>
              </w:rPr>
              <w:t xml:space="preserve"> </w:t>
            </w:r>
          </w:p>
        </w:tc>
      </w:tr>
      <w:tr w:rsidR="00664BA1" w:rsidRPr="00E94E29" w14:paraId="5B21B127" w14:textId="77777777" w:rsidTr="00357BB6">
        <w:tc>
          <w:tcPr>
            <w:tcW w:w="1063" w:type="dxa"/>
            <w:shd w:val="clear" w:color="auto" w:fill="auto"/>
          </w:tcPr>
          <w:p w14:paraId="3FF8FA4D" w14:textId="77777777" w:rsidR="00664BA1" w:rsidRPr="00E94E29" w:rsidRDefault="00CD6F47" w:rsidP="00C32417">
            <w:pPr>
              <w:widowControl w:val="0"/>
              <w:jc w:val="both"/>
            </w:pPr>
            <w:r>
              <w:lastRenderedPageBreak/>
              <w:t>G</w:t>
            </w:r>
            <w:r w:rsidR="00664BA1" w:rsidRPr="00E94E29">
              <w:t>.5.</w:t>
            </w:r>
          </w:p>
        </w:tc>
        <w:tc>
          <w:tcPr>
            <w:tcW w:w="8147" w:type="dxa"/>
            <w:shd w:val="clear" w:color="auto" w:fill="auto"/>
          </w:tcPr>
          <w:p w14:paraId="4DA729F9" w14:textId="77777777" w:rsidR="00664BA1" w:rsidRPr="00E94E29" w:rsidRDefault="00664BA1" w:rsidP="00C32417">
            <w:pPr>
              <w:pStyle w:val="Tekstpodstawowy"/>
              <w:tabs>
                <w:tab w:val="clear" w:pos="4536"/>
                <w:tab w:val="clear" w:pos="9072"/>
              </w:tabs>
              <w:spacing w:before="0" w:line="240" w:lineRule="auto"/>
              <w:rPr>
                <w:color w:val="auto"/>
                <w:lang w:val="pl-PL" w:eastAsia="pl-PL"/>
              </w:rPr>
            </w:pPr>
            <w:r w:rsidRPr="00E94E29">
              <w:rPr>
                <w:color w:val="auto"/>
                <w:lang w:val="pl-PL" w:eastAsia="pl-PL"/>
              </w:rPr>
              <w:t xml:space="preserve">Zgłoszenie przez podmiot reklamacji do OSDn powinno zawierać </w:t>
            </w:r>
            <w:r w:rsidRPr="00E94E29">
              <w:rPr>
                <w:color w:val="auto"/>
                <w:lang w:val="pl-PL" w:eastAsia="pl-PL"/>
              </w:rPr>
              <w:br/>
              <w:t>w szczególności:</w:t>
            </w:r>
          </w:p>
          <w:p w14:paraId="210212AC" w14:textId="77777777" w:rsidR="00664BA1" w:rsidRPr="00E94E29" w:rsidRDefault="00664BA1">
            <w:pPr>
              <w:pStyle w:val="Tekstpodstawowy"/>
              <w:numPr>
                <w:ilvl w:val="0"/>
                <w:numId w:val="160"/>
              </w:numPr>
              <w:tabs>
                <w:tab w:val="clear" w:pos="2264"/>
                <w:tab w:val="clear" w:pos="4536"/>
                <w:tab w:val="clear" w:pos="9072"/>
                <w:tab w:val="num" w:pos="355"/>
              </w:tabs>
              <w:spacing w:before="0" w:line="240" w:lineRule="auto"/>
              <w:ind w:left="355" w:hanging="355"/>
              <w:rPr>
                <w:color w:val="auto"/>
                <w:lang w:val="pl-PL" w:eastAsia="pl-PL"/>
              </w:rPr>
            </w:pPr>
            <w:r w:rsidRPr="00E94E29">
              <w:rPr>
                <w:color w:val="auto"/>
                <w:lang w:val="pl-PL" w:eastAsia="pl-PL"/>
              </w:rPr>
              <w:t>dane adresowe podmiotu</w:t>
            </w:r>
            <w:r>
              <w:rPr>
                <w:color w:val="auto"/>
                <w:lang w:val="pl-PL" w:eastAsia="pl-PL"/>
              </w:rPr>
              <w:t>,</w:t>
            </w:r>
          </w:p>
          <w:p w14:paraId="67930276" w14:textId="77777777" w:rsidR="00664BA1" w:rsidRPr="00E94E29" w:rsidRDefault="00664BA1">
            <w:pPr>
              <w:pStyle w:val="Tekstpodstawowy"/>
              <w:numPr>
                <w:ilvl w:val="0"/>
                <w:numId w:val="160"/>
              </w:numPr>
              <w:tabs>
                <w:tab w:val="clear" w:pos="2264"/>
                <w:tab w:val="clear" w:pos="4536"/>
                <w:tab w:val="clear" w:pos="9072"/>
                <w:tab w:val="num" w:pos="355"/>
              </w:tabs>
              <w:spacing w:before="0" w:line="240" w:lineRule="auto"/>
              <w:ind w:left="355" w:hanging="355"/>
              <w:rPr>
                <w:color w:val="auto"/>
                <w:lang w:val="pl-PL" w:eastAsia="pl-PL"/>
              </w:rPr>
            </w:pPr>
            <w:r w:rsidRPr="00E94E29">
              <w:rPr>
                <w:color w:val="auto"/>
                <w:lang w:val="pl-PL" w:eastAsia="pl-PL"/>
              </w:rPr>
              <w:t>datę zaistnienia oraz opis i przyczynę okoliczności stanowiących podstawę reklamacji wraz z uzasadnieniem</w:t>
            </w:r>
            <w:r>
              <w:rPr>
                <w:color w:val="auto"/>
                <w:lang w:val="pl-PL" w:eastAsia="pl-PL"/>
              </w:rPr>
              <w:t>,</w:t>
            </w:r>
          </w:p>
          <w:p w14:paraId="0DD248A1" w14:textId="77777777" w:rsidR="00664BA1" w:rsidRPr="00E94E29" w:rsidRDefault="00664BA1">
            <w:pPr>
              <w:pStyle w:val="Tekstpodstawowy"/>
              <w:numPr>
                <w:ilvl w:val="0"/>
                <w:numId w:val="160"/>
              </w:numPr>
              <w:tabs>
                <w:tab w:val="clear" w:pos="2264"/>
                <w:tab w:val="clear" w:pos="4536"/>
                <w:tab w:val="clear" w:pos="9072"/>
                <w:tab w:val="num" w:pos="355"/>
              </w:tabs>
              <w:spacing w:before="0" w:line="240" w:lineRule="auto"/>
              <w:ind w:left="355" w:hanging="355"/>
              <w:rPr>
                <w:color w:val="auto"/>
                <w:lang w:val="pl-PL" w:eastAsia="pl-PL"/>
              </w:rPr>
            </w:pPr>
            <w:r w:rsidRPr="00E94E29">
              <w:rPr>
                <w:color w:val="auto"/>
                <w:lang w:val="pl-PL" w:eastAsia="pl-PL"/>
              </w:rPr>
              <w:t>zgłaszane żądanie</w:t>
            </w:r>
            <w:r>
              <w:rPr>
                <w:color w:val="auto"/>
                <w:lang w:val="pl-PL" w:eastAsia="pl-PL"/>
              </w:rPr>
              <w:t>,</w:t>
            </w:r>
          </w:p>
          <w:p w14:paraId="57390135" w14:textId="77777777" w:rsidR="00664BA1" w:rsidRPr="00E94E29" w:rsidRDefault="00664BA1">
            <w:pPr>
              <w:pStyle w:val="Tekstpodstawowy"/>
              <w:numPr>
                <w:ilvl w:val="0"/>
                <w:numId w:val="160"/>
              </w:numPr>
              <w:tabs>
                <w:tab w:val="clear" w:pos="2264"/>
                <w:tab w:val="clear" w:pos="4536"/>
                <w:tab w:val="clear" w:pos="9072"/>
                <w:tab w:val="num" w:pos="355"/>
              </w:tabs>
              <w:spacing w:before="0" w:line="240" w:lineRule="auto"/>
              <w:ind w:left="355" w:hanging="355"/>
              <w:rPr>
                <w:color w:val="auto"/>
                <w:lang w:val="pl-PL" w:eastAsia="pl-PL"/>
              </w:rPr>
            </w:pPr>
            <w:r w:rsidRPr="00E94E29">
              <w:rPr>
                <w:color w:val="auto"/>
                <w:lang w:val="pl-PL" w:eastAsia="pl-PL"/>
              </w:rPr>
              <w:t>dokumenty uzasadniające żądanie.</w:t>
            </w:r>
          </w:p>
          <w:p w14:paraId="40F03B5A" w14:textId="77777777" w:rsidR="00664BA1" w:rsidRPr="00E94E29" w:rsidRDefault="00664BA1" w:rsidP="00C32417">
            <w:pPr>
              <w:pStyle w:val="Tekstpodstawowy"/>
              <w:tabs>
                <w:tab w:val="clear" w:pos="4536"/>
                <w:tab w:val="clear" w:pos="9072"/>
              </w:tabs>
              <w:spacing w:before="0" w:line="240" w:lineRule="auto"/>
              <w:rPr>
                <w:color w:val="auto"/>
                <w:lang w:val="pl-PL" w:eastAsia="pl-PL"/>
              </w:rPr>
            </w:pPr>
            <w:r w:rsidRPr="001B0B2D">
              <w:rPr>
                <w:color w:val="auto"/>
                <w:lang w:val="pl-PL" w:eastAsia="pl-PL"/>
              </w:rPr>
              <w:t xml:space="preserve">Uchybienia w zgłoszeniu reklamacyjnym dot. lit. b) - d) nie mogą być przyczyną odrzucenia rozpatrzenia reklamacji przez OSDn. W przypadku, gdy zgłoszenie reklamacyjne zawiera uchybienia, OSDn niezwłocznie wzywa podmiot zgłaszający reklamację do ich uzupełnienia, a następnie rozpatruje reklamację </w:t>
            </w:r>
            <w:r w:rsidRPr="001B0B2D">
              <w:rPr>
                <w:color w:val="auto"/>
                <w:lang w:val="pl-PL" w:eastAsia="pl-PL"/>
              </w:rPr>
              <w:br/>
              <w:t>w terminach, o których mowa w pkt</w:t>
            </w:r>
            <w:r>
              <w:rPr>
                <w:color w:val="auto"/>
                <w:lang w:val="pl-PL" w:eastAsia="pl-PL"/>
              </w:rPr>
              <w:t>.</w:t>
            </w:r>
            <w:r w:rsidRPr="001B0B2D">
              <w:rPr>
                <w:color w:val="auto"/>
                <w:lang w:val="pl-PL" w:eastAsia="pl-PL"/>
              </w:rPr>
              <w:t xml:space="preserve"> </w:t>
            </w:r>
            <w:r w:rsidR="00D358B6">
              <w:rPr>
                <w:color w:val="auto"/>
                <w:lang w:val="pl-PL" w:eastAsia="pl-PL"/>
              </w:rPr>
              <w:t>G</w:t>
            </w:r>
            <w:r w:rsidRPr="001B0B2D">
              <w:rPr>
                <w:color w:val="auto"/>
                <w:lang w:val="pl-PL" w:eastAsia="pl-PL"/>
              </w:rPr>
              <w:t>.6, licząc od dnia wpływu zgłoszenia reklamacyjnego pozbawionego uchybień.</w:t>
            </w:r>
          </w:p>
        </w:tc>
      </w:tr>
      <w:tr w:rsidR="00664BA1" w:rsidRPr="00421760" w14:paraId="5DC7C95B" w14:textId="77777777" w:rsidTr="00357BB6">
        <w:tc>
          <w:tcPr>
            <w:tcW w:w="1063" w:type="dxa"/>
            <w:shd w:val="clear" w:color="auto" w:fill="auto"/>
          </w:tcPr>
          <w:p w14:paraId="36960D9E" w14:textId="77777777" w:rsidR="00664BA1" w:rsidRPr="003C1C2F" w:rsidRDefault="00CD6F47" w:rsidP="00C32417">
            <w:pPr>
              <w:widowControl w:val="0"/>
              <w:jc w:val="both"/>
              <w:rPr>
                <w:color w:val="000000" w:themeColor="text1"/>
                <w:szCs w:val="24"/>
              </w:rPr>
            </w:pPr>
            <w:r w:rsidRPr="003C1C2F">
              <w:rPr>
                <w:color w:val="000000" w:themeColor="text1"/>
                <w:szCs w:val="24"/>
              </w:rPr>
              <w:t>G</w:t>
            </w:r>
            <w:r w:rsidR="00664BA1" w:rsidRPr="003C1C2F">
              <w:rPr>
                <w:color w:val="000000" w:themeColor="text1"/>
                <w:szCs w:val="24"/>
              </w:rPr>
              <w:t>.6.</w:t>
            </w:r>
          </w:p>
        </w:tc>
        <w:tc>
          <w:tcPr>
            <w:tcW w:w="8147" w:type="dxa"/>
            <w:shd w:val="clear" w:color="auto" w:fill="auto"/>
          </w:tcPr>
          <w:p w14:paraId="3595482E" w14:textId="77777777" w:rsidR="00664BA1" w:rsidRPr="003C1C2F" w:rsidRDefault="00664BA1" w:rsidP="00C32417">
            <w:pPr>
              <w:pStyle w:val="Default"/>
              <w:jc w:val="both"/>
              <w:rPr>
                <w:color w:val="000000" w:themeColor="text1"/>
              </w:rPr>
            </w:pPr>
            <w:r w:rsidRPr="003C1C2F">
              <w:rPr>
                <w:color w:val="000000" w:themeColor="text1"/>
              </w:rPr>
              <w:t xml:space="preserve">OSDn rozstrzyga zgłoszoną reklamację w terminie nie dłuższym niż: </w:t>
            </w:r>
          </w:p>
          <w:p w14:paraId="3AFEE820" w14:textId="77777777" w:rsidR="00664BA1" w:rsidRPr="003C1C2F" w:rsidRDefault="00664BA1">
            <w:pPr>
              <w:pStyle w:val="Default"/>
              <w:numPr>
                <w:ilvl w:val="0"/>
                <w:numId w:val="171"/>
              </w:numPr>
              <w:ind w:left="355" w:hanging="355"/>
              <w:jc w:val="both"/>
              <w:rPr>
                <w:color w:val="000000" w:themeColor="text1"/>
              </w:rPr>
            </w:pPr>
            <w:r w:rsidRPr="003C1C2F">
              <w:rPr>
                <w:color w:val="000000" w:themeColor="text1"/>
              </w:rPr>
              <w:t xml:space="preserve">określonym w pkt. </w:t>
            </w:r>
            <w:r w:rsidR="00D358B6" w:rsidRPr="003C1C2F">
              <w:rPr>
                <w:color w:val="000000" w:themeColor="text1"/>
              </w:rPr>
              <w:t>G</w:t>
            </w:r>
            <w:r w:rsidRPr="003C1C2F">
              <w:rPr>
                <w:color w:val="000000" w:themeColor="text1"/>
              </w:rPr>
              <w:t>.4. – jeżeli reklamacja została złożona do sprzedawcy przez URD posiadającego zawartą ze sprzedawcą umowę kompleksową,</w:t>
            </w:r>
          </w:p>
          <w:p w14:paraId="5A0EA6AA" w14:textId="77777777" w:rsidR="00DE27E8" w:rsidRPr="003C1C2F" w:rsidRDefault="00664BA1">
            <w:pPr>
              <w:pStyle w:val="Default"/>
              <w:numPr>
                <w:ilvl w:val="0"/>
                <w:numId w:val="171"/>
              </w:numPr>
              <w:ind w:left="355" w:hanging="355"/>
              <w:jc w:val="both"/>
              <w:rPr>
                <w:color w:val="000000" w:themeColor="text1"/>
              </w:rPr>
            </w:pPr>
            <w:r w:rsidRPr="003C1C2F">
              <w:rPr>
                <w:color w:val="000000" w:themeColor="text1"/>
              </w:rPr>
              <w:t>14 dni kalendarzowych od daty otrzymania zgłoszenia reklamacji od URD – jeżeli reklamacja dotyczy rozliczeń za świadczone przez OSDn usługi dystrybucji lub jeżeli reklamacja dotyczy kwestii związanych ze wstrzymaniem dostarczania energii elektrycznej dokonanych z inicjatywy OSDn,</w:t>
            </w:r>
          </w:p>
          <w:p w14:paraId="04127720" w14:textId="55A16468" w:rsidR="00DE27E8" w:rsidRPr="003C1C2F" w:rsidRDefault="00DE27E8">
            <w:pPr>
              <w:pStyle w:val="Default"/>
              <w:numPr>
                <w:ilvl w:val="0"/>
                <w:numId w:val="171"/>
              </w:numPr>
              <w:ind w:left="355" w:hanging="355"/>
              <w:jc w:val="both"/>
              <w:rPr>
                <w:color w:val="000000" w:themeColor="text1"/>
              </w:rPr>
            </w:pPr>
            <w:r w:rsidRPr="003C1C2F">
              <w:rPr>
                <w:color w:val="000000" w:themeColor="text1"/>
              </w:rPr>
              <w:t xml:space="preserve">7 dni kalendarzowych od daty otrzymania zgłoszenia reklamacji od sprzedawcy – jeżeli reklamacja została złożona sprzedawcy przez URD posiadającego zawartą umowę sprzedaży i reklamacja dotyczy odczytu wskazań układu pomiarowo-rozliczeniowego udostępnionego przez OSDn do sprzedawcy, </w:t>
            </w:r>
          </w:p>
          <w:p w14:paraId="28275A49" w14:textId="41F6FD80" w:rsidR="00664BA1" w:rsidRPr="003C1C2F" w:rsidRDefault="00C33C60">
            <w:pPr>
              <w:pStyle w:val="Default"/>
              <w:numPr>
                <w:ilvl w:val="0"/>
                <w:numId w:val="171"/>
              </w:numPr>
              <w:ind w:left="355" w:hanging="355"/>
              <w:jc w:val="both"/>
              <w:rPr>
                <w:color w:val="000000" w:themeColor="text1"/>
              </w:rPr>
            </w:pPr>
            <w:r w:rsidRPr="003C1C2F">
              <w:rPr>
                <w:color w:val="000000" w:themeColor="text1"/>
              </w:rPr>
              <w:t>14</w:t>
            </w:r>
            <w:r w:rsidR="00664BA1" w:rsidRPr="003C1C2F">
              <w:rPr>
                <w:color w:val="000000" w:themeColor="text1"/>
              </w:rPr>
              <w:t xml:space="preserve"> dni kalendarzowych od daty otrzymania zgłoszenia reklamacji</w:t>
            </w:r>
            <w:r w:rsidRPr="003C1C2F">
              <w:rPr>
                <w:color w:val="000000" w:themeColor="text1"/>
              </w:rPr>
              <w:t>, o ile przepisy prawa nie stanowią inaczej – w pozostałych przypadkach dotyczących URD będących konsumentami</w:t>
            </w:r>
            <w:r w:rsidR="003C1C2F" w:rsidRPr="003C1C2F">
              <w:rPr>
                <w:color w:val="000000" w:themeColor="text1"/>
              </w:rPr>
              <w:t>,</w:t>
            </w:r>
          </w:p>
          <w:p w14:paraId="1AEAC794" w14:textId="4844EDA0" w:rsidR="003C1C2F" w:rsidRPr="003C1C2F" w:rsidRDefault="003C1C2F">
            <w:pPr>
              <w:pStyle w:val="Default"/>
              <w:numPr>
                <w:ilvl w:val="0"/>
                <w:numId w:val="171"/>
              </w:numPr>
              <w:ind w:left="355" w:hanging="355"/>
              <w:jc w:val="both"/>
              <w:rPr>
                <w:color w:val="000000" w:themeColor="text1"/>
              </w:rPr>
            </w:pPr>
            <w:r w:rsidRPr="003C1C2F">
              <w:rPr>
                <w:color w:val="000000" w:themeColor="text1"/>
                <w:w w:val="105"/>
              </w:rPr>
              <w:t xml:space="preserve">30 dni kalendarzowych od daty otrzymania zgłoszenia reklamacji - </w:t>
            </w:r>
            <w:r>
              <w:rPr>
                <w:color w:val="000000" w:themeColor="text1"/>
                <w:w w:val="105"/>
              </w:rPr>
              <w:br/>
            </w:r>
            <w:r w:rsidRPr="003C1C2F">
              <w:rPr>
                <w:color w:val="000000" w:themeColor="text1"/>
                <w:w w:val="105"/>
              </w:rPr>
              <w:t>w pozostałych przypadkach dotyczących URD niebędących konsumentami.</w:t>
            </w:r>
          </w:p>
          <w:p w14:paraId="08BF789E" w14:textId="77777777" w:rsidR="00664BA1" w:rsidRPr="003C1C2F" w:rsidRDefault="00664BA1" w:rsidP="00C32417">
            <w:pPr>
              <w:pStyle w:val="Default"/>
              <w:jc w:val="both"/>
              <w:rPr>
                <w:color w:val="000000" w:themeColor="text1"/>
              </w:rPr>
            </w:pPr>
            <w:r w:rsidRPr="003C1C2F">
              <w:rPr>
                <w:color w:val="000000" w:themeColor="text1"/>
              </w:rPr>
              <w:t xml:space="preserve">Rozstrzygnięcie reklamacji wraz z uzasadnieniem jest przesyłane: </w:t>
            </w:r>
          </w:p>
          <w:p w14:paraId="3482ED90" w14:textId="77777777" w:rsidR="00664BA1" w:rsidRPr="003C1C2F" w:rsidRDefault="00664BA1">
            <w:pPr>
              <w:pStyle w:val="Default"/>
              <w:numPr>
                <w:ilvl w:val="0"/>
                <w:numId w:val="196"/>
              </w:numPr>
              <w:ind w:left="350" w:hanging="350"/>
              <w:jc w:val="both"/>
              <w:rPr>
                <w:color w:val="000000" w:themeColor="text1"/>
              </w:rPr>
            </w:pPr>
            <w:r w:rsidRPr="003C1C2F">
              <w:rPr>
                <w:color w:val="000000" w:themeColor="text1"/>
              </w:rPr>
              <w:t>w przypadkach</w:t>
            </w:r>
            <w:r w:rsidR="00A97CAF" w:rsidRPr="003C1C2F">
              <w:rPr>
                <w:color w:val="000000" w:themeColor="text1"/>
              </w:rPr>
              <w:t>,</w:t>
            </w:r>
            <w:r w:rsidRPr="003C1C2F">
              <w:rPr>
                <w:color w:val="000000" w:themeColor="text1"/>
              </w:rPr>
              <w:t xml:space="preserve"> o których mowa w ppkt. a) – w sposób określony w GUD-K, </w:t>
            </w:r>
          </w:p>
          <w:p w14:paraId="1DE06E94" w14:textId="470BEDBC" w:rsidR="00664BA1" w:rsidRPr="003C1C2F" w:rsidRDefault="00664BA1">
            <w:pPr>
              <w:pStyle w:val="Default"/>
              <w:numPr>
                <w:ilvl w:val="0"/>
                <w:numId w:val="196"/>
              </w:numPr>
              <w:ind w:left="350" w:hanging="350"/>
              <w:jc w:val="both"/>
              <w:rPr>
                <w:color w:val="000000" w:themeColor="text1"/>
              </w:rPr>
            </w:pPr>
            <w:r w:rsidRPr="003C1C2F">
              <w:rPr>
                <w:color w:val="000000" w:themeColor="text1"/>
              </w:rPr>
              <w:t>w przypadkach</w:t>
            </w:r>
            <w:r w:rsidR="00A97CAF" w:rsidRPr="003C1C2F">
              <w:rPr>
                <w:color w:val="000000" w:themeColor="text1"/>
              </w:rPr>
              <w:t>,</w:t>
            </w:r>
            <w:r w:rsidRPr="003C1C2F">
              <w:rPr>
                <w:color w:val="000000" w:themeColor="text1"/>
              </w:rPr>
              <w:t xml:space="preserve"> o których mowa w ppkt. b) i </w:t>
            </w:r>
            <w:r w:rsidR="00F24679">
              <w:rPr>
                <w:color w:val="000000" w:themeColor="text1"/>
              </w:rPr>
              <w:t>e</w:t>
            </w:r>
            <w:r w:rsidRPr="003C1C2F">
              <w:rPr>
                <w:color w:val="000000" w:themeColor="text1"/>
              </w:rPr>
              <w:t xml:space="preserve">) - w sposób określony </w:t>
            </w:r>
            <w:r w:rsidRPr="003C1C2F">
              <w:rPr>
                <w:color w:val="000000" w:themeColor="text1"/>
              </w:rPr>
              <w:br/>
              <w:t xml:space="preserve">w pkt. </w:t>
            </w:r>
            <w:r w:rsidR="00D358B6" w:rsidRPr="003C1C2F">
              <w:rPr>
                <w:color w:val="000000" w:themeColor="text1"/>
              </w:rPr>
              <w:t>G</w:t>
            </w:r>
            <w:r w:rsidRPr="003C1C2F">
              <w:rPr>
                <w:color w:val="000000" w:themeColor="text1"/>
              </w:rPr>
              <w:t xml:space="preserve">.1. </w:t>
            </w:r>
          </w:p>
          <w:p w14:paraId="106664D2" w14:textId="77777777" w:rsidR="00664BA1" w:rsidRPr="003C1C2F" w:rsidRDefault="00664BA1" w:rsidP="00C32417">
            <w:pPr>
              <w:pStyle w:val="Default"/>
              <w:jc w:val="both"/>
              <w:rPr>
                <w:color w:val="000000" w:themeColor="text1"/>
              </w:rPr>
            </w:pPr>
            <w:r w:rsidRPr="003C1C2F">
              <w:rPr>
                <w:color w:val="000000" w:themeColor="text1"/>
              </w:rPr>
              <w:t xml:space="preserve">W przypadku konieczności wykonania dodatkowych analiz i pomiarów, OSDn we wskazanych powyżej terminach, informuje o planowanym terminie rozpatrzenia reklamacji. </w:t>
            </w:r>
          </w:p>
          <w:p w14:paraId="4B0A39A6" w14:textId="74F143E4" w:rsidR="000773B3" w:rsidRPr="003C1C2F" w:rsidRDefault="000773B3" w:rsidP="000773B3">
            <w:pPr>
              <w:pStyle w:val="Default"/>
              <w:jc w:val="both"/>
              <w:rPr>
                <w:color w:val="000000" w:themeColor="text1"/>
              </w:rPr>
            </w:pPr>
            <w:r w:rsidRPr="003C1C2F">
              <w:rPr>
                <w:color w:val="000000" w:themeColor="text1"/>
              </w:rPr>
              <w:t xml:space="preserve">W przypadku, gdy reklamacja została złożona przez odbiorcę energii elektrycznej w gospodarstwie domowym i dotyczy kwestii związanych ze wstrzymaniem dostarczania energii elektrycznej, dokonanych z inicjatywy OSDn, to jeżeli reklamacja nie została rozpatrzona w terminie 14 dni od dnia jej złożenia, uważa się, że została uwzględniona. </w:t>
            </w:r>
          </w:p>
          <w:p w14:paraId="45FEDF42" w14:textId="77777777" w:rsidR="000773B3" w:rsidRPr="003C1C2F" w:rsidRDefault="000773B3" w:rsidP="00C32417">
            <w:pPr>
              <w:pStyle w:val="Default"/>
              <w:jc w:val="both"/>
              <w:rPr>
                <w:color w:val="000000" w:themeColor="text1"/>
              </w:rPr>
            </w:pPr>
          </w:p>
        </w:tc>
      </w:tr>
      <w:tr w:rsidR="00664BA1" w:rsidRPr="00D91C14" w14:paraId="31A4638F" w14:textId="77777777" w:rsidTr="00357BB6">
        <w:tc>
          <w:tcPr>
            <w:tcW w:w="1063" w:type="dxa"/>
            <w:shd w:val="clear" w:color="auto" w:fill="auto"/>
          </w:tcPr>
          <w:p w14:paraId="548494DB" w14:textId="77777777" w:rsidR="00664BA1" w:rsidRPr="00E94E29" w:rsidRDefault="00CD6F47" w:rsidP="00C32417">
            <w:pPr>
              <w:widowControl w:val="0"/>
              <w:jc w:val="both"/>
            </w:pPr>
            <w:r>
              <w:lastRenderedPageBreak/>
              <w:t>G</w:t>
            </w:r>
            <w:r w:rsidR="00664BA1" w:rsidRPr="00E94E29">
              <w:t>.7.</w:t>
            </w:r>
          </w:p>
        </w:tc>
        <w:tc>
          <w:tcPr>
            <w:tcW w:w="8147" w:type="dxa"/>
            <w:shd w:val="clear" w:color="auto" w:fill="auto"/>
          </w:tcPr>
          <w:p w14:paraId="7D4F6581" w14:textId="77777777" w:rsidR="00664BA1" w:rsidRPr="00E94E29" w:rsidRDefault="00664BA1" w:rsidP="00C32417">
            <w:pPr>
              <w:pStyle w:val="Tekstpodstawowy"/>
              <w:tabs>
                <w:tab w:val="clear" w:pos="4536"/>
                <w:tab w:val="clear" w:pos="9072"/>
              </w:tabs>
              <w:spacing w:before="0" w:line="240" w:lineRule="auto"/>
              <w:rPr>
                <w:color w:val="auto"/>
                <w:lang w:val="pl-PL" w:eastAsia="pl-PL"/>
              </w:rPr>
            </w:pPr>
            <w:r w:rsidRPr="00E94E29">
              <w:rPr>
                <w:color w:val="auto"/>
                <w:lang w:val="pl-PL" w:eastAsia="pl-PL"/>
              </w:rPr>
              <w:t>Jeżeli rozstrzygnięcie reklamacji przez OSDn zgodnie z pkt</w:t>
            </w:r>
            <w:r>
              <w:rPr>
                <w:color w:val="auto"/>
                <w:lang w:val="pl-PL" w:eastAsia="pl-PL"/>
              </w:rPr>
              <w:t>.</w:t>
            </w:r>
            <w:r w:rsidRPr="00E94E29">
              <w:rPr>
                <w:color w:val="auto"/>
                <w:lang w:val="pl-PL" w:eastAsia="pl-PL"/>
              </w:rPr>
              <w:t> </w:t>
            </w:r>
            <w:r w:rsidR="00D358B6">
              <w:rPr>
                <w:color w:val="auto"/>
                <w:lang w:val="pl-PL" w:eastAsia="pl-PL"/>
              </w:rPr>
              <w:t>G</w:t>
            </w:r>
            <w:r w:rsidRPr="00E94E29">
              <w:rPr>
                <w:color w:val="auto"/>
                <w:lang w:val="pl-PL" w:eastAsia="pl-PL"/>
              </w:rPr>
              <w:t xml:space="preserve">.6. w całości lub </w:t>
            </w:r>
            <w:r w:rsidRPr="00E94E29">
              <w:rPr>
                <w:color w:val="auto"/>
                <w:lang w:val="pl-PL" w:eastAsia="pl-PL"/>
              </w:rPr>
              <w:br/>
              <w:t>w części nie jest satysfakcjonujące dla podmiotu zgłaszającego, to podmiot ten ma prawo w terminie 14 dni od dnia otrzymania rozstrzygnięcia, wystąpić pisemnie do OSDn z wnioskiem o ponowne rozpatrzenie reklamacji.</w:t>
            </w:r>
          </w:p>
          <w:p w14:paraId="69F5FECC" w14:textId="77777777" w:rsidR="00664BA1" w:rsidRPr="00E94E29" w:rsidRDefault="00664BA1" w:rsidP="00C32417">
            <w:pPr>
              <w:pStyle w:val="Tekstpodstawowy"/>
              <w:tabs>
                <w:tab w:val="clear" w:pos="4536"/>
                <w:tab w:val="clear" w:pos="9072"/>
              </w:tabs>
              <w:spacing w:before="0" w:line="240" w:lineRule="auto"/>
              <w:rPr>
                <w:color w:val="auto"/>
                <w:lang w:val="pl-PL" w:eastAsia="pl-PL"/>
              </w:rPr>
            </w:pPr>
            <w:r w:rsidRPr="00E94E29">
              <w:rPr>
                <w:color w:val="auto"/>
                <w:lang w:val="pl-PL" w:eastAsia="pl-PL"/>
              </w:rPr>
              <w:t>Wniosek powinien zawierać:</w:t>
            </w:r>
          </w:p>
          <w:p w14:paraId="1D3CB88B" w14:textId="77777777" w:rsidR="00664BA1" w:rsidRPr="00E94E29" w:rsidRDefault="00664BA1">
            <w:pPr>
              <w:pStyle w:val="Tekstpodstawowy"/>
              <w:numPr>
                <w:ilvl w:val="0"/>
                <w:numId w:val="161"/>
              </w:numPr>
              <w:tabs>
                <w:tab w:val="clear" w:pos="2264"/>
                <w:tab w:val="clear" w:pos="4536"/>
                <w:tab w:val="clear" w:pos="9072"/>
                <w:tab w:val="num" w:pos="355"/>
              </w:tabs>
              <w:spacing w:before="0" w:line="276" w:lineRule="auto"/>
              <w:ind w:left="357" w:hanging="357"/>
              <w:rPr>
                <w:color w:val="auto"/>
                <w:lang w:val="pl-PL" w:eastAsia="pl-PL"/>
              </w:rPr>
            </w:pPr>
            <w:r w:rsidRPr="00E94E29">
              <w:rPr>
                <w:color w:val="auto"/>
                <w:lang w:val="pl-PL" w:eastAsia="pl-PL"/>
              </w:rPr>
              <w:t>zakres nieuwzględnionego przez OSDn żądania</w:t>
            </w:r>
            <w:r>
              <w:rPr>
                <w:color w:val="auto"/>
                <w:lang w:val="pl-PL" w:eastAsia="pl-PL"/>
              </w:rPr>
              <w:t>,</w:t>
            </w:r>
          </w:p>
          <w:p w14:paraId="3D807D92" w14:textId="77777777" w:rsidR="00664BA1" w:rsidRPr="00E94E29" w:rsidRDefault="00664BA1">
            <w:pPr>
              <w:pStyle w:val="Tekstpodstawowy"/>
              <w:numPr>
                <w:ilvl w:val="0"/>
                <w:numId w:val="161"/>
              </w:numPr>
              <w:tabs>
                <w:tab w:val="clear" w:pos="2264"/>
                <w:tab w:val="clear" w:pos="4536"/>
                <w:tab w:val="clear" w:pos="9072"/>
                <w:tab w:val="num" w:pos="355"/>
              </w:tabs>
              <w:spacing w:before="0" w:line="276" w:lineRule="auto"/>
              <w:ind w:left="357" w:hanging="357"/>
              <w:rPr>
                <w:color w:val="auto"/>
                <w:lang w:val="pl-PL" w:eastAsia="pl-PL"/>
              </w:rPr>
            </w:pPr>
            <w:r w:rsidRPr="00E94E29">
              <w:rPr>
                <w:color w:val="auto"/>
                <w:lang w:val="pl-PL" w:eastAsia="pl-PL"/>
              </w:rPr>
              <w:t>uzasadnienie faktyczne zgłoszonego żądania</w:t>
            </w:r>
            <w:r>
              <w:rPr>
                <w:color w:val="auto"/>
                <w:lang w:val="pl-PL" w:eastAsia="pl-PL"/>
              </w:rPr>
              <w:t>,</w:t>
            </w:r>
          </w:p>
          <w:p w14:paraId="055E120D" w14:textId="77777777" w:rsidR="00664BA1" w:rsidRPr="00E94E29" w:rsidRDefault="00664BA1">
            <w:pPr>
              <w:pStyle w:val="Tekstpodstawowy"/>
              <w:numPr>
                <w:ilvl w:val="0"/>
                <w:numId w:val="161"/>
              </w:numPr>
              <w:tabs>
                <w:tab w:val="clear" w:pos="2264"/>
                <w:tab w:val="clear" w:pos="4536"/>
                <w:tab w:val="clear" w:pos="9072"/>
                <w:tab w:val="num" w:pos="355"/>
              </w:tabs>
              <w:spacing w:before="0" w:line="276" w:lineRule="auto"/>
              <w:ind w:left="357" w:hanging="357"/>
              <w:rPr>
                <w:color w:val="auto"/>
                <w:lang w:val="pl-PL" w:eastAsia="pl-PL"/>
              </w:rPr>
            </w:pPr>
            <w:r w:rsidRPr="00E94E29">
              <w:rPr>
                <w:color w:val="auto"/>
                <w:lang w:val="pl-PL" w:eastAsia="pl-PL"/>
              </w:rPr>
              <w:t>dane przedstawicieli podmiotu upoważnionych do prowadzenia negocjacji.</w:t>
            </w:r>
          </w:p>
          <w:p w14:paraId="04E71F32" w14:textId="77777777" w:rsidR="00664BA1" w:rsidRPr="00E94E29" w:rsidRDefault="00664BA1" w:rsidP="00C32417">
            <w:pPr>
              <w:pStyle w:val="Tekstpodstawowy"/>
              <w:tabs>
                <w:tab w:val="clear" w:pos="4536"/>
                <w:tab w:val="clear" w:pos="9072"/>
              </w:tabs>
              <w:spacing w:before="0" w:line="240" w:lineRule="auto"/>
              <w:rPr>
                <w:color w:val="auto"/>
                <w:lang w:val="pl-PL" w:eastAsia="pl-PL"/>
              </w:rPr>
            </w:pPr>
            <w:r w:rsidRPr="00E94E29">
              <w:rPr>
                <w:color w:val="auto"/>
                <w:lang w:val="pl-PL" w:eastAsia="pl-PL"/>
              </w:rPr>
              <w:t xml:space="preserve">Wniosek o ponowne rozstrzygnięcie reklamacji powinien być przekazany </w:t>
            </w:r>
            <w:r w:rsidRPr="00E94E29">
              <w:rPr>
                <w:color w:val="auto"/>
                <w:lang w:val="pl-PL" w:eastAsia="pl-PL"/>
              </w:rPr>
              <w:br/>
              <w:t>na adres wymieniony w pkt</w:t>
            </w:r>
            <w:r>
              <w:rPr>
                <w:color w:val="auto"/>
                <w:lang w:val="pl-PL" w:eastAsia="pl-PL"/>
              </w:rPr>
              <w:t>.</w:t>
            </w:r>
            <w:r w:rsidRPr="00E94E29">
              <w:rPr>
                <w:color w:val="auto"/>
                <w:lang w:val="pl-PL" w:eastAsia="pl-PL"/>
              </w:rPr>
              <w:t xml:space="preserve"> </w:t>
            </w:r>
            <w:r w:rsidR="00D358B6">
              <w:rPr>
                <w:color w:val="auto"/>
                <w:lang w:val="pl-PL" w:eastAsia="pl-PL"/>
              </w:rPr>
              <w:t>G</w:t>
            </w:r>
            <w:r w:rsidRPr="00E94E29">
              <w:rPr>
                <w:color w:val="auto"/>
                <w:lang w:val="pl-PL" w:eastAsia="pl-PL"/>
              </w:rPr>
              <w:t>.2. odpowiednio listem lub w formie elektronicznej w postaci skanu dokumentu.</w:t>
            </w:r>
          </w:p>
        </w:tc>
      </w:tr>
      <w:tr w:rsidR="00664BA1" w:rsidRPr="00D91C14" w14:paraId="2CB83493" w14:textId="77777777" w:rsidTr="00E53559">
        <w:tc>
          <w:tcPr>
            <w:tcW w:w="1063" w:type="dxa"/>
            <w:shd w:val="clear" w:color="auto" w:fill="auto"/>
          </w:tcPr>
          <w:p w14:paraId="0A8C26BD" w14:textId="77777777" w:rsidR="00664BA1" w:rsidRPr="002E1012" w:rsidRDefault="00CD6F47" w:rsidP="00C32417">
            <w:pPr>
              <w:widowControl w:val="0"/>
              <w:jc w:val="both"/>
            </w:pPr>
            <w:r>
              <w:t>G</w:t>
            </w:r>
            <w:r w:rsidR="00664BA1">
              <w:t>.8.</w:t>
            </w:r>
          </w:p>
        </w:tc>
        <w:tc>
          <w:tcPr>
            <w:tcW w:w="8147" w:type="dxa"/>
            <w:shd w:val="clear" w:color="auto" w:fill="auto"/>
          </w:tcPr>
          <w:p w14:paraId="2F3B245E" w14:textId="2C988507" w:rsidR="008B174E" w:rsidRPr="008B174E" w:rsidRDefault="008B174E" w:rsidP="008B174E">
            <w:pPr>
              <w:pStyle w:val="Tekstpodstawowy"/>
              <w:spacing w:before="0" w:line="249" w:lineRule="auto"/>
              <w:ind w:left="6" w:right="72" w:hanging="2"/>
              <w:rPr>
                <w:color w:val="000000" w:themeColor="text1"/>
                <w:szCs w:val="24"/>
              </w:rPr>
            </w:pPr>
            <w:r>
              <w:rPr>
                <w:color w:val="000000" w:themeColor="text1"/>
                <w:w w:val="105"/>
                <w:szCs w:val="24"/>
                <w:lang w:val="pl-PL"/>
              </w:rPr>
              <w:t xml:space="preserve">OSDn </w:t>
            </w:r>
            <w:r w:rsidRPr="008B174E">
              <w:rPr>
                <w:color w:val="000000" w:themeColor="text1"/>
                <w:w w:val="105"/>
                <w:szCs w:val="24"/>
              </w:rPr>
              <w:t>rozstrzyga wniosek o ponowne rozpatrzenie reklamacji w</w:t>
            </w:r>
            <w:r w:rsidRPr="008B174E">
              <w:rPr>
                <w:color w:val="000000" w:themeColor="text1"/>
                <w:spacing w:val="1"/>
                <w:w w:val="105"/>
                <w:szCs w:val="24"/>
              </w:rPr>
              <w:t xml:space="preserve"> </w:t>
            </w:r>
            <w:r w:rsidRPr="008B174E">
              <w:rPr>
                <w:color w:val="000000" w:themeColor="text1"/>
                <w:w w:val="105"/>
                <w:szCs w:val="24"/>
              </w:rPr>
              <w:t>terminie:</w:t>
            </w:r>
          </w:p>
          <w:p w14:paraId="0AEEF3A8" w14:textId="7234204D" w:rsidR="008B174E" w:rsidRPr="008B174E" w:rsidRDefault="008B174E">
            <w:pPr>
              <w:pStyle w:val="Akapitzlist"/>
              <w:widowControl w:val="0"/>
              <w:numPr>
                <w:ilvl w:val="0"/>
                <w:numId w:val="354"/>
              </w:numPr>
              <w:tabs>
                <w:tab w:val="left" w:pos="1256"/>
              </w:tabs>
              <w:autoSpaceDE w:val="0"/>
              <w:autoSpaceDN w:val="0"/>
              <w:spacing w:before="8" w:line="249" w:lineRule="auto"/>
              <w:ind w:right="72"/>
              <w:jc w:val="both"/>
              <w:rPr>
                <w:color w:val="000000" w:themeColor="text1"/>
                <w:szCs w:val="24"/>
              </w:rPr>
            </w:pPr>
            <w:r w:rsidRPr="008B174E">
              <w:rPr>
                <w:color w:val="000000" w:themeColor="text1"/>
                <w:w w:val="105"/>
                <w:szCs w:val="24"/>
              </w:rPr>
              <w:t>nieprzekraczającym 14 dni kalendarzowych od daty jego otrzymania od URD będących konsumentami, o ile przepisy prawa nie stanowią inaczej</w:t>
            </w:r>
            <w:r w:rsidRPr="008B174E">
              <w:rPr>
                <w:color w:val="000000" w:themeColor="text1"/>
                <w:spacing w:val="39"/>
                <w:w w:val="105"/>
                <w:szCs w:val="24"/>
              </w:rPr>
              <w:t xml:space="preserve"> </w:t>
            </w:r>
            <w:r w:rsidRPr="008B174E">
              <w:rPr>
                <w:color w:val="000000" w:themeColor="text1"/>
                <w:w w:val="105"/>
                <w:szCs w:val="24"/>
              </w:rPr>
              <w:t>albo</w:t>
            </w:r>
          </w:p>
          <w:p w14:paraId="0C062EC7" w14:textId="77777777" w:rsidR="008B174E" w:rsidRPr="008B174E" w:rsidRDefault="008B174E">
            <w:pPr>
              <w:pStyle w:val="Akapitzlist"/>
              <w:widowControl w:val="0"/>
              <w:numPr>
                <w:ilvl w:val="0"/>
                <w:numId w:val="354"/>
              </w:numPr>
              <w:tabs>
                <w:tab w:val="left" w:pos="1256"/>
              </w:tabs>
              <w:autoSpaceDE w:val="0"/>
              <w:autoSpaceDN w:val="0"/>
              <w:spacing w:before="2" w:line="249" w:lineRule="auto"/>
              <w:ind w:right="72"/>
              <w:jc w:val="both"/>
              <w:rPr>
                <w:color w:val="000000" w:themeColor="text1"/>
                <w:szCs w:val="24"/>
              </w:rPr>
            </w:pPr>
            <w:r w:rsidRPr="008B174E">
              <w:rPr>
                <w:color w:val="000000" w:themeColor="text1"/>
                <w:w w:val="105"/>
                <w:szCs w:val="24"/>
              </w:rPr>
              <w:t>nieprzekraczającym 30 dni kalendarzowych od daty jego otrzymania od URD niebędących</w:t>
            </w:r>
            <w:r w:rsidRPr="008B174E">
              <w:rPr>
                <w:color w:val="000000" w:themeColor="text1"/>
                <w:spacing w:val="23"/>
                <w:w w:val="105"/>
                <w:szCs w:val="24"/>
              </w:rPr>
              <w:t xml:space="preserve"> </w:t>
            </w:r>
            <w:r w:rsidRPr="008B174E">
              <w:rPr>
                <w:color w:val="000000" w:themeColor="text1"/>
                <w:w w:val="105"/>
                <w:szCs w:val="24"/>
              </w:rPr>
              <w:t>konsumentami.</w:t>
            </w:r>
          </w:p>
          <w:p w14:paraId="3DB6E692" w14:textId="24627649" w:rsidR="00664BA1" w:rsidRPr="00F72185" w:rsidRDefault="008B174E" w:rsidP="008B174E">
            <w:pPr>
              <w:pStyle w:val="Tekstpodstawowy"/>
              <w:tabs>
                <w:tab w:val="clear" w:pos="4536"/>
                <w:tab w:val="clear" w:pos="9072"/>
              </w:tabs>
              <w:spacing w:before="0" w:line="240" w:lineRule="auto"/>
              <w:ind w:left="6" w:right="72"/>
              <w:rPr>
                <w:color w:val="auto"/>
                <w:lang w:val="pl-PL" w:eastAsia="pl-PL"/>
              </w:rPr>
            </w:pPr>
            <w:r>
              <w:rPr>
                <w:color w:val="000000" w:themeColor="text1"/>
                <w:w w:val="105"/>
                <w:szCs w:val="24"/>
                <w:lang w:val="pl-PL"/>
              </w:rPr>
              <w:t xml:space="preserve">OSDn </w:t>
            </w:r>
            <w:r w:rsidRPr="008B174E">
              <w:rPr>
                <w:color w:val="000000" w:themeColor="text1"/>
                <w:w w:val="105"/>
                <w:szCs w:val="24"/>
              </w:rPr>
              <w:t>rozpatruje przedmiotowy wniosek po przeprowadzeniu</w:t>
            </w:r>
            <w:r w:rsidRPr="008B174E">
              <w:rPr>
                <w:color w:val="000000" w:themeColor="text1"/>
                <w:spacing w:val="-33"/>
                <w:w w:val="105"/>
                <w:szCs w:val="24"/>
              </w:rPr>
              <w:t xml:space="preserve"> </w:t>
            </w:r>
            <w:r w:rsidRPr="008B174E">
              <w:rPr>
                <w:color w:val="000000" w:themeColor="text1"/>
                <w:w w:val="105"/>
                <w:szCs w:val="24"/>
              </w:rPr>
              <w:t xml:space="preserve">negocjacji </w:t>
            </w:r>
            <w:r>
              <w:rPr>
                <w:color w:val="000000" w:themeColor="text1"/>
                <w:w w:val="105"/>
                <w:szCs w:val="24"/>
              </w:rPr>
              <w:br/>
            </w:r>
            <w:r w:rsidRPr="008B174E">
              <w:rPr>
                <w:color w:val="000000" w:themeColor="text1"/>
                <w:w w:val="105"/>
                <w:szCs w:val="24"/>
              </w:rPr>
              <w:t xml:space="preserve">z upoważnionymi przedstawicielami podmiotu zgłaszającego reklamację </w:t>
            </w:r>
            <w:r>
              <w:rPr>
                <w:color w:val="000000" w:themeColor="text1"/>
                <w:w w:val="105"/>
                <w:szCs w:val="24"/>
              </w:rPr>
              <w:br/>
            </w:r>
            <w:r w:rsidRPr="008B174E">
              <w:rPr>
                <w:color w:val="000000" w:themeColor="text1"/>
                <w:w w:val="105"/>
                <w:szCs w:val="24"/>
              </w:rPr>
              <w:t xml:space="preserve">i może ją uwzględnić w całości lub w części lub podtrzymać swoje wcześniejsze stanowisko. </w:t>
            </w:r>
            <w:r>
              <w:rPr>
                <w:color w:val="000000" w:themeColor="text1"/>
                <w:w w:val="105"/>
                <w:szCs w:val="24"/>
                <w:lang w:val="pl-PL"/>
              </w:rPr>
              <w:t xml:space="preserve">OSDn </w:t>
            </w:r>
            <w:r w:rsidRPr="008B174E">
              <w:rPr>
                <w:color w:val="000000" w:themeColor="text1"/>
                <w:w w:val="105"/>
                <w:szCs w:val="24"/>
              </w:rPr>
              <w:t>przesyła rozstrzygnięcie wniosku w formie</w:t>
            </w:r>
            <w:r w:rsidRPr="008B174E">
              <w:rPr>
                <w:color w:val="000000" w:themeColor="text1"/>
                <w:spacing w:val="-14"/>
                <w:w w:val="105"/>
                <w:szCs w:val="24"/>
              </w:rPr>
              <w:t xml:space="preserve"> </w:t>
            </w:r>
            <w:r w:rsidRPr="008B174E">
              <w:rPr>
                <w:color w:val="000000" w:themeColor="text1"/>
                <w:w w:val="105"/>
                <w:szCs w:val="24"/>
              </w:rPr>
              <w:t>pisemnej</w:t>
            </w:r>
            <w:r w:rsidR="00F72185">
              <w:rPr>
                <w:color w:val="000000" w:themeColor="text1"/>
                <w:w w:val="105"/>
                <w:szCs w:val="24"/>
                <w:lang w:val="pl-PL"/>
              </w:rPr>
              <w:t>.</w:t>
            </w:r>
          </w:p>
        </w:tc>
      </w:tr>
      <w:tr w:rsidR="00664BA1" w:rsidRPr="00D91C14" w14:paraId="4E60890B" w14:textId="77777777" w:rsidTr="00E53559">
        <w:tc>
          <w:tcPr>
            <w:tcW w:w="1063" w:type="dxa"/>
            <w:shd w:val="clear" w:color="auto" w:fill="auto"/>
          </w:tcPr>
          <w:p w14:paraId="31C5B475" w14:textId="77777777" w:rsidR="00664BA1" w:rsidRPr="002E1012" w:rsidRDefault="00CD6F47" w:rsidP="00C32417">
            <w:pPr>
              <w:widowControl w:val="0"/>
              <w:jc w:val="both"/>
            </w:pPr>
            <w:r>
              <w:t>G</w:t>
            </w:r>
            <w:r w:rsidR="00664BA1">
              <w:t>.9.</w:t>
            </w:r>
          </w:p>
        </w:tc>
        <w:tc>
          <w:tcPr>
            <w:tcW w:w="8147" w:type="dxa"/>
            <w:shd w:val="clear" w:color="auto" w:fill="auto"/>
          </w:tcPr>
          <w:p w14:paraId="08A8CA2B" w14:textId="77777777" w:rsidR="00664BA1" w:rsidRPr="00A9485E" w:rsidRDefault="00664BA1" w:rsidP="00C32417">
            <w:pPr>
              <w:pStyle w:val="Tekstpodstawowy"/>
              <w:tabs>
                <w:tab w:val="clear" w:pos="4536"/>
                <w:tab w:val="clear" w:pos="9072"/>
              </w:tabs>
              <w:spacing w:before="0" w:line="240" w:lineRule="auto"/>
              <w:rPr>
                <w:color w:val="auto"/>
                <w:lang w:val="pl-PL" w:eastAsia="pl-PL"/>
              </w:rPr>
            </w:pPr>
            <w:r w:rsidRPr="00A9485E">
              <w:rPr>
                <w:color w:val="auto"/>
                <w:lang w:val="pl-PL" w:eastAsia="pl-PL"/>
              </w:rPr>
              <w:t xml:space="preserve">Jeżeli reklamacje prowadzące do sporu pomiędzy OSDn, a podmiotem zgłaszającym żądanie nie zostaną uwzględnione w trakcie opisanego powyżej postępowania reklamacyjnego, Strony sporu mogą zgłosić spór do rozstrzygnięcia przez sąd, zgodnie z zapisami zawartymi w stosownej umowie wiążącej OSDn </w:t>
            </w:r>
            <w:r w:rsidRPr="00A9485E">
              <w:rPr>
                <w:color w:val="auto"/>
                <w:lang w:val="pl-PL" w:eastAsia="pl-PL"/>
              </w:rPr>
              <w:br/>
              <w:t>i podmiot składający reklamację.</w:t>
            </w:r>
          </w:p>
        </w:tc>
      </w:tr>
      <w:tr w:rsidR="00664BA1" w:rsidRPr="00D91C14" w14:paraId="22F68C5D" w14:textId="77777777" w:rsidTr="00E53559">
        <w:tc>
          <w:tcPr>
            <w:tcW w:w="1063" w:type="dxa"/>
            <w:shd w:val="clear" w:color="auto" w:fill="auto"/>
          </w:tcPr>
          <w:p w14:paraId="68765864" w14:textId="77777777" w:rsidR="00664BA1" w:rsidRPr="002E1012" w:rsidRDefault="00CD6F47" w:rsidP="00C32417">
            <w:pPr>
              <w:widowControl w:val="0"/>
              <w:jc w:val="both"/>
            </w:pPr>
            <w:r>
              <w:t>G</w:t>
            </w:r>
            <w:r w:rsidR="00664BA1">
              <w:t>.10.</w:t>
            </w:r>
          </w:p>
        </w:tc>
        <w:tc>
          <w:tcPr>
            <w:tcW w:w="8147" w:type="dxa"/>
            <w:shd w:val="clear" w:color="auto" w:fill="auto"/>
          </w:tcPr>
          <w:p w14:paraId="1F29D5AA" w14:textId="77777777" w:rsidR="00664BA1" w:rsidRPr="00093EC2" w:rsidRDefault="00664BA1" w:rsidP="00C32417">
            <w:pPr>
              <w:pStyle w:val="StyleT"/>
              <w:tabs>
                <w:tab w:val="clear" w:pos="4536"/>
              </w:tabs>
              <w:spacing w:before="0"/>
              <w:jc w:val="both"/>
            </w:pPr>
            <w:r w:rsidRPr="00093EC2">
              <w:t>Skierowanie sprawy do rozstrzygnięcia przez sąd musi być poprzedzone procedurą reklamacyjną zgodnie z powyższymi postanowieniami.</w:t>
            </w:r>
          </w:p>
        </w:tc>
      </w:tr>
    </w:tbl>
    <w:p w14:paraId="677388B3" w14:textId="47036339" w:rsidR="00572BA3" w:rsidRDefault="00572BA3">
      <w:pPr>
        <w:spacing w:line="200" w:lineRule="exact"/>
        <w:rPr>
          <w:rFonts w:eastAsia="Times New Roman"/>
        </w:rPr>
      </w:pPr>
    </w:p>
    <w:p w14:paraId="68026908" w14:textId="77777777" w:rsidR="000D1F05" w:rsidRDefault="000D1F05">
      <w:pPr>
        <w:spacing w:line="200" w:lineRule="exact"/>
        <w:rPr>
          <w:rFonts w:eastAsia="Times New Roman"/>
        </w:rPr>
      </w:pPr>
    </w:p>
    <w:p w14:paraId="56502EB7" w14:textId="77777777" w:rsidR="00572BA3" w:rsidRDefault="000E4129" w:rsidP="00FB7992">
      <w:pPr>
        <w:pStyle w:val="Nagwek1"/>
        <w:jc w:val="both"/>
      </w:pPr>
      <w:bookmarkStart w:id="129" w:name="page168"/>
      <w:bookmarkStart w:id="130" w:name="page180"/>
      <w:bookmarkStart w:id="131" w:name="page181"/>
      <w:bookmarkStart w:id="132" w:name="_Toc141963928"/>
      <w:bookmarkEnd w:id="129"/>
      <w:bookmarkEnd w:id="130"/>
      <w:bookmarkEnd w:id="131"/>
      <w:r>
        <w:t xml:space="preserve">H. </w:t>
      </w:r>
      <w:r w:rsidR="00572BA3">
        <w:t>ZARZĄDZANIE OGRANICZENIAMI SYSTEMOWYMI</w:t>
      </w:r>
      <w:bookmarkEnd w:id="132"/>
    </w:p>
    <w:p w14:paraId="5D1D0DB4" w14:textId="77777777" w:rsidR="00572BA3" w:rsidRDefault="00572BA3">
      <w:pPr>
        <w:spacing w:line="200" w:lineRule="exact"/>
        <w:rPr>
          <w:rFonts w:eastAsia="Times New Roman"/>
        </w:rPr>
      </w:pPr>
    </w:p>
    <w:p w14:paraId="3EA38975" w14:textId="77777777" w:rsidR="00572BA3" w:rsidRDefault="00572BA3">
      <w:pPr>
        <w:spacing w:line="202" w:lineRule="exact"/>
        <w:rPr>
          <w:rFonts w:eastAsia="Times New Roman"/>
        </w:rPr>
      </w:pPr>
    </w:p>
    <w:p w14:paraId="22DD29E5" w14:textId="77777777" w:rsidR="00572BA3" w:rsidRDefault="00C123EE" w:rsidP="003B2A57">
      <w:pPr>
        <w:tabs>
          <w:tab w:val="left" w:pos="981"/>
        </w:tabs>
        <w:spacing w:line="234" w:lineRule="auto"/>
        <w:ind w:left="1001" w:hanging="999"/>
        <w:jc w:val="both"/>
        <w:rPr>
          <w:rFonts w:eastAsia="Times New Roman"/>
        </w:rPr>
      </w:pPr>
      <w:r>
        <w:rPr>
          <w:rFonts w:eastAsia="Times New Roman"/>
        </w:rPr>
        <w:t>H</w:t>
      </w:r>
      <w:r w:rsidR="00572BA3">
        <w:rPr>
          <w:rFonts w:eastAsia="Times New Roman"/>
        </w:rPr>
        <w:t>.1.</w:t>
      </w:r>
      <w:r w:rsidR="00572BA3">
        <w:rPr>
          <w:rFonts w:eastAsia="Times New Roman"/>
        </w:rPr>
        <w:tab/>
      </w:r>
      <w:r>
        <w:rPr>
          <w:rFonts w:eastAsia="Times New Roman"/>
        </w:rPr>
        <w:t>OSDn</w:t>
      </w:r>
      <w:r w:rsidR="00572BA3">
        <w:rPr>
          <w:rFonts w:eastAsia="Times New Roman"/>
        </w:rPr>
        <w:t xml:space="preserve"> identyfikuje ograniczenia systemowe ze względu na spełnienie wymagań niezawodności dostaw energii elektrycznej.</w:t>
      </w:r>
    </w:p>
    <w:p w14:paraId="199CE83F" w14:textId="77777777" w:rsidR="00572BA3" w:rsidRDefault="00C123EE" w:rsidP="003B2A57">
      <w:pPr>
        <w:tabs>
          <w:tab w:val="left" w:pos="981"/>
        </w:tabs>
        <w:spacing w:line="0" w:lineRule="atLeast"/>
        <w:ind w:left="1"/>
        <w:jc w:val="both"/>
        <w:rPr>
          <w:rFonts w:eastAsia="Times New Roman"/>
        </w:rPr>
      </w:pPr>
      <w:r>
        <w:rPr>
          <w:rFonts w:eastAsia="Times New Roman"/>
        </w:rPr>
        <w:t>H</w:t>
      </w:r>
      <w:r w:rsidR="00572BA3">
        <w:rPr>
          <w:rFonts w:eastAsia="Times New Roman"/>
        </w:rPr>
        <w:t>.2.</w:t>
      </w:r>
      <w:r w:rsidR="00572BA3">
        <w:rPr>
          <w:rFonts w:eastAsia="Times New Roman"/>
        </w:rPr>
        <w:tab/>
        <w:t>Ograniczenia systemowe dzielimy na:</w:t>
      </w:r>
    </w:p>
    <w:p w14:paraId="33867940" w14:textId="77777777" w:rsidR="00572BA3" w:rsidRDefault="00572BA3">
      <w:pPr>
        <w:numPr>
          <w:ilvl w:val="0"/>
          <w:numId w:val="219"/>
        </w:numPr>
        <w:tabs>
          <w:tab w:val="clear" w:pos="1986"/>
        </w:tabs>
        <w:spacing w:line="0" w:lineRule="atLeast"/>
        <w:ind w:left="1276" w:hanging="283"/>
        <w:jc w:val="both"/>
        <w:rPr>
          <w:rFonts w:eastAsia="Times New Roman"/>
        </w:rPr>
      </w:pPr>
      <w:r>
        <w:rPr>
          <w:rFonts w:eastAsia="Times New Roman"/>
        </w:rPr>
        <w:t>ograniczenia elektrowniane,</w:t>
      </w:r>
    </w:p>
    <w:p w14:paraId="48E66736" w14:textId="77777777" w:rsidR="00572BA3" w:rsidRDefault="00572BA3">
      <w:pPr>
        <w:numPr>
          <w:ilvl w:val="0"/>
          <w:numId w:val="219"/>
        </w:numPr>
        <w:tabs>
          <w:tab w:val="clear" w:pos="1986"/>
        </w:tabs>
        <w:spacing w:line="0" w:lineRule="atLeast"/>
        <w:ind w:left="1276" w:hanging="283"/>
        <w:jc w:val="both"/>
        <w:rPr>
          <w:rFonts w:eastAsia="Times New Roman"/>
        </w:rPr>
      </w:pPr>
      <w:r>
        <w:rPr>
          <w:rFonts w:eastAsia="Times New Roman"/>
        </w:rPr>
        <w:t>ograniczenia sieciowe.</w:t>
      </w:r>
    </w:p>
    <w:p w14:paraId="4A127016" w14:textId="77777777" w:rsidR="00572BA3" w:rsidRDefault="00572BA3" w:rsidP="003B2A57">
      <w:pPr>
        <w:spacing w:line="132" w:lineRule="exact"/>
        <w:jc w:val="both"/>
        <w:rPr>
          <w:rFonts w:eastAsia="Times New Roman"/>
        </w:rPr>
      </w:pPr>
    </w:p>
    <w:p w14:paraId="4062E44B" w14:textId="77777777" w:rsidR="00572BA3" w:rsidRDefault="00C123EE" w:rsidP="003B2A57">
      <w:pPr>
        <w:tabs>
          <w:tab w:val="left" w:pos="981"/>
        </w:tabs>
        <w:spacing w:line="234" w:lineRule="auto"/>
        <w:ind w:left="1001" w:hanging="999"/>
        <w:jc w:val="both"/>
        <w:rPr>
          <w:rFonts w:eastAsia="Times New Roman"/>
        </w:rPr>
      </w:pPr>
      <w:r>
        <w:rPr>
          <w:rFonts w:eastAsia="Times New Roman"/>
        </w:rPr>
        <w:t>H</w:t>
      </w:r>
      <w:r w:rsidR="00572BA3">
        <w:rPr>
          <w:rFonts w:eastAsia="Times New Roman"/>
        </w:rPr>
        <w:t>.3.</w:t>
      </w:r>
      <w:r w:rsidR="00572BA3">
        <w:rPr>
          <w:rFonts w:eastAsia="Times New Roman"/>
        </w:rPr>
        <w:tab/>
        <w:t>Ograniczenia elektrowniane obejmują restrykcje w pracy elektrowni spowodowane przez:</w:t>
      </w:r>
    </w:p>
    <w:p w14:paraId="2CDCE518" w14:textId="77777777" w:rsidR="00572BA3" w:rsidRDefault="00572BA3">
      <w:pPr>
        <w:numPr>
          <w:ilvl w:val="0"/>
          <w:numId w:val="220"/>
        </w:numPr>
        <w:tabs>
          <w:tab w:val="clear" w:pos="1986"/>
        </w:tabs>
        <w:spacing w:line="0" w:lineRule="atLeast"/>
        <w:ind w:left="1276" w:hanging="283"/>
        <w:jc w:val="both"/>
        <w:rPr>
          <w:rFonts w:eastAsia="Times New Roman"/>
        </w:rPr>
      </w:pPr>
      <w:r>
        <w:rPr>
          <w:rFonts w:eastAsia="Times New Roman"/>
        </w:rPr>
        <w:t>parametry techniczne poszczególnych jednostek wytwórczych,</w:t>
      </w:r>
    </w:p>
    <w:p w14:paraId="314D8703" w14:textId="77777777" w:rsidR="00572BA3" w:rsidRDefault="00572BA3">
      <w:pPr>
        <w:numPr>
          <w:ilvl w:val="0"/>
          <w:numId w:val="220"/>
        </w:numPr>
        <w:tabs>
          <w:tab w:val="left" w:pos="1361"/>
        </w:tabs>
        <w:spacing w:line="0" w:lineRule="atLeast"/>
        <w:ind w:left="1276" w:hanging="283"/>
        <w:jc w:val="both"/>
        <w:rPr>
          <w:rFonts w:eastAsia="Times New Roman"/>
        </w:rPr>
      </w:pPr>
      <w:r>
        <w:rPr>
          <w:rFonts w:eastAsia="Times New Roman"/>
        </w:rPr>
        <w:t>przyczyny technologiczne w elektrowni,</w:t>
      </w:r>
    </w:p>
    <w:p w14:paraId="064147E6" w14:textId="77777777" w:rsidR="00572BA3" w:rsidRDefault="00572BA3">
      <w:pPr>
        <w:numPr>
          <w:ilvl w:val="0"/>
          <w:numId w:val="220"/>
        </w:numPr>
        <w:tabs>
          <w:tab w:val="left" w:pos="1361"/>
        </w:tabs>
        <w:spacing w:line="0" w:lineRule="atLeast"/>
        <w:ind w:left="1276" w:hanging="283"/>
        <w:jc w:val="both"/>
        <w:rPr>
          <w:rFonts w:eastAsia="Times New Roman"/>
        </w:rPr>
      </w:pPr>
      <w:r>
        <w:rPr>
          <w:rFonts w:eastAsia="Times New Roman"/>
        </w:rPr>
        <w:t>działanie siły wyższej,</w:t>
      </w:r>
    </w:p>
    <w:p w14:paraId="116FF2D0" w14:textId="77777777" w:rsidR="00572BA3" w:rsidRDefault="00572BA3">
      <w:pPr>
        <w:numPr>
          <w:ilvl w:val="0"/>
          <w:numId w:val="220"/>
        </w:numPr>
        <w:tabs>
          <w:tab w:val="left" w:pos="1361"/>
        </w:tabs>
        <w:spacing w:line="0" w:lineRule="atLeast"/>
        <w:ind w:left="1276" w:hanging="283"/>
        <w:jc w:val="both"/>
        <w:rPr>
          <w:rFonts w:eastAsia="Times New Roman"/>
        </w:rPr>
      </w:pPr>
      <w:r>
        <w:rPr>
          <w:rFonts w:eastAsia="Times New Roman"/>
        </w:rPr>
        <w:t>realizację polityki energetycznej państwa.</w:t>
      </w:r>
    </w:p>
    <w:p w14:paraId="0EC2C824" w14:textId="77777777" w:rsidR="00572BA3" w:rsidRDefault="00C123EE" w:rsidP="003B2A57">
      <w:pPr>
        <w:tabs>
          <w:tab w:val="left" w:pos="981"/>
        </w:tabs>
        <w:spacing w:line="0" w:lineRule="atLeast"/>
        <w:ind w:left="1"/>
        <w:jc w:val="both"/>
        <w:rPr>
          <w:rFonts w:eastAsia="Times New Roman"/>
        </w:rPr>
      </w:pPr>
      <w:r>
        <w:rPr>
          <w:rFonts w:eastAsia="Times New Roman"/>
        </w:rPr>
        <w:t>H</w:t>
      </w:r>
      <w:r w:rsidR="00572BA3">
        <w:rPr>
          <w:rFonts w:eastAsia="Times New Roman"/>
        </w:rPr>
        <w:t>.4.</w:t>
      </w:r>
      <w:r w:rsidR="00572BA3">
        <w:rPr>
          <w:rFonts w:eastAsia="Times New Roman"/>
        </w:rPr>
        <w:tab/>
      </w:r>
      <w:r>
        <w:rPr>
          <w:rFonts w:eastAsia="Times New Roman"/>
        </w:rPr>
        <w:t>OSDn</w:t>
      </w:r>
      <w:r w:rsidR="00572BA3">
        <w:rPr>
          <w:rFonts w:eastAsia="Times New Roman"/>
        </w:rPr>
        <w:t xml:space="preserve"> identyfikuje ograniczenia sieciowe jako:</w:t>
      </w:r>
    </w:p>
    <w:p w14:paraId="6184D7DB" w14:textId="77777777" w:rsidR="00572BA3" w:rsidRDefault="00572BA3">
      <w:pPr>
        <w:numPr>
          <w:ilvl w:val="0"/>
          <w:numId w:val="221"/>
        </w:numPr>
        <w:tabs>
          <w:tab w:val="clear" w:pos="1986"/>
        </w:tabs>
        <w:spacing w:line="234" w:lineRule="auto"/>
        <w:ind w:left="1276" w:hanging="283"/>
        <w:jc w:val="both"/>
        <w:rPr>
          <w:rFonts w:eastAsia="Times New Roman"/>
        </w:rPr>
      </w:pPr>
      <w:r>
        <w:rPr>
          <w:rFonts w:eastAsia="Times New Roman"/>
        </w:rPr>
        <w:t>maksymalne dopuszczalne moce wytwarzane i/lub maksymalną liczbę jednostek wytwórczych pracujących w danym węźle lub grupie węzłów,</w:t>
      </w:r>
    </w:p>
    <w:p w14:paraId="4059D10A" w14:textId="77777777" w:rsidR="00572BA3" w:rsidRDefault="00572BA3">
      <w:pPr>
        <w:numPr>
          <w:ilvl w:val="0"/>
          <w:numId w:val="221"/>
        </w:numPr>
        <w:tabs>
          <w:tab w:val="clear" w:pos="1986"/>
        </w:tabs>
        <w:spacing w:line="234" w:lineRule="auto"/>
        <w:ind w:left="1276" w:hanging="283"/>
        <w:jc w:val="both"/>
        <w:rPr>
          <w:rFonts w:eastAsia="Times New Roman"/>
        </w:rPr>
      </w:pPr>
      <w:r>
        <w:rPr>
          <w:rFonts w:eastAsia="Times New Roman"/>
        </w:rPr>
        <w:lastRenderedPageBreak/>
        <w:t>minimalne niezbędne moce wytwarzane i/lub minimalną liczbę jednostek wytwórczych pracujących w danym węźle lub grupie węzłów,</w:t>
      </w:r>
    </w:p>
    <w:p w14:paraId="50B5365D" w14:textId="77777777" w:rsidR="00572BA3" w:rsidRDefault="00572BA3">
      <w:pPr>
        <w:numPr>
          <w:ilvl w:val="0"/>
          <w:numId w:val="221"/>
        </w:numPr>
        <w:tabs>
          <w:tab w:val="clear" w:pos="1986"/>
        </w:tabs>
        <w:spacing w:line="0" w:lineRule="atLeast"/>
        <w:ind w:left="1276" w:hanging="283"/>
        <w:jc w:val="both"/>
        <w:rPr>
          <w:rFonts w:eastAsia="Times New Roman"/>
        </w:rPr>
      </w:pPr>
      <w:r>
        <w:rPr>
          <w:rFonts w:eastAsia="Times New Roman"/>
        </w:rPr>
        <w:t>planowane ograniczenia dystrybucyjne na wskazanych przekrojach sieciowych.</w:t>
      </w:r>
    </w:p>
    <w:p w14:paraId="52F35D6F" w14:textId="77777777" w:rsidR="00572BA3" w:rsidRDefault="00C123EE" w:rsidP="003B2A57">
      <w:pPr>
        <w:tabs>
          <w:tab w:val="left" w:pos="981"/>
        </w:tabs>
        <w:spacing w:line="234" w:lineRule="auto"/>
        <w:ind w:left="1001" w:hanging="999"/>
        <w:jc w:val="both"/>
        <w:rPr>
          <w:rFonts w:eastAsia="Times New Roman"/>
        </w:rPr>
      </w:pPr>
      <w:r>
        <w:rPr>
          <w:rFonts w:eastAsia="Times New Roman"/>
        </w:rPr>
        <w:t>H</w:t>
      </w:r>
      <w:r w:rsidR="00572BA3">
        <w:rPr>
          <w:rFonts w:eastAsia="Times New Roman"/>
        </w:rPr>
        <w:t>.5.</w:t>
      </w:r>
      <w:r w:rsidR="00572BA3">
        <w:rPr>
          <w:rFonts w:eastAsia="Times New Roman"/>
        </w:rPr>
        <w:tab/>
        <w:t xml:space="preserve">Identyfikacja ograniczeń systemowych jest wykonywana przez </w:t>
      </w:r>
      <w:r w:rsidR="004D4F3D">
        <w:rPr>
          <w:rFonts w:eastAsia="Times New Roman"/>
        </w:rPr>
        <w:t xml:space="preserve">OSDn </w:t>
      </w:r>
      <w:r w:rsidR="00572BA3">
        <w:rPr>
          <w:rFonts w:eastAsia="Times New Roman"/>
        </w:rPr>
        <w:t>na podstawie analiz sieciowych uwzględniających:</w:t>
      </w:r>
    </w:p>
    <w:p w14:paraId="5D544862" w14:textId="77777777" w:rsidR="00572BA3" w:rsidRDefault="00572BA3">
      <w:pPr>
        <w:numPr>
          <w:ilvl w:val="0"/>
          <w:numId w:val="222"/>
        </w:numPr>
        <w:tabs>
          <w:tab w:val="clear" w:pos="1986"/>
        </w:tabs>
        <w:spacing w:line="0" w:lineRule="atLeast"/>
        <w:ind w:left="1276" w:hanging="283"/>
        <w:jc w:val="both"/>
        <w:rPr>
          <w:rFonts w:eastAsia="Times New Roman"/>
        </w:rPr>
      </w:pPr>
      <w:r>
        <w:rPr>
          <w:rFonts w:eastAsia="Times New Roman"/>
        </w:rPr>
        <w:t>plan wyłączeń elementów sieci dystrybucyjnej,</w:t>
      </w:r>
    </w:p>
    <w:p w14:paraId="0569C85F" w14:textId="77777777" w:rsidR="00572BA3" w:rsidRDefault="00572BA3">
      <w:pPr>
        <w:numPr>
          <w:ilvl w:val="0"/>
          <w:numId w:val="222"/>
        </w:numPr>
        <w:tabs>
          <w:tab w:val="clear" w:pos="1986"/>
        </w:tabs>
        <w:spacing w:line="0" w:lineRule="atLeast"/>
        <w:ind w:left="1276" w:hanging="283"/>
        <w:jc w:val="both"/>
        <w:rPr>
          <w:rFonts w:eastAsia="Times New Roman"/>
        </w:rPr>
      </w:pPr>
      <w:r>
        <w:rPr>
          <w:rFonts w:eastAsia="Times New Roman"/>
        </w:rPr>
        <w:t>plan remontów jednostek wytwórczych przyłączonych do sieci dystrybucyjnej,</w:t>
      </w:r>
    </w:p>
    <w:p w14:paraId="4638A626" w14:textId="77777777" w:rsidR="00572BA3" w:rsidRDefault="00572BA3">
      <w:pPr>
        <w:numPr>
          <w:ilvl w:val="0"/>
          <w:numId w:val="222"/>
        </w:numPr>
        <w:tabs>
          <w:tab w:val="clear" w:pos="1986"/>
        </w:tabs>
        <w:spacing w:line="0" w:lineRule="atLeast"/>
        <w:ind w:left="1276" w:hanging="283"/>
        <w:jc w:val="both"/>
        <w:rPr>
          <w:rFonts w:eastAsia="Times New Roman"/>
        </w:rPr>
      </w:pPr>
      <w:r>
        <w:rPr>
          <w:rFonts w:eastAsia="Times New Roman"/>
        </w:rPr>
        <w:t>wymagania dotyczące jakości i niezawodności pracy sieci dystrybucyjnej.</w:t>
      </w:r>
    </w:p>
    <w:p w14:paraId="064ADE25" w14:textId="77777777" w:rsidR="00572BA3" w:rsidRDefault="00C123EE" w:rsidP="003B2A57">
      <w:pPr>
        <w:tabs>
          <w:tab w:val="left" w:pos="981"/>
        </w:tabs>
        <w:spacing w:line="237" w:lineRule="auto"/>
        <w:ind w:left="1001" w:hanging="999"/>
        <w:jc w:val="both"/>
        <w:rPr>
          <w:rFonts w:eastAsia="Times New Roman"/>
        </w:rPr>
      </w:pPr>
      <w:r>
        <w:rPr>
          <w:rFonts w:eastAsia="Times New Roman"/>
        </w:rPr>
        <w:t>H</w:t>
      </w:r>
      <w:r w:rsidR="00572BA3">
        <w:rPr>
          <w:rFonts w:eastAsia="Times New Roman"/>
        </w:rPr>
        <w:t>.</w:t>
      </w:r>
      <w:r w:rsidR="00530B3A">
        <w:rPr>
          <w:rFonts w:eastAsia="Times New Roman"/>
        </w:rPr>
        <w:t>6</w:t>
      </w:r>
      <w:r w:rsidR="00572BA3">
        <w:rPr>
          <w:rFonts w:eastAsia="Times New Roman"/>
        </w:rPr>
        <w:t>.</w:t>
      </w:r>
      <w:r w:rsidR="00572BA3">
        <w:rPr>
          <w:rFonts w:eastAsia="Times New Roman"/>
        </w:rPr>
        <w:tab/>
      </w:r>
      <w:r w:rsidR="00530B3A">
        <w:rPr>
          <w:rFonts w:eastAsia="Times New Roman"/>
        </w:rPr>
        <w:t>OSDn</w:t>
      </w:r>
      <w:r w:rsidR="00572BA3">
        <w:rPr>
          <w:rFonts w:eastAsia="Times New Roman"/>
        </w:rPr>
        <w:t xml:space="preserve"> przy planowaniu pracy sieci uwzględnia ograniczenia występujące w pracy sieci przesyłowej, dystrybucyjnej sąsiednich OSD oraz zgłoszone przez wytwórców ograniczenia dotyczące jednostek wytwórczych przyłączonych do jego sieci, mając na celu minimalizację skutków tych ograniczeń.</w:t>
      </w:r>
    </w:p>
    <w:p w14:paraId="0138D8DC" w14:textId="77777777" w:rsidR="00572BA3" w:rsidRDefault="00C123EE" w:rsidP="003B2A57">
      <w:pPr>
        <w:tabs>
          <w:tab w:val="left" w:pos="981"/>
        </w:tabs>
        <w:spacing w:line="250" w:lineRule="auto"/>
        <w:ind w:left="1001" w:hanging="999"/>
        <w:jc w:val="both"/>
        <w:rPr>
          <w:rFonts w:eastAsia="Times New Roman"/>
        </w:rPr>
      </w:pPr>
      <w:r>
        <w:rPr>
          <w:rFonts w:eastAsia="Times New Roman"/>
          <w:sz w:val="23"/>
        </w:rPr>
        <w:t>H</w:t>
      </w:r>
      <w:r w:rsidR="00572BA3">
        <w:rPr>
          <w:rFonts w:eastAsia="Times New Roman"/>
          <w:sz w:val="23"/>
        </w:rPr>
        <w:t>.</w:t>
      </w:r>
      <w:r w:rsidR="00530B3A">
        <w:rPr>
          <w:rFonts w:eastAsia="Times New Roman"/>
          <w:sz w:val="23"/>
        </w:rPr>
        <w:t>7</w:t>
      </w:r>
      <w:r w:rsidR="00572BA3">
        <w:rPr>
          <w:rFonts w:eastAsia="Times New Roman"/>
          <w:sz w:val="23"/>
        </w:rPr>
        <w:t>.</w:t>
      </w:r>
      <w:r w:rsidR="00572BA3">
        <w:rPr>
          <w:rFonts w:eastAsia="Times New Roman"/>
        </w:rPr>
        <w:tab/>
      </w:r>
      <w:r w:rsidR="00572BA3">
        <w:rPr>
          <w:rFonts w:eastAsia="Times New Roman"/>
          <w:sz w:val="23"/>
        </w:rPr>
        <w:t xml:space="preserve">W przypadku wystąpienia ograniczeń systemowych </w:t>
      </w:r>
      <w:r w:rsidR="00530B3A">
        <w:rPr>
          <w:rFonts w:eastAsia="Times New Roman"/>
          <w:sz w:val="23"/>
        </w:rPr>
        <w:t>OSDn</w:t>
      </w:r>
      <w:r w:rsidR="00572BA3">
        <w:rPr>
          <w:rFonts w:eastAsia="Times New Roman"/>
          <w:sz w:val="23"/>
        </w:rPr>
        <w:t xml:space="preserve"> prowadzi ruch sieci dystrybucyjnej mając na uwadze zapewnienie bezpieczeństwa pracy KSE, dotrzymanie wymaganych parametrów technicznych energii elektrycznej oraz</w:t>
      </w:r>
      <w:r w:rsidR="00530B3A">
        <w:rPr>
          <w:rFonts w:eastAsia="Times New Roman"/>
          <w:sz w:val="23"/>
        </w:rPr>
        <w:t xml:space="preserve"> </w:t>
      </w:r>
      <w:r w:rsidR="00572BA3">
        <w:rPr>
          <w:rFonts w:eastAsia="Times New Roman"/>
        </w:rPr>
        <w:t>minimalizację skutków ograniczeń w dostawie energii elektrycznej w szczególności przez:</w:t>
      </w:r>
    </w:p>
    <w:p w14:paraId="7CE411DC" w14:textId="77777777" w:rsidR="00572BA3" w:rsidRDefault="00572BA3">
      <w:pPr>
        <w:numPr>
          <w:ilvl w:val="0"/>
          <w:numId w:val="223"/>
        </w:numPr>
        <w:tabs>
          <w:tab w:val="clear" w:pos="1986"/>
        </w:tabs>
        <w:spacing w:line="0" w:lineRule="atLeast"/>
        <w:ind w:left="1276" w:hanging="283"/>
        <w:jc w:val="both"/>
        <w:rPr>
          <w:rFonts w:eastAsia="Times New Roman"/>
        </w:rPr>
      </w:pPr>
      <w:r>
        <w:rPr>
          <w:rFonts w:eastAsia="Times New Roman"/>
        </w:rPr>
        <w:t>zmianę układu pracy sieci dystrybucyjnej;</w:t>
      </w:r>
    </w:p>
    <w:p w14:paraId="548E2FFD" w14:textId="77777777" w:rsidR="00572BA3" w:rsidRDefault="00572BA3">
      <w:pPr>
        <w:numPr>
          <w:ilvl w:val="0"/>
          <w:numId w:val="223"/>
        </w:numPr>
        <w:tabs>
          <w:tab w:val="clear" w:pos="1986"/>
        </w:tabs>
        <w:spacing w:line="234" w:lineRule="auto"/>
        <w:ind w:left="1276" w:hanging="283"/>
        <w:jc w:val="both"/>
        <w:rPr>
          <w:rFonts w:eastAsia="Times New Roman"/>
        </w:rPr>
      </w:pPr>
      <w:r>
        <w:rPr>
          <w:rFonts w:eastAsia="Times New Roman"/>
        </w:rPr>
        <w:t>wprowadzanie zmian do zatwierdzonego planu wyłączeń elementów sieci dystrybucyjnej;</w:t>
      </w:r>
    </w:p>
    <w:p w14:paraId="6DD3E715" w14:textId="77777777" w:rsidR="00572BA3" w:rsidRDefault="00572BA3">
      <w:pPr>
        <w:numPr>
          <w:ilvl w:val="0"/>
          <w:numId w:val="223"/>
        </w:numPr>
        <w:tabs>
          <w:tab w:val="clear" w:pos="1986"/>
        </w:tabs>
        <w:spacing w:line="0" w:lineRule="atLeast"/>
        <w:ind w:left="1276" w:hanging="283"/>
        <w:jc w:val="both"/>
        <w:rPr>
          <w:rFonts w:eastAsia="Times New Roman"/>
        </w:rPr>
      </w:pPr>
      <w:r>
        <w:rPr>
          <w:rFonts w:eastAsia="Times New Roman"/>
        </w:rPr>
        <w:t xml:space="preserve">dysponowanie mocą </w:t>
      </w:r>
      <w:r w:rsidR="00530B3A">
        <w:rPr>
          <w:rFonts w:eastAsia="Times New Roman"/>
        </w:rPr>
        <w:t>jednostek wyt</w:t>
      </w:r>
      <w:r w:rsidR="009A09C1">
        <w:rPr>
          <w:rFonts w:eastAsia="Times New Roman"/>
        </w:rPr>
        <w:t>w</w:t>
      </w:r>
      <w:r w:rsidR="00530B3A">
        <w:rPr>
          <w:rFonts w:eastAsia="Times New Roman"/>
        </w:rPr>
        <w:t>órczych</w:t>
      </w:r>
      <w:r>
        <w:rPr>
          <w:rFonts w:eastAsia="Times New Roman"/>
        </w:rPr>
        <w:t xml:space="preserve"> przyłączonych do sieci dystrybucyjnej;</w:t>
      </w:r>
    </w:p>
    <w:p w14:paraId="7554F93A" w14:textId="77777777" w:rsidR="00572BA3" w:rsidRPr="00357BB6" w:rsidRDefault="00C123EE" w:rsidP="003B2A57">
      <w:pPr>
        <w:tabs>
          <w:tab w:val="left" w:pos="980"/>
        </w:tabs>
        <w:spacing w:line="237" w:lineRule="auto"/>
        <w:ind w:left="1000" w:hanging="999"/>
        <w:jc w:val="both"/>
        <w:rPr>
          <w:rFonts w:eastAsia="Times New Roman"/>
          <w:szCs w:val="24"/>
        </w:rPr>
      </w:pPr>
      <w:r>
        <w:rPr>
          <w:rFonts w:eastAsia="Times New Roman"/>
        </w:rPr>
        <w:t>H</w:t>
      </w:r>
      <w:r w:rsidR="00572BA3">
        <w:rPr>
          <w:rFonts w:eastAsia="Times New Roman"/>
        </w:rPr>
        <w:t>.</w:t>
      </w:r>
      <w:r w:rsidR="008A6215">
        <w:rPr>
          <w:rFonts w:eastAsia="Times New Roman"/>
        </w:rPr>
        <w:t>8</w:t>
      </w:r>
      <w:r w:rsidR="00572BA3">
        <w:rPr>
          <w:rFonts w:eastAsia="Times New Roman"/>
        </w:rPr>
        <w:t>.</w:t>
      </w:r>
      <w:r w:rsidR="00572BA3">
        <w:rPr>
          <w:rFonts w:eastAsia="Times New Roman"/>
        </w:rPr>
        <w:tab/>
        <w:t xml:space="preserve">W </w:t>
      </w:r>
      <w:r w:rsidR="00572BA3" w:rsidRPr="00357BB6">
        <w:rPr>
          <w:rFonts w:eastAsia="Times New Roman"/>
          <w:szCs w:val="24"/>
        </w:rPr>
        <w:t xml:space="preserve">przypadku wystąpienia ograniczeń systemowych </w:t>
      </w:r>
      <w:r w:rsidR="00357BB6" w:rsidRPr="00357BB6">
        <w:rPr>
          <w:rFonts w:eastAsia="Times New Roman"/>
          <w:szCs w:val="24"/>
        </w:rPr>
        <w:t>OSDn</w:t>
      </w:r>
      <w:r w:rsidR="00572BA3" w:rsidRPr="00357BB6">
        <w:rPr>
          <w:rFonts w:eastAsia="Times New Roman"/>
          <w:szCs w:val="24"/>
        </w:rPr>
        <w:t xml:space="preserve"> podejmuje działania mające na celu ich likwidację lub zmniejszenie skutków ograniczeń występujących w sieci dystrybucyjnej samodzielnie oraz we współpracy z OSP oraz innymi OSD.</w:t>
      </w:r>
    </w:p>
    <w:p w14:paraId="57EA15CA" w14:textId="77777777" w:rsidR="00572BA3" w:rsidRDefault="00C123EE" w:rsidP="003B2A57">
      <w:pPr>
        <w:tabs>
          <w:tab w:val="left" w:pos="980"/>
        </w:tabs>
        <w:spacing w:line="237" w:lineRule="auto"/>
        <w:ind w:left="1000" w:hanging="999"/>
        <w:jc w:val="both"/>
        <w:rPr>
          <w:rFonts w:eastAsia="Times New Roman"/>
        </w:rPr>
      </w:pPr>
      <w:r w:rsidRPr="00357BB6">
        <w:rPr>
          <w:rFonts w:eastAsia="Times New Roman"/>
          <w:szCs w:val="24"/>
        </w:rPr>
        <w:t>H</w:t>
      </w:r>
      <w:r w:rsidR="008A6215" w:rsidRPr="00357BB6">
        <w:rPr>
          <w:rFonts w:eastAsia="Times New Roman"/>
          <w:szCs w:val="24"/>
        </w:rPr>
        <w:t>.9</w:t>
      </w:r>
      <w:r w:rsidR="00572BA3" w:rsidRPr="00357BB6">
        <w:rPr>
          <w:rFonts w:eastAsia="Times New Roman"/>
          <w:szCs w:val="24"/>
        </w:rPr>
        <w:t>.</w:t>
      </w:r>
      <w:r w:rsidR="00572BA3" w:rsidRPr="00357BB6">
        <w:rPr>
          <w:rFonts w:eastAsia="Times New Roman"/>
          <w:szCs w:val="24"/>
        </w:rPr>
        <w:tab/>
        <w:t xml:space="preserve">W przypadku przekroczenia zidentyfikowanych ograniczeń systemowych spowodowanych awariami w KSE, </w:t>
      </w:r>
      <w:r w:rsidR="00682084">
        <w:rPr>
          <w:rFonts w:eastAsia="Times New Roman"/>
          <w:szCs w:val="24"/>
        </w:rPr>
        <w:t>OSDn</w:t>
      </w:r>
      <w:r w:rsidR="00572BA3" w:rsidRPr="00357BB6">
        <w:rPr>
          <w:rFonts w:eastAsia="Times New Roman"/>
          <w:szCs w:val="24"/>
        </w:rPr>
        <w:t xml:space="preserve"> podejmuje działania szczegółowo uregulowane w </w:t>
      </w:r>
      <w:r w:rsidR="00572BA3" w:rsidRPr="00E53559">
        <w:rPr>
          <w:rFonts w:eastAsia="Times New Roman"/>
          <w:szCs w:val="24"/>
        </w:rPr>
        <w:t xml:space="preserve">części ogólnej IRiESD rozdział IV Bezpieczeństwo funkcjonowania systemu </w:t>
      </w:r>
      <w:r w:rsidR="00572BA3" w:rsidRPr="000828F7">
        <w:rPr>
          <w:rFonts w:eastAsia="Times New Roman"/>
          <w:szCs w:val="24"/>
        </w:rPr>
        <w:t>elektroenergetycznego</w:t>
      </w:r>
      <w:r w:rsidR="00572BA3" w:rsidRPr="000828F7">
        <w:rPr>
          <w:rFonts w:eastAsia="Times New Roman"/>
        </w:rPr>
        <w:t>.</w:t>
      </w:r>
    </w:p>
    <w:p w14:paraId="4A52B9A1" w14:textId="77777777" w:rsidR="00AD01D0" w:rsidRDefault="00AD01D0" w:rsidP="00C123EE">
      <w:pPr>
        <w:tabs>
          <w:tab w:val="left" w:pos="980"/>
        </w:tabs>
        <w:spacing w:line="237" w:lineRule="auto"/>
        <w:ind w:left="1000" w:hanging="999"/>
        <w:jc w:val="both"/>
        <w:rPr>
          <w:rFonts w:eastAsia="Times New Roman"/>
        </w:rPr>
      </w:pPr>
    </w:p>
    <w:p w14:paraId="62A827C2" w14:textId="77777777" w:rsidR="00AD01D0" w:rsidRDefault="00AD01D0" w:rsidP="00C123EE">
      <w:pPr>
        <w:tabs>
          <w:tab w:val="left" w:pos="980"/>
        </w:tabs>
        <w:spacing w:line="237" w:lineRule="auto"/>
        <w:ind w:left="1000" w:hanging="999"/>
        <w:jc w:val="both"/>
        <w:rPr>
          <w:rFonts w:eastAsia="Times New Roman"/>
        </w:rPr>
      </w:pPr>
    </w:p>
    <w:p w14:paraId="680A283F" w14:textId="77777777" w:rsidR="00AD01D0" w:rsidRDefault="00AD01D0" w:rsidP="00C123EE">
      <w:pPr>
        <w:tabs>
          <w:tab w:val="left" w:pos="980"/>
        </w:tabs>
        <w:spacing w:line="237" w:lineRule="auto"/>
        <w:ind w:left="1000" w:hanging="999"/>
        <w:jc w:val="both"/>
        <w:rPr>
          <w:rFonts w:eastAsia="Times New Roman"/>
        </w:rPr>
      </w:pPr>
    </w:p>
    <w:p w14:paraId="68B6F2DE" w14:textId="77777777" w:rsidR="003B2A57" w:rsidRDefault="003B2A57" w:rsidP="00C123EE">
      <w:pPr>
        <w:tabs>
          <w:tab w:val="left" w:pos="980"/>
        </w:tabs>
        <w:spacing w:line="237" w:lineRule="auto"/>
        <w:ind w:left="1000" w:hanging="999"/>
        <w:jc w:val="both"/>
        <w:rPr>
          <w:rFonts w:eastAsia="Times New Roman"/>
        </w:rPr>
      </w:pPr>
    </w:p>
    <w:p w14:paraId="4D9023C3" w14:textId="711DB294" w:rsidR="003B2A57" w:rsidRDefault="003B2A57" w:rsidP="00C123EE">
      <w:pPr>
        <w:tabs>
          <w:tab w:val="left" w:pos="980"/>
        </w:tabs>
        <w:spacing w:line="237" w:lineRule="auto"/>
        <w:ind w:left="1000" w:hanging="999"/>
        <w:jc w:val="both"/>
        <w:rPr>
          <w:rFonts w:eastAsia="Times New Roman"/>
        </w:rPr>
      </w:pPr>
    </w:p>
    <w:p w14:paraId="1B58C444" w14:textId="376E18C7" w:rsidR="008D5AFD" w:rsidRDefault="008D5AFD" w:rsidP="00C123EE">
      <w:pPr>
        <w:tabs>
          <w:tab w:val="left" w:pos="980"/>
        </w:tabs>
        <w:spacing w:line="237" w:lineRule="auto"/>
        <w:ind w:left="1000" w:hanging="999"/>
        <w:jc w:val="both"/>
        <w:rPr>
          <w:rFonts w:eastAsia="Times New Roman"/>
        </w:rPr>
      </w:pPr>
    </w:p>
    <w:p w14:paraId="15B96D5A" w14:textId="05A4CE1F" w:rsidR="008D5AFD" w:rsidRDefault="008D5AFD" w:rsidP="00C123EE">
      <w:pPr>
        <w:tabs>
          <w:tab w:val="left" w:pos="980"/>
        </w:tabs>
        <w:spacing w:line="237" w:lineRule="auto"/>
        <w:ind w:left="1000" w:hanging="999"/>
        <w:jc w:val="both"/>
        <w:rPr>
          <w:rFonts w:eastAsia="Times New Roman"/>
        </w:rPr>
      </w:pPr>
    </w:p>
    <w:p w14:paraId="1E842620" w14:textId="4EB74934" w:rsidR="008D5AFD" w:rsidRDefault="008D5AFD" w:rsidP="00C123EE">
      <w:pPr>
        <w:tabs>
          <w:tab w:val="left" w:pos="980"/>
        </w:tabs>
        <w:spacing w:line="237" w:lineRule="auto"/>
        <w:ind w:left="1000" w:hanging="999"/>
        <w:jc w:val="both"/>
        <w:rPr>
          <w:rFonts w:eastAsia="Times New Roman"/>
        </w:rPr>
      </w:pPr>
    </w:p>
    <w:p w14:paraId="688036D7" w14:textId="19C4C5FA" w:rsidR="008D5AFD" w:rsidRDefault="008D5AFD" w:rsidP="00C123EE">
      <w:pPr>
        <w:tabs>
          <w:tab w:val="left" w:pos="980"/>
        </w:tabs>
        <w:spacing w:line="237" w:lineRule="auto"/>
        <w:ind w:left="1000" w:hanging="999"/>
        <w:jc w:val="both"/>
        <w:rPr>
          <w:rFonts w:eastAsia="Times New Roman"/>
        </w:rPr>
      </w:pPr>
    </w:p>
    <w:p w14:paraId="2CEBC291" w14:textId="6B93F7BC" w:rsidR="008D5AFD" w:rsidRDefault="008D5AFD" w:rsidP="00C123EE">
      <w:pPr>
        <w:tabs>
          <w:tab w:val="left" w:pos="980"/>
        </w:tabs>
        <w:spacing w:line="237" w:lineRule="auto"/>
        <w:ind w:left="1000" w:hanging="999"/>
        <w:jc w:val="both"/>
        <w:rPr>
          <w:rFonts w:eastAsia="Times New Roman"/>
        </w:rPr>
      </w:pPr>
    </w:p>
    <w:p w14:paraId="2693D6F1" w14:textId="10A9A7E8" w:rsidR="008D5AFD" w:rsidRDefault="008D5AFD" w:rsidP="00C123EE">
      <w:pPr>
        <w:tabs>
          <w:tab w:val="left" w:pos="980"/>
        </w:tabs>
        <w:spacing w:line="237" w:lineRule="auto"/>
        <w:ind w:left="1000" w:hanging="999"/>
        <w:jc w:val="both"/>
        <w:rPr>
          <w:rFonts w:eastAsia="Times New Roman"/>
        </w:rPr>
      </w:pPr>
    </w:p>
    <w:p w14:paraId="579B2647" w14:textId="76185811" w:rsidR="008D5AFD" w:rsidRDefault="008D5AFD" w:rsidP="00C123EE">
      <w:pPr>
        <w:tabs>
          <w:tab w:val="left" w:pos="980"/>
        </w:tabs>
        <w:spacing w:line="237" w:lineRule="auto"/>
        <w:ind w:left="1000" w:hanging="999"/>
        <w:jc w:val="both"/>
        <w:rPr>
          <w:rFonts w:eastAsia="Times New Roman"/>
        </w:rPr>
      </w:pPr>
    </w:p>
    <w:p w14:paraId="1EF7820F" w14:textId="184532EC" w:rsidR="008D5AFD" w:rsidRDefault="008D5AFD" w:rsidP="00C123EE">
      <w:pPr>
        <w:tabs>
          <w:tab w:val="left" w:pos="980"/>
        </w:tabs>
        <w:spacing w:line="237" w:lineRule="auto"/>
        <w:ind w:left="1000" w:hanging="999"/>
        <w:jc w:val="both"/>
        <w:rPr>
          <w:rFonts w:eastAsia="Times New Roman"/>
        </w:rPr>
      </w:pPr>
    </w:p>
    <w:p w14:paraId="31BF476D" w14:textId="1223E336" w:rsidR="008D5AFD" w:rsidRDefault="008D5AFD" w:rsidP="00C123EE">
      <w:pPr>
        <w:tabs>
          <w:tab w:val="left" w:pos="980"/>
        </w:tabs>
        <w:spacing w:line="237" w:lineRule="auto"/>
        <w:ind w:left="1000" w:hanging="999"/>
        <w:jc w:val="both"/>
        <w:rPr>
          <w:rFonts w:eastAsia="Times New Roman"/>
        </w:rPr>
      </w:pPr>
    </w:p>
    <w:p w14:paraId="05D05474" w14:textId="2444A4B5" w:rsidR="008D5AFD" w:rsidRDefault="008D5AFD" w:rsidP="00C123EE">
      <w:pPr>
        <w:tabs>
          <w:tab w:val="left" w:pos="980"/>
        </w:tabs>
        <w:spacing w:line="237" w:lineRule="auto"/>
        <w:ind w:left="1000" w:hanging="999"/>
        <w:jc w:val="both"/>
        <w:rPr>
          <w:rFonts w:eastAsia="Times New Roman"/>
        </w:rPr>
      </w:pPr>
    </w:p>
    <w:p w14:paraId="786F80ED" w14:textId="68B207BF" w:rsidR="008D5AFD" w:rsidRDefault="008D5AFD" w:rsidP="00C123EE">
      <w:pPr>
        <w:tabs>
          <w:tab w:val="left" w:pos="980"/>
        </w:tabs>
        <w:spacing w:line="237" w:lineRule="auto"/>
        <w:ind w:left="1000" w:hanging="999"/>
        <w:jc w:val="both"/>
        <w:rPr>
          <w:rFonts w:eastAsia="Times New Roman"/>
        </w:rPr>
      </w:pPr>
    </w:p>
    <w:p w14:paraId="10E009C6" w14:textId="7DE3AD2B" w:rsidR="008D5AFD" w:rsidRDefault="008D5AFD" w:rsidP="00C123EE">
      <w:pPr>
        <w:tabs>
          <w:tab w:val="left" w:pos="980"/>
        </w:tabs>
        <w:spacing w:line="237" w:lineRule="auto"/>
        <w:ind w:left="1000" w:hanging="999"/>
        <w:jc w:val="both"/>
        <w:rPr>
          <w:rFonts w:eastAsia="Times New Roman"/>
        </w:rPr>
      </w:pPr>
    </w:p>
    <w:p w14:paraId="22774C53" w14:textId="55B7CFD0" w:rsidR="008D5AFD" w:rsidRDefault="008D5AFD" w:rsidP="00C123EE">
      <w:pPr>
        <w:tabs>
          <w:tab w:val="left" w:pos="980"/>
        </w:tabs>
        <w:spacing w:line="237" w:lineRule="auto"/>
        <w:ind w:left="1000" w:hanging="999"/>
        <w:jc w:val="both"/>
        <w:rPr>
          <w:rFonts w:eastAsia="Times New Roman"/>
        </w:rPr>
      </w:pPr>
    </w:p>
    <w:p w14:paraId="07AC393B" w14:textId="751C37AA" w:rsidR="008D5AFD" w:rsidRDefault="008D5AFD" w:rsidP="00C123EE">
      <w:pPr>
        <w:tabs>
          <w:tab w:val="left" w:pos="980"/>
        </w:tabs>
        <w:spacing w:line="237" w:lineRule="auto"/>
        <w:ind w:left="1000" w:hanging="999"/>
        <w:jc w:val="both"/>
        <w:rPr>
          <w:rFonts w:eastAsia="Times New Roman"/>
        </w:rPr>
      </w:pPr>
    </w:p>
    <w:p w14:paraId="56906D8B" w14:textId="7DC73FD7" w:rsidR="008D5AFD" w:rsidRDefault="008D5AFD" w:rsidP="00C123EE">
      <w:pPr>
        <w:tabs>
          <w:tab w:val="left" w:pos="980"/>
        </w:tabs>
        <w:spacing w:line="237" w:lineRule="auto"/>
        <w:ind w:left="1000" w:hanging="999"/>
        <w:jc w:val="both"/>
        <w:rPr>
          <w:rFonts w:eastAsia="Times New Roman"/>
        </w:rPr>
      </w:pPr>
    </w:p>
    <w:p w14:paraId="5FE90CD8" w14:textId="4185AA01" w:rsidR="008D5AFD" w:rsidRDefault="008D5AFD" w:rsidP="00C123EE">
      <w:pPr>
        <w:tabs>
          <w:tab w:val="left" w:pos="980"/>
        </w:tabs>
        <w:spacing w:line="237" w:lineRule="auto"/>
        <w:ind w:left="1000" w:hanging="999"/>
        <w:jc w:val="both"/>
        <w:rPr>
          <w:rFonts w:eastAsia="Times New Roman"/>
        </w:rPr>
      </w:pPr>
    </w:p>
    <w:p w14:paraId="3FD7B085" w14:textId="509BB515" w:rsidR="00CA4DAE" w:rsidRDefault="00CA4DAE" w:rsidP="00C123EE">
      <w:pPr>
        <w:tabs>
          <w:tab w:val="left" w:pos="980"/>
        </w:tabs>
        <w:spacing w:line="237" w:lineRule="auto"/>
        <w:ind w:left="1000" w:hanging="999"/>
        <w:jc w:val="both"/>
        <w:rPr>
          <w:rFonts w:eastAsia="Times New Roman"/>
        </w:rPr>
      </w:pPr>
    </w:p>
    <w:p w14:paraId="007ECD82" w14:textId="1B9EB6C4" w:rsidR="00CA4DAE" w:rsidRDefault="00CA4DAE" w:rsidP="00C123EE">
      <w:pPr>
        <w:tabs>
          <w:tab w:val="left" w:pos="980"/>
        </w:tabs>
        <w:spacing w:line="237" w:lineRule="auto"/>
        <w:ind w:left="1000" w:hanging="999"/>
        <w:jc w:val="both"/>
        <w:rPr>
          <w:rFonts w:eastAsia="Times New Roman"/>
        </w:rPr>
      </w:pPr>
    </w:p>
    <w:p w14:paraId="32D63C12" w14:textId="77777777" w:rsidR="00CA4DAE" w:rsidRDefault="00CA4DAE" w:rsidP="00C123EE">
      <w:pPr>
        <w:tabs>
          <w:tab w:val="left" w:pos="980"/>
        </w:tabs>
        <w:spacing w:line="237" w:lineRule="auto"/>
        <w:ind w:left="1000" w:hanging="999"/>
        <w:jc w:val="both"/>
        <w:rPr>
          <w:rFonts w:eastAsia="Times New Roman"/>
        </w:rPr>
      </w:pPr>
    </w:p>
    <w:p w14:paraId="04E53BC0" w14:textId="6931D8CA" w:rsidR="008D5AFD" w:rsidRDefault="008D5AFD" w:rsidP="00C123EE">
      <w:pPr>
        <w:tabs>
          <w:tab w:val="left" w:pos="980"/>
        </w:tabs>
        <w:spacing w:line="237" w:lineRule="auto"/>
        <w:ind w:left="1000" w:hanging="999"/>
        <w:jc w:val="both"/>
        <w:rPr>
          <w:rFonts w:eastAsia="Times New Roman"/>
        </w:rPr>
      </w:pPr>
    </w:p>
    <w:p w14:paraId="3856A562" w14:textId="6F137EEF" w:rsidR="008D5AFD" w:rsidRDefault="008D5AFD" w:rsidP="00C123EE">
      <w:pPr>
        <w:tabs>
          <w:tab w:val="left" w:pos="980"/>
        </w:tabs>
        <w:spacing w:line="237" w:lineRule="auto"/>
        <w:ind w:left="1000" w:hanging="999"/>
        <w:jc w:val="both"/>
        <w:rPr>
          <w:rFonts w:eastAsia="Times New Roman"/>
        </w:rPr>
      </w:pPr>
    </w:p>
    <w:p w14:paraId="28E74411" w14:textId="1F6F47C0" w:rsidR="00DF0E79" w:rsidRDefault="00DF0E79" w:rsidP="00DF0E79">
      <w:pPr>
        <w:jc w:val="center"/>
        <w:rPr>
          <w:rFonts w:cs="Times New Roman"/>
          <w:b/>
          <w:bCs/>
          <w:i/>
          <w:iCs/>
          <w:color w:val="FF0000"/>
          <w:sz w:val="56"/>
          <w:szCs w:val="56"/>
        </w:rPr>
      </w:pPr>
    </w:p>
    <w:p w14:paraId="16954420" w14:textId="77777777" w:rsidR="009C1ADA" w:rsidRDefault="009C1ADA" w:rsidP="00DF0E79">
      <w:pPr>
        <w:jc w:val="center"/>
        <w:rPr>
          <w:rFonts w:cs="Times New Roman"/>
          <w:b/>
          <w:bCs/>
          <w:i/>
          <w:iCs/>
          <w:color w:val="FF0000"/>
          <w:sz w:val="56"/>
          <w:szCs w:val="56"/>
        </w:rPr>
      </w:pPr>
    </w:p>
    <w:p w14:paraId="364CDFDB" w14:textId="77777777" w:rsidR="009C1ADA" w:rsidRDefault="009C1ADA" w:rsidP="00DF0E79">
      <w:pPr>
        <w:jc w:val="center"/>
        <w:rPr>
          <w:rFonts w:cs="Times New Roman"/>
          <w:b/>
          <w:bCs/>
          <w:i/>
          <w:iCs/>
          <w:color w:val="FF0000"/>
          <w:sz w:val="56"/>
          <w:szCs w:val="56"/>
        </w:rPr>
      </w:pPr>
    </w:p>
    <w:p w14:paraId="0538DA8F" w14:textId="77777777" w:rsidR="009C1ADA" w:rsidRDefault="009C1ADA" w:rsidP="00DF0E79">
      <w:pPr>
        <w:jc w:val="center"/>
        <w:rPr>
          <w:rFonts w:cs="Times New Roman"/>
          <w:b/>
          <w:bCs/>
          <w:i/>
          <w:iCs/>
          <w:color w:val="FF0000"/>
          <w:sz w:val="56"/>
          <w:szCs w:val="56"/>
        </w:rPr>
      </w:pPr>
    </w:p>
    <w:p w14:paraId="40DE842F" w14:textId="77777777" w:rsidR="009C1ADA" w:rsidRPr="00257739" w:rsidRDefault="009C1ADA" w:rsidP="00DF0E79">
      <w:pPr>
        <w:jc w:val="center"/>
        <w:rPr>
          <w:rFonts w:cs="Times New Roman"/>
          <w:b/>
          <w:bCs/>
          <w:i/>
          <w:iCs/>
          <w:color w:val="FF0000"/>
          <w:sz w:val="56"/>
          <w:szCs w:val="56"/>
        </w:rPr>
      </w:pPr>
    </w:p>
    <w:p w14:paraId="1A8F66F5" w14:textId="77777777" w:rsidR="00320E84" w:rsidRPr="00F67B53" w:rsidRDefault="00320E84" w:rsidP="00320E84">
      <w:pPr>
        <w:jc w:val="center"/>
        <w:rPr>
          <w:rFonts w:cs="Times New Roman"/>
          <w:b/>
          <w:bCs/>
          <w:sz w:val="56"/>
          <w:szCs w:val="56"/>
        </w:rPr>
      </w:pPr>
      <w:r w:rsidRPr="00F67B53">
        <w:rPr>
          <w:rFonts w:cs="Times New Roman"/>
          <w:b/>
          <w:bCs/>
          <w:sz w:val="56"/>
          <w:szCs w:val="56"/>
        </w:rPr>
        <w:t>INSTRUKCJA</w:t>
      </w:r>
    </w:p>
    <w:p w14:paraId="0A6D7350" w14:textId="77777777" w:rsidR="00320E84" w:rsidRPr="00F67B53" w:rsidRDefault="00320E84" w:rsidP="00320E84">
      <w:pPr>
        <w:jc w:val="center"/>
        <w:rPr>
          <w:rFonts w:cs="Times New Roman"/>
          <w:b/>
          <w:bCs/>
          <w:sz w:val="56"/>
          <w:szCs w:val="56"/>
        </w:rPr>
      </w:pPr>
      <w:r w:rsidRPr="00F67B53">
        <w:rPr>
          <w:rFonts w:cs="Times New Roman"/>
          <w:b/>
          <w:bCs/>
          <w:sz w:val="56"/>
          <w:szCs w:val="56"/>
        </w:rPr>
        <w:t>RUCHU I EKSPLOATACJI</w:t>
      </w:r>
    </w:p>
    <w:p w14:paraId="23ED8148" w14:textId="46064D74" w:rsidR="00320E84" w:rsidRDefault="00320E84" w:rsidP="00320E84">
      <w:pPr>
        <w:jc w:val="center"/>
        <w:rPr>
          <w:rFonts w:cs="Times New Roman"/>
          <w:b/>
          <w:bCs/>
          <w:sz w:val="56"/>
          <w:szCs w:val="56"/>
        </w:rPr>
      </w:pPr>
      <w:r w:rsidRPr="00F67B53">
        <w:rPr>
          <w:rFonts w:cs="Times New Roman"/>
          <w:b/>
          <w:bCs/>
          <w:sz w:val="56"/>
          <w:szCs w:val="56"/>
        </w:rPr>
        <w:t>SIECI DYSTRYBUCYJNEJ</w:t>
      </w:r>
    </w:p>
    <w:p w14:paraId="7AD63906" w14:textId="77777777" w:rsidR="00E82DF2" w:rsidRPr="00F67B53" w:rsidRDefault="00E82DF2" w:rsidP="00320E84">
      <w:pPr>
        <w:jc w:val="center"/>
        <w:rPr>
          <w:rFonts w:cs="Times New Roman"/>
          <w:b/>
          <w:bCs/>
          <w:sz w:val="56"/>
          <w:szCs w:val="56"/>
        </w:rPr>
      </w:pPr>
    </w:p>
    <w:p w14:paraId="698569FD" w14:textId="77777777" w:rsidR="00572BA3" w:rsidRDefault="00572BA3">
      <w:pPr>
        <w:spacing w:line="200" w:lineRule="exact"/>
        <w:rPr>
          <w:rFonts w:eastAsia="Times New Roman"/>
        </w:rPr>
      </w:pPr>
    </w:p>
    <w:p w14:paraId="3E401003" w14:textId="77777777" w:rsidR="00572BA3" w:rsidRDefault="00572BA3">
      <w:pPr>
        <w:spacing w:line="200" w:lineRule="exact"/>
        <w:rPr>
          <w:rFonts w:eastAsia="Times New Roman"/>
        </w:rPr>
      </w:pPr>
    </w:p>
    <w:p w14:paraId="3AB31BA8" w14:textId="77777777" w:rsidR="00572BA3" w:rsidRDefault="00572BA3">
      <w:pPr>
        <w:spacing w:line="200" w:lineRule="exact"/>
        <w:rPr>
          <w:rFonts w:eastAsia="Times New Roman"/>
        </w:rPr>
      </w:pPr>
    </w:p>
    <w:p w14:paraId="0438CA56" w14:textId="77777777" w:rsidR="00572BA3" w:rsidRDefault="00572BA3">
      <w:pPr>
        <w:spacing w:line="200" w:lineRule="exact"/>
        <w:rPr>
          <w:rFonts w:eastAsia="Times New Roman"/>
        </w:rPr>
      </w:pPr>
    </w:p>
    <w:p w14:paraId="11B6F19A" w14:textId="1CEB2F72" w:rsidR="00572BA3" w:rsidRDefault="00572BA3">
      <w:pPr>
        <w:spacing w:line="304" w:lineRule="exact"/>
        <w:rPr>
          <w:rFonts w:eastAsia="Times New Roman"/>
        </w:rPr>
      </w:pPr>
    </w:p>
    <w:p w14:paraId="0587FBAA" w14:textId="4CCE54AA" w:rsidR="00654C17" w:rsidRDefault="00654C17">
      <w:pPr>
        <w:spacing w:line="304" w:lineRule="exact"/>
        <w:rPr>
          <w:rFonts w:eastAsia="Times New Roman"/>
        </w:rPr>
      </w:pPr>
    </w:p>
    <w:p w14:paraId="2292E888" w14:textId="03F4C77E" w:rsidR="00654C17" w:rsidRDefault="00654C17">
      <w:pPr>
        <w:spacing w:line="304" w:lineRule="exact"/>
        <w:rPr>
          <w:rFonts w:eastAsia="Times New Roman"/>
        </w:rPr>
      </w:pPr>
    </w:p>
    <w:p w14:paraId="6095E2DF" w14:textId="187B93F3" w:rsidR="00654C17" w:rsidRDefault="00654C17">
      <w:pPr>
        <w:spacing w:line="304" w:lineRule="exact"/>
        <w:rPr>
          <w:rFonts w:eastAsia="Times New Roman"/>
        </w:rPr>
      </w:pPr>
    </w:p>
    <w:p w14:paraId="57E794F0" w14:textId="2CE0472B" w:rsidR="00654C17" w:rsidRDefault="00654C17">
      <w:pPr>
        <w:spacing w:line="304" w:lineRule="exact"/>
        <w:rPr>
          <w:rFonts w:eastAsia="Times New Roman"/>
        </w:rPr>
      </w:pPr>
    </w:p>
    <w:p w14:paraId="33170EF8" w14:textId="39E257DF" w:rsidR="00654C17" w:rsidRDefault="00654C17">
      <w:pPr>
        <w:spacing w:line="304" w:lineRule="exact"/>
        <w:rPr>
          <w:rFonts w:eastAsia="Times New Roman"/>
        </w:rPr>
      </w:pPr>
    </w:p>
    <w:p w14:paraId="3B51DC41" w14:textId="4E7B8613" w:rsidR="009A3ACA" w:rsidRDefault="009A3ACA">
      <w:pPr>
        <w:spacing w:line="304" w:lineRule="exact"/>
        <w:rPr>
          <w:rFonts w:eastAsia="Times New Roman"/>
        </w:rPr>
      </w:pPr>
    </w:p>
    <w:p w14:paraId="73D36649" w14:textId="1007E121" w:rsidR="009A3ACA" w:rsidRDefault="009A3ACA">
      <w:pPr>
        <w:spacing w:line="304" w:lineRule="exact"/>
        <w:rPr>
          <w:rFonts w:eastAsia="Times New Roman"/>
        </w:rPr>
      </w:pPr>
    </w:p>
    <w:p w14:paraId="195463F7" w14:textId="558BBE51" w:rsidR="009A3ACA" w:rsidRDefault="009A3ACA">
      <w:pPr>
        <w:spacing w:line="304" w:lineRule="exact"/>
        <w:rPr>
          <w:rFonts w:eastAsia="Times New Roman"/>
        </w:rPr>
      </w:pPr>
    </w:p>
    <w:p w14:paraId="6D10FD1E" w14:textId="3FCB63FB" w:rsidR="009A3ACA" w:rsidRDefault="009A3ACA">
      <w:pPr>
        <w:spacing w:line="304" w:lineRule="exact"/>
        <w:rPr>
          <w:rFonts w:eastAsia="Times New Roman"/>
        </w:rPr>
      </w:pPr>
    </w:p>
    <w:p w14:paraId="78C7663A" w14:textId="14A9BB4E" w:rsidR="009A3ACA" w:rsidRDefault="009A3ACA">
      <w:pPr>
        <w:spacing w:line="304" w:lineRule="exact"/>
        <w:rPr>
          <w:rFonts w:eastAsia="Times New Roman"/>
        </w:rPr>
      </w:pPr>
    </w:p>
    <w:p w14:paraId="4E83591B" w14:textId="1FFE3C60" w:rsidR="009A3ACA" w:rsidRDefault="009A3ACA">
      <w:pPr>
        <w:spacing w:line="304" w:lineRule="exact"/>
        <w:rPr>
          <w:rFonts w:eastAsia="Times New Roman"/>
        </w:rPr>
      </w:pPr>
    </w:p>
    <w:p w14:paraId="775EE100" w14:textId="0DEAAAB3" w:rsidR="009A3ACA" w:rsidRDefault="009A3ACA">
      <w:pPr>
        <w:spacing w:line="304" w:lineRule="exact"/>
        <w:rPr>
          <w:rFonts w:eastAsia="Times New Roman"/>
        </w:rPr>
      </w:pPr>
    </w:p>
    <w:p w14:paraId="7EA34581" w14:textId="58AE53B5" w:rsidR="009A3ACA" w:rsidRDefault="009A3ACA">
      <w:pPr>
        <w:spacing w:line="304" w:lineRule="exact"/>
        <w:rPr>
          <w:rFonts w:eastAsia="Times New Roman"/>
        </w:rPr>
      </w:pPr>
    </w:p>
    <w:p w14:paraId="32CE2BAF" w14:textId="2A6EA5C1" w:rsidR="009A3ACA" w:rsidRDefault="009A3ACA">
      <w:pPr>
        <w:spacing w:line="304" w:lineRule="exact"/>
        <w:rPr>
          <w:rFonts w:eastAsia="Times New Roman"/>
        </w:rPr>
      </w:pPr>
    </w:p>
    <w:p w14:paraId="71D99408" w14:textId="4310FC94" w:rsidR="009A3ACA" w:rsidRDefault="009A3ACA">
      <w:pPr>
        <w:spacing w:line="304" w:lineRule="exact"/>
        <w:rPr>
          <w:rFonts w:eastAsia="Times New Roman"/>
        </w:rPr>
      </w:pPr>
    </w:p>
    <w:p w14:paraId="7DB69566" w14:textId="608E6FE0" w:rsidR="009A3ACA" w:rsidRDefault="009A3ACA">
      <w:pPr>
        <w:spacing w:line="304" w:lineRule="exact"/>
        <w:rPr>
          <w:rFonts w:eastAsia="Times New Roman"/>
        </w:rPr>
      </w:pPr>
    </w:p>
    <w:p w14:paraId="5366CE19" w14:textId="29FD7A3D" w:rsidR="009A3ACA" w:rsidRDefault="009A3ACA">
      <w:pPr>
        <w:spacing w:line="304" w:lineRule="exact"/>
        <w:rPr>
          <w:rFonts w:eastAsia="Times New Roman"/>
        </w:rPr>
      </w:pPr>
    </w:p>
    <w:p w14:paraId="7C4731E0" w14:textId="77777777" w:rsidR="009A3ACA" w:rsidRDefault="009A3ACA">
      <w:pPr>
        <w:spacing w:line="304" w:lineRule="exact"/>
        <w:rPr>
          <w:rFonts w:eastAsia="Times New Roman"/>
        </w:rPr>
      </w:pPr>
    </w:p>
    <w:p w14:paraId="131F2772" w14:textId="1A5A7FF2" w:rsidR="00B87F62" w:rsidRDefault="00572BA3" w:rsidP="00654C17">
      <w:pPr>
        <w:pStyle w:val="Nagwek1"/>
        <w:jc w:val="center"/>
      </w:pPr>
      <w:bookmarkStart w:id="133" w:name="_Toc141963929"/>
      <w:r>
        <w:lastRenderedPageBreak/>
        <w:t>SŁOWNIK SKRÓTÓW I DEFINICJI</w:t>
      </w:r>
      <w:bookmarkEnd w:id="133"/>
    </w:p>
    <w:p w14:paraId="7B7E742E" w14:textId="77777777" w:rsidR="00B87F62" w:rsidRDefault="00B87F62">
      <w:pPr>
        <w:spacing w:line="200" w:lineRule="exact"/>
        <w:rPr>
          <w:rFonts w:eastAsia="Times New Roman"/>
        </w:rPr>
      </w:pPr>
    </w:p>
    <w:p w14:paraId="71700DF2" w14:textId="77777777" w:rsidR="00572BA3" w:rsidRDefault="00572BA3" w:rsidP="00417E18">
      <w:pPr>
        <w:spacing w:line="234" w:lineRule="auto"/>
        <w:ind w:right="80"/>
        <w:jc w:val="both"/>
        <w:rPr>
          <w:rFonts w:eastAsia="Times New Roman"/>
        </w:rPr>
      </w:pPr>
      <w:bookmarkStart w:id="134" w:name="page188"/>
      <w:bookmarkEnd w:id="134"/>
      <w:r>
        <w:rPr>
          <w:rFonts w:eastAsia="Times New Roman"/>
        </w:rPr>
        <w:t>Na potrzeby niniejszej I</w:t>
      </w:r>
      <w:r w:rsidR="00417E18">
        <w:rPr>
          <w:rFonts w:eastAsia="Times New Roman"/>
        </w:rPr>
        <w:t>RiESD</w:t>
      </w:r>
      <w:r>
        <w:rPr>
          <w:rFonts w:eastAsia="Times New Roman"/>
        </w:rPr>
        <w:t xml:space="preserve"> następujące oznaczenia skrótów i definicje stosowanych pojęć.</w:t>
      </w:r>
    </w:p>
    <w:p w14:paraId="72D3F8D8" w14:textId="77777777" w:rsidR="00572BA3" w:rsidRDefault="00572BA3">
      <w:pPr>
        <w:spacing w:line="200" w:lineRule="exact"/>
        <w:rPr>
          <w:rFonts w:eastAsia="Times New Roman"/>
        </w:rPr>
      </w:pPr>
    </w:p>
    <w:p w14:paraId="48FE6117" w14:textId="77777777" w:rsidR="00572BA3" w:rsidRDefault="00572BA3">
      <w:pPr>
        <w:spacing w:line="202" w:lineRule="exact"/>
        <w:rPr>
          <w:rFonts w:eastAsia="Times New Roman"/>
        </w:rPr>
      </w:pPr>
    </w:p>
    <w:p w14:paraId="61DF9B7A" w14:textId="77777777" w:rsidR="00572BA3" w:rsidRDefault="00572BA3">
      <w:pPr>
        <w:pStyle w:val="Nagwek2"/>
        <w:numPr>
          <w:ilvl w:val="3"/>
          <w:numId w:val="186"/>
        </w:numPr>
        <w:ind w:left="284" w:hanging="284"/>
      </w:pPr>
      <w:bookmarkStart w:id="135" w:name="_Toc141963930"/>
      <w:r>
        <w:t>OZNACZENIA SKRÓTÓW</w:t>
      </w:r>
      <w:bookmarkEnd w:id="135"/>
    </w:p>
    <w:p w14:paraId="5A5C7547" w14:textId="77777777" w:rsidR="00572BA3" w:rsidRDefault="00572BA3">
      <w:pPr>
        <w:tabs>
          <w:tab w:val="left" w:pos="720"/>
        </w:tabs>
        <w:spacing w:line="0" w:lineRule="atLeast"/>
        <w:ind w:left="720" w:hanging="361"/>
        <w:rPr>
          <w:rFonts w:eastAsia="Times New Roman"/>
          <w:b/>
        </w:rPr>
      </w:pPr>
    </w:p>
    <w:p w14:paraId="280C1C75" w14:textId="77777777" w:rsidR="00DA083F" w:rsidRDefault="00DA083F">
      <w:pPr>
        <w:tabs>
          <w:tab w:val="left" w:pos="720"/>
        </w:tabs>
        <w:spacing w:line="0" w:lineRule="atLeast"/>
        <w:ind w:left="720" w:hanging="361"/>
        <w:rPr>
          <w:rFonts w:eastAsia="Times New Roman"/>
          <w:b/>
        </w:rPr>
      </w:pPr>
    </w:p>
    <w:tbl>
      <w:tblPr>
        <w:tblW w:w="9286" w:type="dxa"/>
        <w:tblInd w:w="-72" w:type="dxa"/>
        <w:tblLayout w:type="fixed"/>
        <w:tblCellMar>
          <w:left w:w="70" w:type="dxa"/>
          <w:right w:w="70" w:type="dxa"/>
        </w:tblCellMar>
        <w:tblLook w:val="0000" w:firstRow="0" w:lastRow="0" w:firstColumn="0" w:lastColumn="0" w:noHBand="0" w:noVBand="0"/>
      </w:tblPr>
      <w:tblGrid>
        <w:gridCol w:w="1582"/>
        <w:gridCol w:w="1679"/>
        <w:gridCol w:w="6025"/>
      </w:tblGrid>
      <w:tr w:rsidR="004F2E8B" w:rsidRPr="009F21BD" w14:paraId="48E413B0" w14:textId="77777777" w:rsidTr="00A71C9D">
        <w:tc>
          <w:tcPr>
            <w:tcW w:w="1582" w:type="dxa"/>
          </w:tcPr>
          <w:p w14:paraId="73AC6B0D" w14:textId="77777777" w:rsidR="004F2E8B" w:rsidRPr="009F21BD" w:rsidRDefault="004F2E8B" w:rsidP="00F5641B">
            <w:pPr>
              <w:spacing w:line="276" w:lineRule="auto"/>
              <w:ind w:left="-48"/>
              <w:rPr>
                <w:b/>
                <w:bCs/>
              </w:rPr>
            </w:pPr>
            <w:r>
              <w:rPr>
                <w:b/>
                <w:bCs/>
              </w:rPr>
              <w:t>BPKD</w:t>
            </w:r>
          </w:p>
        </w:tc>
        <w:tc>
          <w:tcPr>
            <w:tcW w:w="7704" w:type="dxa"/>
            <w:gridSpan w:val="2"/>
          </w:tcPr>
          <w:p w14:paraId="1582758B" w14:textId="54D77EBB" w:rsidR="004F2E8B" w:rsidRPr="00BB31C5" w:rsidRDefault="004F2E8B" w:rsidP="00CF0EFE">
            <w:pPr>
              <w:spacing w:line="0" w:lineRule="atLeast"/>
              <w:ind w:right="2"/>
              <w:jc w:val="both"/>
              <w:rPr>
                <w:rFonts w:cs="Times New Roman"/>
                <w:szCs w:val="24"/>
              </w:rPr>
            </w:pPr>
            <w:r w:rsidRPr="00BB31C5">
              <w:rPr>
                <w:rFonts w:cs="Times New Roman"/>
                <w:szCs w:val="24"/>
              </w:rPr>
              <w:t xml:space="preserve">Bieżący plan koordynacyjny dobowy </w:t>
            </w:r>
          </w:p>
        </w:tc>
      </w:tr>
      <w:tr w:rsidR="00011216" w:rsidRPr="009F21BD" w14:paraId="0A2ED589" w14:textId="77777777" w:rsidTr="00A71C9D">
        <w:tc>
          <w:tcPr>
            <w:tcW w:w="1582" w:type="dxa"/>
          </w:tcPr>
          <w:p w14:paraId="2FC56669" w14:textId="7F3BC0BB" w:rsidR="00011216" w:rsidRDefault="00011216" w:rsidP="00F5641B">
            <w:pPr>
              <w:spacing w:line="276" w:lineRule="auto"/>
              <w:ind w:left="-48"/>
              <w:rPr>
                <w:b/>
                <w:bCs/>
              </w:rPr>
            </w:pPr>
            <w:r>
              <w:rPr>
                <w:b/>
                <w:bCs/>
              </w:rPr>
              <w:t>CSIRE</w:t>
            </w:r>
          </w:p>
        </w:tc>
        <w:tc>
          <w:tcPr>
            <w:tcW w:w="7704" w:type="dxa"/>
            <w:gridSpan w:val="2"/>
          </w:tcPr>
          <w:p w14:paraId="42F69E97" w14:textId="54A41EF8" w:rsidR="00011216" w:rsidRPr="00BB31C5" w:rsidRDefault="00011216" w:rsidP="00CF0EFE">
            <w:pPr>
              <w:spacing w:line="0" w:lineRule="atLeast"/>
              <w:ind w:right="2"/>
              <w:jc w:val="both"/>
              <w:rPr>
                <w:rFonts w:cs="Times New Roman"/>
                <w:szCs w:val="24"/>
              </w:rPr>
            </w:pPr>
            <w:r>
              <w:rPr>
                <w:rFonts w:cs="Times New Roman"/>
                <w:szCs w:val="24"/>
              </w:rPr>
              <w:t>Centralny system informacji rynku energii</w:t>
            </w:r>
          </w:p>
        </w:tc>
      </w:tr>
      <w:tr w:rsidR="00DA083F" w:rsidRPr="009F21BD" w14:paraId="527FBD75" w14:textId="77777777" w:rsidTr="00A71C9D">
        <w:tc>
          <w:tcPr>
            <w:tcW w:w="1582" w:type="dxa"/>
          </w:tcPr>
          <w:p w14:paraId="70D417A2" w14:textId="77777777" w:rsidR="00DA083F" w:rsidRPr="009F21BD" w:rsidRDefault="00DA083F" w:rsidP="00F5641B">
            <w:pPr>
              <w:spacing w:line="276" w:lineRule="auto"/>
              <w:ind w:left="-48"/>
              <w:rPr>
                <w:b/>
                <w:bCs/>
              </w:rPr>
            </w:pPr>
            <w:r w:rsidRPr="009F21BD">
              <w:rPr>
                <w:b/>
                <w:bCs/>
              </w:rPr>
              <w:t>EAZ</w:t>
            </w:r>
          </w:p>
        </w:tc>
        <w:tc>
          <w:tcPr>
            <w:tcW w:w="7704" w:type="dxa"/>
            <w:gridSpan w:val="2"/>
          </w:tcPr>
          <w:p w14:paraId="139B93BF" w14:textId="77777777" w:rsidR="00DA083F" w:rsidRPr="009F21BD" w:rsidRDefault="00DA083F" w:rsidP="00F5641B">
            <w:pPr>
              <w:spacing w:line="276" w:lineRule="auto"/>
            </w:pPr>
            <w:r w:rsidRPr="009F21BD">
              <w:t>Elektroenergetyczna automatyka zabezpieczeniowa</w:t>
            </w:r>
          </w:p>
        </w:tc>
      </w:tr>
      <w:tr w:rsidR="0020636C" w:rsidRPr="009F21BD" w14:paraId="6D39FEC1" w14:textId="77777777" w:rsidTr="00A71C9D">
        <w:tc>
          <w:tcPr>
            <w:tcW w:w="1582" w:type="dxa"/>
          </w:tcPr>
          <w:p w14:paraId="776472FA" w14:textId="69728E7F" w:rsidR="0020636C" w:rsidRPr="009F21BD" w:rsidRDefault="0020636C" w:rsidP="00F5641B">
            <w:pPr>
              <w:spacing w:line="276" w:lineRule="auto"/>
              <w:ind w:left="-48"/>
              <w:rPr>
                <w:b/>
                <w:bCs/>
              </w:rPr>
            </w:pPr>
            <w:r>
              <w:rPr>
                <w:b/>
                <w:bCs/>
              </w:rPr>
              <w:t>EIC</w:t>
            </w:r>
          </w:p>
        </w:tc>
        <w:tc>
          <w:tcPr>
            <w:tcW w:w="7704" w:type="dxa"/>
            <w:gridSpan w:val="2"/>
          </w:tcPr>
          <w:p w14:paraId="639BDB54" w14:textId="3EDC0A7E" w:rsidR="0020636C" w:rsidRPr="009F21BD" w:rsidRDefault="0020636C" w:rsidP="00F5641B">
            <w:pPr>
              <w:spacing w:line="276" w:lineRule="auto"/>
            </w:pPr>
            <w:r>
              <w:t>Schemat kodowania identyfikacji na rynku energii (Energy Identification Coding Scheme)</w:t>
            </w:r>
          </w:p>
        </w:tc>
      </w:tr>
      <w:tr w:rsidR="00DA083F" w:rsidRPr="009F21BD" w14:paraId="0E7BDE1D" w14:textId="77777777" w:rsidTr="00A71C9D">
        <w:tc>
          <w:tcPr>
            <w:tcW w:w="1582" w:type="dxa"/>
          </w:tcPr>
          <w:p w14:paraId="09941EC1" w14:textId="77777777" w:rsidR="00DA083F" w:rsidRDefault="00DA083F" w:rsidP="00F5641B">
            <w:pPr>
              <w:spacing w:line="276" w:lineRule="auto"/>
              <w:ind w:left="-48"/>
              <w:rPr>
                <w:b/>
                <w:bCs/>
              </w:rPr>
            </w:pPr>
            <w:r w:rsidRPr="009F21BD">
              <w:rPr>
                <w:b/>
                <w:bCs/>
              </w:rPr>
              <w:t>FPP</w:t>
            </w:r>
          </w:p>
          <w:p w14:paraId="126C7F26" w14:textId="77777777" w:rsidR="00FA6B40" w:rsidRPr="009F21BD" w:rsidRDefault="00FA6B40" w:rsidP="00F5641B">
            <w:pPr>
              <w:spacing w:line="276" w:lineRule="auto"/>
              <w:ind w:left="-48"/>
              <w:rPr>
                <w:b/>
                <w:bCs/>
              </w:rPr>
            </w:pPr>
            <w:r>
              <w:rPr>
                <w:b/>
                <w:bCs/>
              </w:rPr>
              <w:t>GPO</w:t>
            </w:r>
          </w:p>
        </w:tc>
        <w:tc>
          <w:tcPr>
            <w:tcW w:w="7704" w:type="dxa"/>
            <w:gridSpan w:val="2"/>
          </w:tcPr>
          <w:p w14:paraId="67568EA6" w14:textId="77777777" w:rsidR="00DA083F" w:rsidRDefault="00DA083F" w:rsidP="00F5641B">
            <w:pPr>
              <w:spacing w:line="276" w:lineRule="auto"/>
            </w:pPr>
            <w:r w:rsidRPr="009F21BD">
              <w:t>Fizyczny Punkt Pomiarowy</w:t>
            </w:r>
          </w:p>
          <w:p w14:paraId="7EAB58D5" w14:textId="77777777" w:rsidR="00FA6B40" w:rsidRPr="009F21BD" w:rsidRDefault="00FA6B40" w:rsidP="00F5641B">
            <w:pPr>
              <w:spacing w:line="276" w:lineRule="auto"/>
            </w:pPr>
            <w:r>
              <w:t>Główny punkt odbioru energii</w:t>
            </w:r>
          </w:p>
        </w:tc>
      </w:tr>
      <w:tr w:rsidR="00DA083F" w:rsidRPr="009F21BD" w14:paraId="63FE0A7D" w14:textId="77777777" w:rsidTr="00A71C9D">
        <w:tc>
          <w:tcPr>
            <w:tcW w:w="1582" w:type="dxa"/>
          </w:tcPr>
          <w:p w14:paraId="4104C664" w14:textId="77777777" w:rsidR="00DA083F" w:rsidRPr="009F21BD" w:rsidRDefault="00DA083F" w:rsidP="00F5641B">
            <w:pPr>
              <w:spacing w:line="276" w:lineRule="auto"/>
              <w:ind w:left="-48"/>
              <w:rPr>
                <w:b/>
                <w:bCs/>
              </w:rPr>
            </w:pPr>
            <w:r w:rsidRPr="009F21BD">
              <w:rPr>
                <w:b/>
                <w:bCs/>
              </w:rPr>
              <w:t>GUD</w:t>
            </w:r>
          </w:p>
        </w:tc>
        <w:tc>
          <w:tcPr>
            <w:tcW w:w="7704" w:type="dxa"/>
            <w:gridSpan w:val="2"/>
          </w:tcPr>
          <w:p w14:paraId="6F3BCB95" w14:textId="77777777" w:rsidR="00DA083F" w:rsidRPr="009F21BD" w:rsidRDefault="00DA083F" w:rsidP="00F5641B">
            <w:pPr>
              <w:spacing w:line="276" w:lineRule="auto"/>
            </w:pPr>
            <w:r w:rsidRPr="009F21BD">
              <w:t xml:space="preserve">Generalna Umowa Dystrybucji </w:t>
            </w:r>
          </w:p>
        </w:tc>
      </w:tr>
      <w:tr w:rsidR="00DA083F" w:rsidRPr="009F21BD" w14:paraId="1D66763A" w14:textId="77777777" w:rsidTr="00A71C9D">
        <w:tc>
          <w:tcPr>
            <w:tcW w:w="1582" w:type="dxa"/>
          </w:tcPr>
          <w:p w14:paraId="23E544E3" w14:textId="77777777" w:rsidR="00DA083F" w:rsidRPr="009F21BD" w:rsidRDefault="00DA083F" w:rsidP="00F5641B">
            <w:pPr>
              <w:spacing w:line="276" w:lineRule="auto"/>
              <w:ind w:left="-48"/>
              <w:rPr>
                <w:b/>
                <w:bCs/>
              </w:rPr>
            </w:pPr>
            <w:r w:rsidRPr="009F21BD">
              <w:rPr>
                <w:b/>
                <w:bCs/>
              </w:rPr>
              <w:t>IRiESD</w:t>
            </w:r>
          </w:p>
        </w:tc>
        <w:tc>
          <w:tcPr>
            <w:tcW w:w="7704" w:type="dxa"/>
            <w:gridSpan w:val="2"/>
          </w:tcPr>
          <w:p w14:paraId="2D908C63" w14:textId="77777777" w:rsidR="00DA083F" w:rsidRPr="009F21BD" w:rsidRDefault="00DA083F" w:rsidP="00F5641B">
            <w:pPr>
              <w:spacing w:line="276" w:lineRule="auto"/>
            </w:pPr>
            <w:r w:rsidRPr="009F21BD">
              <w:t>Instrukcja ruchu i eksploatacji sieci dystrybucyjnej (całość)</w:t>
            </w:r>
          </w:p>
        </w:tc>
      </w:tr>
      <w:tr w:rsidR="00DA083F" w:rsidRPr="009F21BD" w14:paraId="1F1CE97B" w14:textId="77777777" w:rsidTr="00A71C9D">
        <w:tc>
          <w:tcPr>
            <w:tcW w:w="1582" w:type="dxa"/>
          </w:tcPr>
          <w:p w14:paraId="7ED254C0" w14:textId="77777777" w:rsidR="00DA083F" w:rsidRPr="009F21BD" w:rsidRDefault="00DA083F" w:rsidP="00F5641B">
            <w:pPr>
              <w:spacing w:line="276" w:lineRule="auto"/>
              <w:ind w:left="-48"/>
              <w:rPr>
                <w:b/>
                <w:bCs/>
              </w:rPr>
            </w:pPr>
            <w:r w:rsidRPr="009F21BD">
              <w:rPr>
                <w:b/>
                <w:bCs/>
              </w:rPr>
              <w:t>IRiESD –</w:t>
            </w:r>
          </w:p>
          <w:p w14:paraId="660A471A" w14:textId="77777777" w:rsidR="00DA083F" w:rsidRPr="009F21BD" w:rsidRDefault="00DA083F" w:rsidP="00F5641B">
            <w:pPr>
              <w:spacing w:line="276" w:lineRule="auto"/>
              <w:ind w:left="-48"/>
              <w:rPr>
                <w:b/>
                <w:bCs/>
              </w:rPr>
            </w:pPr>
            <w:r w:rsidRPr="009F21BD">
              <w:rPr>
                <w:b/>
                <w:bCs/>
              </w:rPr>
              <w:t>Bilansowanie</w:t>
            </w:r>
          </w:p>
        </w:tc>
        <w:tc>
          <w:tcPr>
            <w:tcW w:w="7704" w:type="dxa"/>
            <w:gridSpan w:val="2"/>
          </w:tcPr>
          <w:p w14:paraId="3356AC4E" w14:textId="77777777" w:rsidR="00DA083F" w:rsidRPr="009F21BD" w:rsidRDefault="00DA083F" w:rsidP="00F5641B">
            <w:pPr>
              <w:spacing w:line="276" w:lineRule="auto"/>
            </w:pPr>
            <w:r w:rsidRPr="009F21BD">
              <w:t>Instrukcja ruchu i eksploatacji sieci dystrybucyjnej - bilansowanie systemu dystrybucyjnego i zarządzanie ograniczeniami systemowymi</w:t>
            </w:r>
          </w:p>
        </w:tc>
      </w:tr>
      <w:tr w:rsidR="00DA083F" w:rsidRPr="009F21BD" w14:paraId="5E003E1C" w14:textId="77777777" w:rsidTr="00A71C9D">
        <w:tc>
          <w:tcPr>
            <w:tcW w:w="1582" w:type="dxa"/>
          </w:tcPr>
          <w:p w14:paraId="3335CF8D" w14:textId="77777777" w:rsidR="00DA083F" w:rsidRPr="009F21BD" w:rsidRDefault="00DA083F" w:rsidP="00F5641B">
            <w:pPr>
              <w:spacing w:line="276" w:lineRule="auto"/>
              <w:ind w:left="-48"/>
              <w:rPr>
                <w:b/>
                <w:bCs/>
              </w:rPr>
            </w:pPr>
            <w:r w:rsidRPr="009F21BD">
              <w:rPr>
                <w:b/>
                <w:bCs/>
              </w:rPr>
              <w:t>IRiESD –</w:t>
            </w:r>
          </w:p>
          <w:p w14:paraId="32683315" w14:textId="77777777" w:rsidR="00DA083F" w:rsidRPr="009F21BD" w:rsidRDefault="00DA083F" w:rsidP="00F5641B">
            <w:pPr>
              <w:spacing w:line="276" w:lineRule="auto"/>
              <w:ind w:left="-48"/>
              <w:rPr>
                <w:b/>
                <w:bCs/>
              </w:rPr>
            </w:pPr>
            <w:r w:rsidRPr="009F21BD">
              <w:rPr>
                <w:b/>
                <w:bCs/>
              </w:rPr>
              <w:t>Korzystanie</w:t>
            </w:r>
          </w:p>
        </w:tc>
        <w:tc>
          <w:tcPr>
            <w:tcW w:w="7704" w:type="dxa"/>
            <w:gridSpan w:val="2"/>
          </w:tcPr>
          <w:p w14:paraId="627C84D1" w14:textId="77777777" w:rsidR="00DA083F" w:rsidRPr="009F21BD" w:rsidRDefault="00DA083F" w:rsidP="00F5641B">
            <w:pPr>
              <w:spacing w:line="276" w:lineRule="auto"/>
            </w:pPr>
            <w:r w:rsidRPr="009F21BD">
              <w:t>Instrukcja ruchu i eksploatacji sieci dystrybucyjnej – część szczegółowa: warunki korzystania, prowadzenia ruchu, eksploatacji i planowania rozwoju sieci</w:t>
            </w:r>
          </w:p>
        </w:tc>
      </w:tr>
      <w:tr w:rsidR="00DA083F" w:rsidRPr="009F21BD" w14:paraId="5B45DC8C" w14:textId="77777777" w:rsidTr="00A71C9D">
        <w:tc>
          <w:tcPr>
            <w:tcW w:w="1582" w:type="dxa"/>
          </w:tcPr>
          <w:p w14:paraId="4A5B9F7F" w14:textId="77777777" w:rsidR="00DA083F" w:rsidRPr="009F21BD" w:rsidRDefault="00DA083F" w:rsidP="00F5641B">
            <w:pPr>
              <w:spacing w:line="276" w:lineRule="auto"/>
              <w:ind w:left="-48"/>
              <w:rPr>
                <w:b/>
                <w:bCs/>
              </w:rPr>
            </w:pPr>
            <w:r w:rsidRPr="009F21BD">
              <w:rPr>
                <w:b/>
                <w:bCs/>
              </w:rPr>
              <w:t>IRiESP</w:t>
            </w:r>
          </w:p>
        </w:tc>
        <w:tc>
          <w:tcPr>
            <w:tcW w:w="7704" w:type="dxa"/>
            <w:gridSpan w:val="2"/>
          </w:tcPr>
          <w:p w14:paraId="3802B77C" w14:textId="77777777" w:rsidR="00DA083F" w:rsidRPr="009F21BD" w:rsidRDefault="00DA083F" w:rsidP="00F5641B">
            <w:pPr>
              <w:spacing w:line="276" w:lineRule="auto"/>
            </w:pPr>
            <w:r w:rsidRPr="009F21BD">
              <w:t>Instrukcja ruchu i eksploatacji sieci przesyłowej (całość)</w:t>
            </w:r>
          </w:p>
        </w:tc>
      </w:tr>
      <w:tr w:rsidR="00B737DD" w:rsidRPr="009F21BD" w14:paraId="738ACA0B" w14:textId="77777777" w:rsidTr="00A71C9D">
        <w:tc>
          <w:tcPr>
            <w:tcW w:w="1582" w:type="dxa"/>
          </w:tcPr>
          <w:p w14:paraId="2BFFCBEB" w14:textId="187BF9FD" w:rsidR="00B737DD" w:rsidRPr="009F21BD" w:rsidRDefault="00B737DD" w:rsidP="00F5641B">
            <w:pPr>
              <w:spacing w:line="276" w:lineRule="auto"/>
              <w:ind w:left="-48"/>
              <w:rPr>
                <w:b/>
                <w:bCs/>
              </w:rPr>
            </w:pPr>
            <w:r>
              <w:rPr>
                <w:b/>
                <w:bCs/>
              </w:rPr>
              <w:t>IRiESP-OIRE</w:t>
            </w:r>
          </w:p>
        </w:tc>
        <w:tc>
          <w:tcPr>
            <w:tcW w:w="7704" w:type="dxa"/>
            <w:gridSpan w:val="2"/>
          </w:tcPr>
          <w:p w14:paraId="0F3EB3F7" w14:textId="62CED0C3" w:rsidR="00B737DD" w:rsidRPr="009F21BD" w:rsidRDefault="00B737DD" w:rsidP="00B737DD">
            <w:pPr>
              <w:jc w:val="both"/>
            </w:pPr>
            <w:r w:rsidRPr="00B737DD">
              <w:rPr>
                <w:color w:val="000000" w:themeColor="text1"/>
                <w:w w:val="105"/>
              </w:rPr>
              <w:t>Instrukcja Ruchu i Eksploatacji Sieci Przesyłowej część „Sposób funkcjonowania Centralnego systemu informacji rynku energii oraz współpracy</w:t>
            </w:r>
            <w:r w:rsidRPr="00B737DD">
              <w:rPr>
                <w:color w:val="000000" w:themeColor="text1"/>
                <w:w w:val="105"/>
              </w:rPr>
              <w:tab/>
              <w:t>Operatora</w:t>
            </w:r>
            <w:r w:rsidRPr="00B737DD">
              <w:rPr>
                <w:color w:val="000000" w:themeColor="text1"/>
                <w:w w:val="105"/>
              </w:rPr>
              <w:tab/>
              <w:t>systemu</w:t>
            </w:r>
            <w:r w:rsidRPr="00B737DD">
              <w:rPr>
                <w:color w:val="000000" w:themeColor="text1"/>
                <w:w w:val="105"/>
              </w:rPr>
              <w:tab/>
              <w:t>przesyłowego elektroenergetycznego,</w:t>
            </w:r>
            <w:r w:rsidRPr="00B737DD">
              <w:rPr>
                <w:color w:val="000000" w:themeColor="text1"/>
                <w:spacing w:val="-24"/>
                <w:w w:val="105"/>
              </w:rPr>
              <w:t xml:space="preserve"> </w:t>
            </w:r>
            <w:r w:rsidRPr="00B737DD">
              <w:rPr>
                <w:color w:val="000000" w:themeColor="text1"/>
                <w:w w:val="105"/>
              </w:rPr>
              <w:t>działającego</w:t>
            </w:r>
            <w:r w:rsidRPr="00B737DD">
              <w:rPr>
                <w:color w:val="000000" w:themeColor="text1"/>
                <w:spacing w:val="-14"/>
                <w:w w:val="105"/>
              </w:rPr>
              <w:t xml:space="preserve"> </w:t>
            </w:r>
            <w:r w:rsidRPr="00B737DD">
              <w:rPr>
                <w:color w:val="000000" w:themeColor="text1"/>
                <w:w w:val="105"/>
              </w:rPr>
              <w:t>jako</w:t>
            </w:r>
            <w:r w:rsidRPr="00B737DD">
              <w:rPr>
                <w:color w:val="000000" w:themeColor="text1"/>
                <w:spacing w:val="-23"/>
                <w:w w:val="105"/>
              </w:rPr>
              <w:t xml:space="preserve"> </w:t>
            </w:r>
            <w:r w:rsidRPr="00B737DD">
              <w:rPr>
                <w:color w:val="000000" w:themeColor="text1"/>
                <w:w w:val="105"/>
              </w:rPr>
              <w:t>Operator</w:t>
            </w:r>
            <w:r w:rsidRPr="00B737DD">
              <w:rPr>
                <w:color w:val="000000" w:themeColor="text1"/>
                <w:spacing w:val="-14"/>
                <w:w w:val="105"/>
              </w:rPr>
              <w:t xml:space="preserve"> </w:t>
            </w:r>
            <w:r w:rsidRPr="00B737DD">
              <w:rPr>
                <w:color w:val="000000" w:themeColor="text1"/>
                <w:w w:val="105"/>
              </w:rPr>
              <w:t>informacji</w:t>
            </w:r>
            <w:r w:rsidRPr="00B737DD">
              <w:rPr>
                <w:color w:val="000000" w:themeColor="text1"/>
                <w:spacing w:val="-6"/>
                <w:w w:val="105"/>
              </w:rPr>
              <w:t xml:space="preserve"> </w:t>
            </w:r>
            <w:r w:rsidRPr="00B737DD">
              <w:rPr>
                <w:color w:val="000000" w:themeColor="text1"/>
                <w:w w:val="105"/>
              </w:rPr>
              <w:t>rynku energii, z Użytkownikami systemu elektroenergetycznego i innymi podmiotami zobowiązanymi lub uprawionymi do korzystania z Centralnego systemu informacji rynku</w:t>
            </w:r>
            <w:r w:rsidRPr="00B737DD">
              <w:rPr>
                <w:color w:val="000000" w:themeColor="text1"/>
                <w:spacing w:val="8"/>
                <w:w w:val="105"/>
              </w:rPr>
              <w:t xml:space="preserve"> </w:t>
            </w:r>
            <w:r w:rsidRPr="00B737DD">
              <w:rPr>
                <w:color w:val="000000" w:themeColor="text1"/>
                <w:w w:val="105"/>
              </w:rPr>
              <w:t>energii</w:t>
            </w:r>
            <w:r>
              <w:rPr>
                <w:color w:val="000000" w:themeColor="text1"/>
                <w:w w:val="105"/>
              </w:rPr>
              <w:t>.</w:t>
            </w:r>
          </w:p>
        </w:tc>
      </w:tr>
      <w:tr w:rsidR="00DA083F" w:rsidRPr="009F21BD" w14:paraId="5C4D60F1" w14:textId="77777777" w:rsidTr="00A71C9D">
        <w:tc>
          <w:tcPr>
            <w:tcW w:w="1582" w:type="dxa"/>
          </w:tcPr>
          <w:p w14:paraId="222AD229" w14:textId="77777777" w:rsidR="00DA083F" w:rsidRPr="009F21BD" w:rsidRDefault="00DA083F" w:rsidP="00F5641B">
            <w:pPr>
              <w:spacing w:line="276" w:lineRule="auto"/>
              <w:ind w:left="-48"/>
              <w:rPr>
                <w:b/>
                <w:bCs/>
              </w:rPr>
            </w:pPr>
            <w:r w:rsidRPr="009F21BD">
              <w:rPr>
                <w:b/>
                <w:bCs/>
              </w:rPr>
              <w:t>IWR</w:t>
            </w:r>
          </w:p>
        </w:tc>
        <w:tc>
          <w:tcPr>
            <w:tcW w:w="7704" w:type="dxa"/>
            <w:gridSpan w:val="2"/>
          </w:tcPr>
          <w:p w14:paraId="5FCD2691" w14:textId="77777777" w:rsidR="00DA083F" w:rsidRPr="009F21BD" w:rsidRDefault="00DA083F" w:rsidP="00F5641B">
            <w:pPr>
              <w:spacing w:line="276" w:lineRule="auto"/>
            </w:pPr>
            <w:r w:rsidRPr="009F21BD">
              <w:t>Instrukcja współpracy ruchowej</w:t>
            </w:r>
          </w:p>
        </w:tc>
      </w:tr>
      <w:tr w:rsidR="00DA083F" w:rsidRPr="009F21BD" w14:paraId="3630B3EC" w14:textId="77777777" w:rsidTr="00A71C9D">
        <w:tc>
          <w:tcPr>
            <w:tcW w:w="1582" w:type="dxa"/>
          </w:tcPr>
          <w:p w14:paraId="1F8CD658" w14:textId="77777777" w:rsidR="00DA083F" w:rsidRPr="009F21BD" w:rsidRDefault="00DA083F" w:rsidP="00F5641B">
            <w:pPr>
              <w:spacing w:line="276" w:lineRule="auto"/>
              <w:ind w:left="-48"/>
              <w:rPr>
                <w:b/>
                <w:bCs/>
              </w:rPr>
            </w:pPr>
            <w:r w:rsidRPr="009F21BD">
              <w:rPr>
                <w:b/>
                <w:bCs/>
              </w:rPr>
              <w:t>JG</w:t>
            </w:r>
          </w:p>
        </w:tc>
        <w:tc>
          <w:tcPr>
            <w:tcW w:w="7704" w:type="dxa"/>
            <w:gridSpan w:val="2"/>
          </w:tcPr>
          <w:p w14:paraId="7907AACF" w14:textId="77777777" w:rsidR="00DA083F" w:rsidRPr="009F21BD" w:rsidRDefault="00DA083F" w:rsidP="0012733E">
            <w:pPr>
              <w:spacing w:line="276" w:lineRule="auto"/>
              <w:jc w:val="both"/>
            </w:pPr>
            <w:r w:rsidRPr="009F21BD">
              <w:t>Jednostka Grafikowa</w:t>
            </w:r>
          </w:p>
        </w:tc>
      </w:tr>
      <w:tr w:rsidR="00DA083F" w:rsidRPr="009F21BD" w14:paraId="43938DC9" w14:textId="77777777" w:rsidTr="00A71C9D">
        <w:tc>
          <w:tcPr>
            <w:tcW w:w="1582" w:type="dxa"/>
          </w:tcPr>
          <w:p w14:paraId="05732DCB" w14:textId="77777777" w:rsidR="00DA083F" w:rsidRPr="009F21BD" w:rsidRDefault="00DA083F" w:rsidP="00F5641B">
            <w:pPr>
              <w:spacing w:line="276" w:lineRule="auto"/>
              <w:ind w:left="-48"/>
              <w:rPr>
                <w:b/>
                <w:bCs/>
              </w:rPr>
            </w:pPr>
            <w:r w:rsidRPr="009F21BD">
              <w:rPr>
                <w:b/>
                <w:bCs/>
              </w:rPr>
              <w:t>JWCD</w:t>
            </w:r>
          </w:p>
        </w:tc>
        <w:tc>
          <w:tcPr>
            <w:tcW w:w="7704" w:type="dxa"/>
            <w:gridSpan w:val="2"/>
          </w:tcPr>
          <w:p w14:paraId="2EB07C0B" w14:textId="53E4E4AE" w:rsidR="00DA083F" w:rsidRPr="00BC63A8" w:rsidRDefault="00BC63A8" w:rsidP="0012733E">
            <w:pPr>
              <w:spacing w:line="276" w:lineRule="auto"/>
              <w:jc w:val="both"/>
              <w:rPr>
                <w:rFonts w:cs="Times New Roman"/>
              </w:rPr>
            </w:pPr>
            <w:r w:rsidRPr="00BC63A8">
              <w:rPr>
                <w:rFonts w:cs="Times New Roman"/>
              </w:rPr>
              <w:t>Jednostka wytwórcza centralnie dysponowana</w:t>
            </w:r>
          </w:p>
        </w:tc>
      </w:tr>
      <w:tr w:rsidR="00DA083F" w:rsidRPr="009F21BD" w14:paraId="0C704C0E" w14:textId="77777777" w:rsidTr="00A71C9D">
        <w:tc>
          <w:tcPr>
            <w:tcW w:w="1582" w:type="dxa"/>
          </w:tcPr>
          <w:p w14:paraId="0EB31F0E" w14:textId="77777777" w:rsidR="00DA083F" w:rsidRPr="009F21BD" w:rsidRDefault="00DA083F" w:rsidP="00F5641B">
            <w:pPr>
              <w:spacing w:line="276" w:lineRule="auto"/>
              <w:ind w:left="-48"/>
              <w:rPr>
                <w:b/>
                <w:bCs/>
              </w:rPr>
            </w:pPr>
            <w:r w:rsidRPr="009F21BD">
              <w:rPr>
                <w:b/>
                <w:bCs/>
              </w:rPr>
              <w:t>JWCK</w:t>
            </w:r>
          </w:p>
        </w:tc>
        <w:tc>
          <w:tcPr>
            <w:tcW w:w="7704" w:type="dxa"/>
            <w:gridSpan w:val="2"/>
          </w:tcPr>
          <w:p w14:paraId="08BB170F" w14:textId="77777777" w:rsidR="00DA083F" w:rsidRPr="00BC63A8" w:rsidRDefault="00DA083F" w:rsidP="00F5641B">
            <w:pPr>
              <w:spacing w:line="276" w:lineRule="auto"/>
              <w:rPr>
                <w:rFonts w:cs="Times New Roman"/>
              </w:rPr>
            </w:pPr>
            <w:r w:rsidRPr="00BC63A8">
              <w:rPr>
                <w:rFonts w:cs="Times New Roman"/>
              </w:rPr>
              <w:t>Jednostka wytwórcza centralnie koordynowana – jednostka wytwórcza, której praca podlega koordynacji przez OSP.</w:t>
            </w:r>
          </w:p>
        </w:tc>
      </w:tr>
      <w:tr w:rsidR="00DA083F" w:rsidRPr="009F21BD" w14:paraId="6CA79CC0" w14:textId="77777777" w:rsidTr="00A71C9D">
        <w:tc>
          <w:tcPr>
            <w:tcW w:w="1582" w:type="dxa"/>
          </w:tcPr>
          <w:p w14:paraId="4B227201" w14:textId="77777777" w:rsidR="00DA083F" w:rsidRDefault="00DA083F" w:rsidP="00F5641B">
            <w:pPr>
              <w:spacing w:line="276" w:lineRule="auto"/>
              <w:ind w:left="-48"/>
              <w:rPr>
                <w:b/>
                <w:bCs/>
              </w:rPr>
            </w:pPr>
            <w:r w:rsidRPr="009F21BD">
              <w:rPr>
                <w:b/>
                <w:bCs/>
              </w:rPr>
              <w:t>KSE</w:t>
            </w:r>
          </w:p>
          <w:p w14:paraId="037C5DB1" w14:textId="77777777" w:rsidR="00F92D7C" w:rsidRPr="009F21BD" w:rsidRDefault="00FA6B40" w:rsidP="00F5641B">
            <w:pPr>
              <w:spacing w:line="276" w:lineRule="auto"/>
              <w:ind w:left="-48"/>
              <w:rPr>
                <w:b/>
                <w:bCs/>
              </w:rPr>
            </w:pPr>
            <w:r>
              <w:rPr>
                <w:b/>
                <w:bCs/>
              </w:rPr>
              <w:t>LRW</w:t>
            </w:r>
          </w:p>
        </w:tc>
        <w:tc>
          <w:tcPr>
            <w:tcW w:w="7704" w:type="dxa"/>
            <w:gridSpan w:val="2"/>
          </w:tcPr>
          <w:p w14:paraId="55231429" w14:textId="77777777" w:rsidR="00DA083F" w:rsidRDefault="00DA083F" w:rsidP="00F5641B">
            <w:pPr>
              <w:spacing w:line="276" w:lineRule="auto"/>
            </w:pPr>
            <w:r w:rsidRPr="009F21BD">
              <w:t>Krajowy system elektroenergetyczny</w:t>
            </w:r>
          </w:p>
          <w:p w14:paraId="3DC93FF6" w14:textId="77777777" w:rsidR="00F92D7C" w:rsidRPr="009F21BD" w:rsidRDefault="00FA6B40" w:rsidP="00F5641B">
            <w:pPr>
              <w:spacing w:line="276" w:lineRule="auto"/>
            </w:pPr>
            <w:r>
              <w:t>Lokalna rezerwa wyłącznikowa</w:t>
            </w:r>
          </w:p>
        </w:tc>
      </w:tr>
      <w:tr w:rsidR="00DA083F" w:rsidRPr="009F21BD" w14:paraId="6BBE4D9A" w14:textId="77777777" w:rsidTr="00A71C9D">
        <w:tc>
          <w:tcPr>
            <w:tcW w:w="1582" w:type="dxa"/>
          </w:tcPr>
          <w:p w14:paraId="75357087" w14:textId="77777777" w:rsidR="00DA083F" w:rsidRPr="009F21BD" w:rsidRDefault="00DA083F" w:rsidP="00F5641B">
            <w:pPr>
              <w:spacing w:line="276" w:lineRule="auto"/>
              <w:ind w:left="-48"/>
              <w:rPr>
                <w:b/>
                <w:bCs/>
              </w:rPr>
            </w:pPr>
            <w:r w:rsidRPr="009F21BD">
              <w:rPr>
                <w:b/>
                <w:bCs/>
              </w:rPr>
              <w:t>LSPR</w:t>
            </w:r>
          </w:p>
        </w:tc>
        <w:tc>
          <w:tcPr>
            <w:tcW w:w="7704" w:type="dxa"/>
            <w:gridSpan w:val="2"/>
          </w:tcPr>
          <w:p w14:paraId="1E2AD1C6" w14:textId="77777777" w:rsidR="00DA083F" w:rsidRPr="009F21BD" w:rsidRDefault="00DA083F" w:rsidP="00F5641B">
            <w:pPr>
              <w:spacing w:line="276" w:lineRule="auto"/>
            </w:pPr>
            <w:r w:rsidRPr="009F21BD">
              <w:t>Lokalny System Pomiarowo Rozliczeniowy</w:t>
            </w:r>
          </w:p>
        </w:tc>
      </w:tr>
      <w:tr w:rsidR="00691F6C" w:rsidRPr="009F21BD" w14:paraId="2292BAC0" w14:textId="77777777" w:rsidTr="00A71C9D">
        <w:tc>
          <w:tcPr>
            <w:tcW w:w="1582" w:type="dxa"/>
          </w:tcPr>
          <w:p w14:paraId="55518597" w14:textId="01CE8FB9" w:rsidR="00691F6C" w:rsidRPr="009F21BD" w:rsidRDefault="00691F6C" w:rsidP="00691F6C">
            <w:pPr>
              <w:spacing w:line="276" w:lineRule="auto"/>
              <w:ind w:left="-48"/>
              <w:jc w:val="both"/>
              <w:rPr>
                <w:b/>
                <w:bCs/>
              </w:rPr>
            </w:pPr>
            <w:r>
              <w:rPr>
                <w:b/>
                <w:bCs/>
              </w:rPr>
              <w:t>LZO</w:t>
            </w:r>
          </w:p>
        </w:tc>
        <w:tc>
          <w:tcPr>
            <w:tcW w:w="7704" w:type="dxa"/>
            <w:gridSpan w:val="2"/>
          </w:tcPr>
          <w:p w14:paraId="337ECD32" w14:textId="7DA13970" w:rsidR="00691F6C" w:rsidRPr="009F21BD" w:rsidRDefault="00691F6C" w:rsidP="00F5641B">
            <w:pPr>
              <w:spacing w:line="276" w:lineRule="auto"/>
            </w:pPr>
            <w:r>
              <w:t>Licznik zdalnego odczytu</w:t>
            </w:r>
          </w:p>
        </w:tc>
      </w:tr>
      <w:tr w:rsidR="00DA083F" w:rsidRPr="009F21BD" w14:paraId="2B18BCB2" w14:textId="77777777" w:rsidTr="00A71C9D">
        <w:tc>
          <w:tcPr>
            <w:tcW w:w="1582" w:type="dxa"/>
          </w:tcPr>
          <w:p w14:paraId="7EB40161" w14:textId="77777777" w:rsidR="00DA083F" w:rsidRPr="009F21BD" w:rsidRDefault="00DA083F" w:rsidP="00F5641B">
            <w:pPr>
              <w:spacing w:line="276" w:lineRule="auto"/>
              <w:ind w:left="-48"/>
              <w:rPr>
                <w:b/>
                <w:bCs/>
              </w:rPr>
            </w:pPr>
            <w:r w:rsidRPr="009F21BD">
              <w:rPr>
                <w:b/>
                <w:bCs/>
              </w:rPr>
              <w:t>MB</w:t>
            </w:r>
          </w:p>
        </w:tc>
        <w:tc>
          <w:tcPr>
            <w:tcW w:w="7704" w:type="dxa"/>
            <w:gridSpan w:val="2"/>
          </w:tcPr>
          <w:p w14:paraId="5AA5F0EE" w14:textId="77777777" w:rsidR="00DA083F" w:rsidRPr="009F21BD" w:rsidRDefault="00DA083F" w:rsidP="00F5641B">
            <w:pPr>
              <w:spacing w:line="276" w:lineRule="auto"/>
            </w:pPr>
            <w:r w:rsidRPr="009F21BD">
              <w:t>Miejsce Dostarczania Energii elektrycznej Rynku Bilansującego</w:t>
            </w:r>
          </w:p>
        </w:tc>
      </w:tr>
      <w:tr w:rsidR="006D4D06" w:rsidRPr="005E451F" w14:paraId="2BDE9D44" w14:textId="77777777" w:rsidTr="00A71C9D">
        <w:tc>
          <w:tcPr>
            <w:tcW w:w="1582" w:type="dxa"/>
          </w:tcPr>
          <w:p w14:paraId="2D4D1109" w14:textId="3567D70E" w:rsidR="006D4D06" w:rsidRPr="005E451F" w:rsidRDefault="005E451F" w:rsidP="00F5641B">
            <w:pPr>
              <w:spacing w:line="276" w:lineRule="auto"/>
              <w:ind w:left="-48"/>
              <w:rPr>
                <w:rFonts w:cs="Times New Roman"/>
                <w:b/>
                <w:bCs/>
                <w:szCs w:val="24"/>
              </w:rPr>
            </w:pPr>
            <w:r w:rsidRPr="005E451F">
              <w:rPr>
                <w:rFonts w:cs="Times New Roman"/>
                <w:b/>
                <w:bCs/>
                <w:szCs w:val="24"/>
              </w:rPr>
              <w:t>MB</w:t>
            </w:r>
            <w:r w:rsidRPr="005E451F">
              <w:rPr>
                <w:rFonts w:cs="Times New Roman"/>
                <w:b/>
                <w:bCs/>
                <w:szCs w:val="24"/>
                <w:vertAlign w:val="subscript"/>
              </w:rPr>
              <w:t>AW</w:t>
            </w:r>
          </w:p>
        </w:tc>
        <w:tc>
          <w:tcPr>
            <w:tcW w:w="7704" w:type="dxa"/>
            <w:gridSpan w:val="2"/>
          </w:tcPr>
          <w:p w14:paraId="00933ED8" w14:textId="0D6DB836" w:rsidR="006D4D06" w:rsidRPr="005E451F" w:rsidRDefault="005E451F" w:rsidP="0069768B">
            <w:pPr>
              <w:tabs>
                <w:tab w:val="left" w:pos="1843"/>
              </w:tabs>
              <w:spacing w:before="120"/>
              <w:ind w:right="72" w:hanging="24"/>
              <w:jc w:val="both"/>
              <w:rPr>
                <w:rFonts w:cs="Times New Roman"/>
                <w:szCs w:val="24"/>
              </w:rPr>
            </w:pPr>
            <w:r w:rsidRPr="005E451F">
              <w:rPr>
                <w:rFonts w:cs="Times New Roman"/>
                <w:szCs w:val="24"/>
              </w:rPr>
              <w:t>Miejsce Dostarczania Energii Elektrycznej Rynku Bilansującego, poprzez które jest reprezentowany zbiór PDE, należących do URD, reprezentujących jednostki wytwórcze inne niż: farmy wiatrowe, źródła fotowoltaiczne, jednostki wytwórcze elektrowni szczytowo-pompowych, aktywnie uczestniczące w Rynku Bilansującym</w:t>
            </w:r>
            <w:r w:rsidR="00F21D3C">
              <w:rPr>
                <w:rFonts w:cs="Times New Roman"/>
                <w:szCs w:val="24"/>
              </w:rPr>
              <w:t>.</w:t>
            </w:r>
          </w:p>
        </w:tc>
      </w:tr>
      <w:tr w:rsidR="0069768B" w:rsidRPr="005E451F" w14:paraId="659138C2" w14:textId="77777777" w:rsidTr="00A71C9D">
        <w:tc>
          <w:tcPr>
            <w:tcW w:w="1582" w:type="dxa"/>
          </w:tcPr>
          <w:p w14:paraId="55223112" w14:textId="0F3B6177" w:rsidR="0069768B" w:rsidRPr="00AD789D" w:rsidRDefault="0069768B" w:rsidP="00F5641B">
            <w:pPr>
              <w:spacing w:line="276" w:lineRule="auto"/>
              <w:ind w:left="-48"/>
              <w:rPr>
                <w:rFonts w:cs="Times New Roman"/>
                <w:b/>
                <w:bCs/>
                <w:szCs w:val="24"/>
              </w:rPr>
            </w:pPr>
            <w:r w:rsidRPr="00AD789D">
              <w:rPr>
                <w:rFonts w:cs="Times New Roman"/>
                <w:b/>
                <w:bCs/>
                <w:szCs w:val="24"/>
              </w:rPr>
              <w:lastRenderedPageBreak/>
              <w:t>MB</w:t>
            </w:r>
            <w:r w:rsidRPr="00AD789D">
              <w:rPr>
                <w:rFonts w:cs="Times New Roman"/>
                <w:b/>
                <w:bCs/>
                <w:szCs w:val="24"/>
                <w:vertAlign w:val="subscript"/>
              </w:rPr>
              <w:t>AFW</w:t>
            </w:r>
          </w:p>
        </w:tc>
        <w:tc>
          <w:tcPr>
            <w:tcW w:w="7704" w:type="dxa"/>
            <w:gridSpan w:val="2"/>
          </w:tcPr>
          <w:p w14:paraId="1BC166CB" w14:textId="675420A5" w:rsidR="0069768B" w:rsidRPr="00AD789D" w:rsidRDefault="0069768B" w:rsidP="0069768B">
            <w:pPr>
              <w:tabs>
                <w:tab w:val="left" w:pos="1843"/>
              </w:tabs>
              <w:ind w:right="74" w:hanging="23"/>
              <w:jc w:val="both"/>
              <w:rPr>
                <w:rFonts w:cs="Times New Roman"/>
                <w:szCs w:val="24"/>
              </w:rPr>
            </w:pPr>
            <w:r w:rsidRPr="00AD789D">
              <w:rPr>
                <w:rFonts w:cs="Times New Roman"/>
                <w:szCs w:val="24"/>
              </w:rPr>
              <w:t>Miejsce Dostarczania Energii Elektrycznej Rynku Bilansującego, poprzez które jest reprezentowany zbiór PDE, należących do URD, reprezentujących farmy wiatrowe, aktywnie uczestniczące w Rynku Bilansującym</w:t>
            </w:r>
          </w:p>
        </w:tc>
      </w:tr>
      <w:tr w:rsidR="00AD789D" w:rsidRPr="005E451F" w14:paraId="57A70EE4" w14:textId="77777777" w:rsidTr="00A71C9D">
        <w:tc>
          <w:tcPr>
            <w:tcW w:w="1582" w:type="dxa"/>
          </w:tcPr>
          <w:p w14:paraId="79964A95" w14:textId="4FF6569A" w:rsidR="00AD789D" w:rsidRPr="00AD789D" w:rsidRDefault="00AD789D" w:rsidP="00F5641B">
            <w:pPr>
              <w:spacing w:line="276" w:lineRule="auto"/>
              <w:ind w:left="-48"/>
              <w:rPr>
                <w:rFonts w:cs="Times New Roman"/>
                <w:b/>
                <w:bCs/>
                <w:szCs w:val="24"/>
              </w:rPr>
            </w:pPr>
            <w:r w:rsidRPr="00AD789D">
              <w:rPr>
                <w:rFonts w:cs="Times New Roman"/>
                <w:b/>
                <w:bCs/>
                <w:szCs w:val="24"/>
              </w:rPr>
              <w:t>MB</w:t>
            </w:r>
            <w:r w:rsidRPr="00AD789D">
              <w:rPr>
                <w:rFonts w:cs="Times New Roman"/>
                <w:b/>
                <w:bCs/>
                <w:szCs w:val="24"/>
                <w:vertAlign w:val="subscript"/>
              </w:rPr>
              <w:t>AO</w:t>
            </w:r>
          </w:p>
        </w:tc>
        <w:tc>
          <w:tcPr>
            <w:tcW w:w="7704" w:type="dxa"/>
            <w:gridSpan w:val="2"/>
          </w:tcPr>
          <w:p w14:paraId="15B83A73" w14:textId="116A7968" w:rsidR="00AD789D" w:rsidRPr="00AD789D" w:rsidRDefault="00AD789D" w:rsidP="0069768B">
            <w:pPr>
              <w:tabs>
                <w:tab w:val="left" w:pos="1843"/>
              </w:tabs>
              <w:ind w:right="74" w:hanging="23"/>
              <w:jc w:val="both"/>
              <w:rPr>
                <w:rFonts w:cs="Times New Roman"/>
                <w:szCs w:val="24"/>
              </w:rPr>
            </w:pPr>
            <w:r w:rsidRPr="00AD789D">
              <w:rPr>
                <w:rFonts w:cs="Times New Roman"/>
                <w:szCs w:val="24"/>
              </w:rPr>
              <w:t>Miejsce Dostarczania Energii Elektrycznej Rynku Bilansującego, poprzez które jest reprezentowany zbiór PDE, należących do URD, reprezentujących sterowane odbiory energii, aktywnie uczestniczące w Rynku Bilansującym</w:t>
            </w:r>
          </w:p>
        </w:tc>
      </w:tr>
      <w:tr w:rsidR="00AD789D" w:rsidRPr="005E451F" w14:paraId="24CD4C35" w14:textId="77777777" w:rsidTr="00A71C9D">
        <w:tc>
          <w:tcPr>
            <w:tcW w:w="1582" w:type="dxa"/>
          </w:tcPr>
          <w:p w14:paraId="10ED049F" w14:textId="7B07C92C" w:rsidR="00AD789D" w:rsidRPr="00AD789D" w:rsidRDefault="00AD789D" w:rsidP="00F5641B">
            <w:pPr>
              <w:spacing w:line="276" w:lineRule="auto"/>
              <w:ind w:left="-48"/>
              <w:rPr>
                <w:rFonts w:cs="Times New Roman"/>
                <w:b/>
                <w:bCs/>
                <w:szCs w:val="24"/>
              </w:rPr>
            </w:pPr>
            <w:r w:rsidRPr="00AD789D">
              <w:rPr>
                <w:rFonts w:cs="Times New Roman"/>
                <w:b/>
                <w:bCs/>
                <w:szCs w:val="24"/>
              </w:rPr>
              <w:t>MB</w:t>
            </w:r>
            <w:r w:rsidRPr="00AD789D">
              <w:rPr>
                <w:rFonts w:cs="Times New Roman"/>
                <w:b/>
                <w:bCs/>
                <w:szCs w:val="24"/>
                <w:vertAlign w:val="subscript"/>
              </w:rPr>
              <w:t>AM</w:t>
            </w:r>
          </w:p>
        </w:tc>
        <w:tc>
          <w:tcPr>
            <w:tcW w:w="7704" w:type="dxa"/>
            <w:gridSpan w:val="2"/>
          </w:tcPr>
          <w:p w14:paraId="6FD6F6F7" w14:textId="20836C5C" w:rsidR="00AD789D" w:rsidRPr="00AD789D" w:rsidRDefault="00AD789D" w:rsidP="0069768B">
            <w:pPr>
              <w:tabs>
                <w:tab w:val="left" w:pos="1843"/>
              </w:tabs>
              <w:ind w:right="74" w:hanging="23"/>
              <w:jc w:val="both"/>
              <w:rPr>
                <w:rFonts w:cs="Times New Roman"/>
                <w:szCs w:val="24"/>
              </w:rPr>
            </w:pPr>
            <w:r w:rsidRPr="00AD789D">
              <w:rPr>
                <w:rFonts w:cs="Times New Roman"/>
                <w:szCs w:val="24"/>
              </w:rPr>
              <w:t>Miejsce Dostarczania Energii Elektrycznej Rynku Bilansującego, poprzez które jest reprezentowany zbiór PDE, należących do URD, reprezentujących jednostki wytwórcze elektrowni szczytowo-pompowych albo magazyny energii elektrycznej, aktywnie uczestniczące w Rynku Bilansującym</w:t>
            </w:r>
          </w:p>
        </w:tc>
      </w:tr>
      <w:tr w:rsidR="00AD789D" w:rsidRPr="005E451F" w14:paraId="78DE6732" w14:textId="77777777" w:rsidTr="00A71C9D">
        <w:tc>
          <w:tcPr>
            <w:tcW w:w="1582" w:type="dxa"/>
          </w:tcPr>
          <w:p w14:paraId="462F3F8C" w14:textId="651E79CB" w:rsidR="00AD789D" w:rsidRPr="00AD789D" w:rsidRDefault="00AD789D" w:rsidP="00F5641B">
            <w:pPr>
              <w:spacing w:line="276" w:lineRule="auto"/>
              <w:ind w:left="-48"/>
              <w:rPr>
                <w:rFonts w:cs="Times New Roman"/>
                <w:b/>
                <w:bCs/>
                <w:szCs w:val="24"/>
              </w:rPr>
            </w:pPr>
            <w:r w:rsidRPr="00AD789D">
              <w:rPr>
                <w:rFonts w:cs="Times New Roman"/>
                <w:b/>
                <w:bCs/>
                <w:szCs w:val="24"/>
              </w:rPr>
              <w:t>MB</w:t>
            </w:r>
            <w:r w:rsidRPr="00AD789D">
              <w:rPr>
                <w:rFonts w:cs="Times New Roman"/>
                <w:b/>
                <w:bCs/>
                <w:szCs w:val="24"/>
                <w:vertAlign w:val="subscript"/>
              </w:rPr>
              <w:t>APV</w:t>
            </w:r>
            <w:r w:rsidRPr="00AD789D">
              <w:rPr>
                <w:rFonts w:cs="Times New Roman"/>
                <w:b/>
                <w:bCs/>
                <w:szCs w:val="24"/>
              </w:rPr>
              <w:tab/>
            </w:r>
          </w:p>
        </w:tc>
        <w:tc>
          <w:tcPr>
            <w:tcW w:w="7704" w:type="dxa"/>
            <w:gridSpan w:val="2"/>
          </w:tcPr>
          <w:p w14:paraId="1DA5B35B" w14:textId="4DAB4334" w:rsidR="00AD789D" w:rsidRPr="00AD789D" w:rsidRDefault="00AD789D" w:rsidP="0069768B">
            <w:pPr>
              <w:tabs>
                <w:tab w:val="left" w:pos="1843"/>
              </w:tabs>
              <w:ind w:right="74" w:hanging="23"/>
              <w:jc w:val="both"/>
              <w:rPr>
                <w:rFonts w:cs="Times New Roman"/>
                <w:szCs w:val="24"/>
              </w:rPr>
            </w:pPr>
            <w:r w:rsidRPr="00AD789D">
              <w:rPr>
                <w:rFonts w:cs="Times New Roman"/>
                <w:szCs w:val="24"/>
              </w:rPr>
              <w:t>Miejsce Dostarczania Energii Elektrycznej Rynku Bilansującego, poprzez które jest reprezentowany zbiór PDE, należących do URD, reprezentujących źródła fotowoltaiczne aktywnie uczestniczące w Rynku Bilansującym</w:t>
            </w:r>
          </w:p>
        </w:tc>
      </w:tr>
      <w:tr w:rsidR="00DA083F" w:rsidRPr="009F21BD" w14:paraId="235EFFE4" w14:textId="77777777" w:rsidTr="00A71C9D">
        <w:tc>
          <w:tcPr>
            <w:tcW w:w="1582" w:type="dxa"/>
          </w:tcPr>
          <w:p w14:paraId="6F0BB128" w14:textId="77777777" w:rsidR="00DA083F" w:rsidRPr="009F21BD" w:rsidRDefault="00DA083F" w:rsidP="00F5641B">
            <w:pPr>
              <w:pStyle w:val="styl0"/>
              <w:spacing w:line="276" w:lineRule="auto"/>
              <w:rPr>
                <w:b/>
              </w:rPr>
            </w:pPr>
            <w:r w:rsidRPr="009F21BD">
              <w:rPr>
                <w:b/>
                <w:vertAlign w:val="subscript"/>
              </w:rPr>
              <w:t>FD</w:t>
            </w:r>
            <w:r w:rsidRPr="009F21BD">
              <w:rPr>
                <w:b/>
              </w:rPr>
              <w:t>MB</w:t>
            </w:r>
          </w:p>
        </w:tc>
        <w:tc>
          <w:tcPr>
            <w:tcW w:w="7704" w:type="dxa"/>
            <w:gridSpan w:val="2"/>
          </w:tcPr>
          <w:p w14:paraId="2E984A16" w14:textId="77777777" w:rsidR="00DA083F" w:rsidRPr="009F21BD" w:rsidRDefault="00DA083F" w:rsidP="00F5641B">
            <w:pPr>
              <w:autoSpaceDE w:val="0"/>
              <w:autoSpaceDN w:val="0"/>
              <w:adjustRightInd w:val="0"/>
              <w:spacing w:line="276" w:lineRule="auto"/>
            </w:pPr>
            <w:r w:rsidRPr="009F21BD">
              <w:t>Fizyczne Miejsce Dostarczania Energii Elektrycznej Rynku Bilansującego</w:t>
            </w:r>
          </w:p>
        </w:tc>
      </w:tr>
      <w:tr w:rsidR="00DA083F" w:rsidRPr="009F21BD" w14:paraId="581C9544" w14:textId="77777777" w:rsidTr="00A71C9D">
        <w:tc>
          <w:tcPr>
            <w:tcW w:w="1582" w:type="dxa"/>
          </w:tcPr>
          <w:p w14:paraId="0E8B95C3" w14:textId="77777777" w:rsidR="00DA083F" w:rsidRPr="009F21BD" w:rsidRDefault="00DA083F" w:rsidP="00F5641B">
            <w:pPr>
              <w:spacing w:line="276" w:lineRule="auto"/>
              <w:ind w:left="-48"/>
              <w:rPr>
                <w:b/>
                <w:bCs/>
              </w:rPr>
            </w:pPr>
            <w:r w:rsidRPr="009F21BD">
              <w:rPr>
                <w:b/>
                <w:bCs/>
              </w:rPr>
              <w:t>MD</w:t>
            </w:r>
          </w:p>
        </w:tc>
        <w:tc>
          <w:tcPr>
            <w:tcW w:w="7704" w:type="dxa"/>
            <w:gridSpan w:val="2"/>
          </w:tcPr>
          <w:p w14:paraId="1BFD1BB4" w14:textId="77777777" w:rsidR="00DA083F" w:rsidRPr="009F21BD" w:rsidRDefault="00DA083F" w:rsidP="00F5641B">
            <w:pPr>
              <w:spacing w:line="276" w:lineRule="auto"/>
            </w:pPr>
            <w:r w:rsidRPr="009F21BD">
              <w:t>Miejsce Dostarczania Energii elektrycznej</w:t>
            </w:r>
          </w:p>
        </w:tc>
      </w:tr>
      <w:tr w:rsidR="00DA083F" w:rsidRPr="009F21BD" w14:paraId="2D894BAD" w14:textId="77777777" w:rsidTr="00A71C9D">
        <w:tc>
          <w:tcPr>
            <w:tcW w:w="1582" w:type="dxa"/>
          </w:tcPr>
          <w:p w14:paraId="5B97397A" w14:textId="77777777" w:rsidR="00DA083F" w:rsidRPr="009F21BD" w:rsidRDefault="00DA083F" w:rsidP="00F5641B">
            <w:pPr>
              <w:spacing w:line="276" w:lineRule="auto"/>
              <w:ind w:left="-48"/>
              <w:rPr>
                <w:b/>
                <w:bCs/>
              </w:rPr>
            </w:pPr>
            <w:r w:rsidRPr="009F21BD">
              <w:rPr>
                <w:b/>
                <w:bCs/>
              </w:rPr>
              <w:t>MDD</w:t>
            </w:r>
          </w:p>
        </w:tc>
        <w:tc>
          <w:tcPr>
            <w:tcW w:w="7704" w:type="dxa"/>
            <w:gridSpan w:val="2"/>
          </w:tcPr>
          <w:p w14:paraId="5384ED1D" w14:textId="77777777" w:rsidR="00DA083F" w:rsidRPr="009F21BD" w:rsidRDefault="00DA083F" w:rsidP="00F5641B">
            <w:pPr>
              <w:spacing w:line="276" w:lineRule="auto"/>
            </w:pPr>
            <w:r w:rsidRPr="009F21BD">
              <w:t>Miejsce Dostarczania Energii Rynku Detalicznego</w:t>
            </w:r>
          </w:p>
        </w:tc>
      </w:tr>
      <w:tr w:rsidR="00DA083F" w:rsidRPr="009F21BD" w14:paraId="2A0FF54A" w14:textId="77777777" w:rsidTr="00A71C9D">
        <w:tc>
          <w:tcPr>
            <w:tcW w:w="1582" w:type="dxa"/>
          </w:tcPr>
          <w:p w14:paraId="0728F309" w14:textId="77777777" w:rsidR="00DA083F" w:rsidRPr="009F21BD" w:rsidRDefault="00DA083F" w:rsidP="00F5641B">
            <w:pPr>
              <w:spacing w:line="276" w:lineRule="auto"/>
              <w:ind w:left="-48"/>
              <w:rPr>
                <w:b/>
                <w:bCs/>
              </w:rPr>
            </w:pPr>
            <w:r w:rsidRPr="009F21BD">
              <w:rPr>
                <w:b/>
                <w:bCs/>
              </w:rPr>
              <w:t>nN</w:t>
            </w:r>
          </w:p>
        </w:tc>
        <w:tc>
          <w:tcPr>
            <w:tcW w:w="7704" w:type="dxa"/>
            <w:gridSpan w:val="2"/>
          </w:tcPr>
          <w:p w14:paraId="490042D0" w14:textId="77777777" w:rsidR="00DA083F" w:rsidRPr="009F21BD" w:rsidRDefault="00DA083F" w:rsidP="00F5641B">
            <w:pPr>
              <w:spacing w:line="276" w:lineRule="auto"/>
            </w:pPr>
            <w:r w:rsidRPr="009F21BD">
              <w:t>Napięcie niskie</w:t>
            </w:r>
          </w:p>
        </w:tc>
      </w:tr>
      <w:tr w:rsidR="00DA083F" w:rsidRPr="009F21BD" w14:paraId="40AC653D" w14:textId="77777777" w:rsidTr="00A71C9D">
        <w:tc>
          <w:tcPr>
            <w:tcW w:w="1582" w:type="dxa"/>
          </w:tcPr>
          <w:p w14:paraId="4141D58D" w14:textId="77777777" w:rsidR="00DA083F" w:rsidRPr="009F21BD" w:rsidRDefault="00DA083F" w:rsidP="00F5641B">
            <w:pPr>
              <w:spacing w:line="276" w:lineRule="auto"/>
              <w:ind w:left="-48"/>
              <w:rPr>
                <w:b/>
                <w:bCs/>
              </w:rPr>
            </w:pPr>
            <w:r w:rsidRPr="009F21BD">
              <w:rPr>
                <w:b/>
                <w:bCs/>
              </w:rPr>
              <w:t>OH</w:t>
            </w:r>
          </w:p>
        </w:tc>
        <w:tc>
          <w:tcPr>
            <w:tcW w:w="7704" w:type="dxa"/>
            <w:gridSpan w:val="2"/>
          </w:tcPr>
          <w:p w14:paraId="15AA4882" w14:textId="77777777" w:rsidR="00DA083F" w:rsidRPr="009F21BD" w:rsidRDefault="00DA083F" w:rsidP="00F5641B">
            <w:pPr>
              <w:spacing w:line="276" w:lineRule="auto"/>
            </w:pPr>
            <w:r w:rsidRPr="009F21BD">
              <w:t>Operator handlowy</w:t>
            </w:r>
          </w:p>
        </w:tc>
      </w:tr>
      <w:tr w:rsidR="00DA083F" w:rsidRPr="009F21BD" w14:paraId="23785474" w14:textId="77777777" w:rsidTr="00A71C9D">
        <w:tc>
          <w:tcPr>
            <w:tcW w:w="1582" w:type="dxa"/>
          </w:tcPr>
          <w:p w14:paraId="30B4AFF9" w14:textId="77777777" w:rsidR="00DA083F" w:rsidRPr="009F21BD" w:rsidRDefault="00DA083F" w:rsidP="00F5641B">
            <w:pPr>
              <w:spacing w:line="276" w:lineRule="auto"/>
              <w:ind w:left="-48"/>
              <w:rPr>
                <w:b/>
                <w:bCs/>
              </w:rPr>
            </w:pPr>
            <w:r w:rsidRPr="009F21BD">
              <w:rPr>
                <w:b/>
                <w:bCs/>
              </w:rPr>
              <w:t>OHT</w:t>
            </w:r>
          </w:p>
        </w:tc>
        <w:tc>
          <w:tcPr>
            <w:tcW w:w="7704" w:type="dxa"/>
            <w:gridSpan w:val="2"/>
          </w:tcPr>
          <w:p w14:paraId="1ECFC2FE" w14:textId="77777777" w:rsidR="00DA083F" w:rsidRPr="009F21BD" w:rsidRDefault="00DA083F" w:rsidP="00F5641B">
            <w:pPr>
              <w:spacing w:line="276" w:lineRule="auto"/>
            </w:pPr>
            <w:r w:rsidRPr="009F21BD">
              <w:t>Operator handlowo-techniczny</w:t>
            </w:r>
          </w:p>
        </w:tc>
      </w:tr>
      <w:tr w:rsidR="00DA083F" w:rsidRPr="009F21BD" w14:paraId="44575DCA" w14:textId="77777777" w:rsidTr="00A71C9D">
        <w:tc>
          <w:tcPr>
            <w:tcW w:w="1582" w:type="dxa"/>
            <w:shd w:val="clear" w:color="auto" w:fill="auto"/>
          </w:tcPr>
          <w:p w14:paraId="5A4CB93C" w14:textId="77777777" w:rsidR="00DA083F" w:rsidRPr="009F21BD" w:rsidRDefault="00DA083F" w:rsidP="00F5641B">
            <w:pPr>
              <w:spacing w:line="276" w:lineRule="auto"/>
              <w:ind w:left="-48"/>
              <w:rPr>
                <w:b/>
                <w:bCs/>
              </w:rPr>
            </w:pPr>
            <w:r>
              <w:rPr>
                <w:b/>
                <w:bCs/>
              </w:rPr>
              <w:t>ORed</w:t>
            </w:r>
          </w:p>
        </w:tc>
        <w:tc>
          <w:tcPr>
            <w:tcW w:w="7704" w:type="dxa"/>
            <w:gridSpan w:val="2"/>
            <w:shd w:val="clear" w:color="auto" w:fill="auto"/>
          </w:tcPr>
          <w:p w14:paraId="4C6B1D7F" w14:textId="77777777" w:rsidR="00DA083F" w:rsidRPr="009F21BD" w:rsidRDefault="00DA083F" w:rsidP="00F5641B">
            <w:pPr>
              <w:spacing w:line="276" w:lineRule="auto"/>
            </w:pPr>
            <w:r>
              <w:t>Obiekt Redukcji</w:t>
            </w:r>
          </w:p>
        </w:tc>
      </w:tr>
      <w:tr w:rsidR="00DA083F" w:rsidRPr="009F21BD" w14:paraId="170C7ECD" w14:textId="77777777" w:rsidTr="00A71C9D">
        <w:tc>
          <w:tcPr>
            <w:tcW w:w="1582" w:type="dxa"/>
          </w:tcPr>
          <w:p w14:paraId="66B5E140" w14:textId="77777777" w:rsidR="00DA083F" w:rsidRPr="009F21BD" w:rsidRDefault="00DA083F" w:rsidP="00F5641B">
            <w:pPr>
              <w:spacing w:line="276" w:lineRule="auto"/>
              <w:ind w:left="-48"/>
              <w:rPr>
                <w:b/>
                <w:bCs/>
              </w:rPr>
            </w:pPr>
            <w:r w:rsidRPr="009F21BD">
              <w:rPr>
                <w:b/>
                <w:bCs/>
              </w:rPr>
              <w:t>OSD</w:t>
            </w:r>
          </w:p>
        </w:tc>
        <w:tc>
          <w:tcPr>
            <w:tcW w:w="7704" w:type="dxa"/>
            <w:gridSpan w:val="2"/>
          </w:tcPr>
          <w:p w14:paraId="6A8F5067" w14:textId="77777777" w:rsidR="00DA083F" w:rsidRPr="009F21BD" w:rsidRDefault="00DA083F" w:rsidP="00F5641B">
            <w:pPr>
              <w:spacing w:line="276" w:lineRule="auto"/>
            </w:pPr>
            <w:r w:rsidRPr="009F21BD">
              <w:t xml:space="preserve">Operator systemu dystrybucyjnego </w:t>
            </w:r>
            <w:r w:rsidR="00BC3A40">
              <w:t>elektroenergetycznego</w:t>
            </w:r>
          </w:p>
        </w:tc>
      </w:tr>
      <w:tr w:rsidR="00DA083F" w:rsidRPr="009F21BD" w14:paraId="0CE57F7B" w14:textId="77777777" w:rsidTr="00A71C9D">
        <w:tc>
          <w:tcPr>
            <w:tcW w:w="1582" w:type="dxa"/>
          </w:tcPr>
          <w:p w14:paraId="556929DB" w14:textId="77777777" w:rsidR="00DA083F" w:rsidRPr="009F21BD" w:rsidRDefault="00DA083F" w:rsidP="00F5641B">
            <w:pPr>
              <w:spacing w:line="276" w:lineRule="auto"/>
              <w:ind w:left="-48"/>
              <w:rPr>
                <w:b/>
                <w:bCs/>
              </w:rPr>
            </w:pPr>
            <w:r w:rsidRPr="009F21BD">
              <w:rPr>
                <w:b/>
                <w:bCs/>
              </w:rPr>
              <w:t>OSDp</w:t>
            </w:r>
          </w:p>
        </w:tc>
        <w:tc>
          <w:tcPr>
            <w:tcW w:w="7704" w:type="dxa"/>
            <w:gridSpan w:val="2"/>
          </w:tcPr>
          <w:p w14:paraId="3E7796EB" w14:textId="77777777" w:rsidR="00DA083F" w:rsidRPr="009F21BD" w:rsidRDefault="00DA083F" w:rsidP="00F5641B">
            <w:pPr>
              <w:spacing w:line="276" w:lineRule="auto"/>
            </w:pPr>
            <w:r w:rsidRPr="009F21BD">
              <w:t xml:space="preserve">Operator systemu dystrybucyjnego elektroenergetycznego mający bezpośrednie połączenie z OSP </w:t>
            </w:r>
          </w:p>
        </w:tc>
      </w:tr>
      <w:tr w:rsidR="00A9381E" w:rsidRPr="009F21BD" w14:paraId="2A9A3816" w14:textId="77777777" w:rsidTr="00A71C9D">
        <w:tc>
          <w:tcPr>
            <w:tcW w:w="1582" w:type="dxa"/>
          </w:tcPr>
          <w:p w14:paraId="46B1AE94" w14:textId="6C2BEC23" w:rsidR="00A9381E" w:rsidRPr="009F21BD" w:rsidRDefault="00A9381E" w:rsidP="00F5641B">
            <w:pPr>
              <w:spacing w:line="276" w:lineRule="auto"/>
              <w:ind w:left="-48"/>
              <w:rPr>
                <w:b/>
                <w:bCs/>
              </w:rPr>
            </w:pPr>
            <w:r>
              <w:rPr>
                <w:b/>
                <w:bCs/>
              </w:rPr>
              <w:t>ODM</w:t>
            </w:r>
          </w:p>
        </w:tc>
        <w:tc>
          <w:tcPr>
            <w:tcW w:w="7704" w:type="dxa"/>
            <w:gridSpan w:val="2"/>
          </w:tcPr>
          <w:p w14:paraId="29833BCF" w14:textId="7A9049F1" w:rsidR="00A9381E" w:rsidRPr="009F21BD" w:rsidRDefault="00A9381E" w:rsidP="00F5641B">
            <w:pPr>
              <w:spacing w:line="276" w:lineRule="auto"/>
            </w:pPr>
            <w:r>
              <w:t>Obszarowa Dyspozycja Mocy</w:t>
            </w:r>
          </w:p>
        </w:tc>
      </w:tr>
      <w:tr w:rsidR="00A71C9D" w:rsidRPr="009F21BD" w14:paraId="134F469F" w14:textId="77777777" w:rsidTr="00A71C9D">
        <w:tc>
          <w:tcPr>
            <w:tcW w:w="1582" w:type="dxa"/>
          </w:tcPr>
          <w:p w14:paraId="5D40963F" w14:textId="4B4429AF" w:rsidR="00A71C9D" w:rsidRDefault="00A71C9D" w:rsidP="00F5641B">
            <w:pPr>
              <w:spacing w:line="276" w:lineRule="auto"/>
              <w:ind w:left="-48"/>
              <w:rPr>
                <w:b/>
                <w:bCs/>
              </w:rPr>
            </w:pPr>
            <w:r>
              <w:rPr>
                <w:b/>
                <w:bCs/>
              </w:rPr>
              <w:t>OIRE</w:t>
            </w:r>
          </w:p>
        </w:tc>
        <w:tc>
          <w:tcPr>
            <w:tcW w:w="7704" w:type="dxa"/>
            <w:gridSpan w:val="2"/>
          </w:tcPr>
          <w:p w14:paraId="11D0D385" w14:textId="1DD34F98" w:rsidR="00A71C9D" w:rsidRDefault="00A71C9D" w:rsidP="00F5641B">
            <w:pPr>
              <w:spacing w:line="276" w:lineRule="auto"/>
            </w:pPr>
            <w:r>
              <w:t>Operator informacji rynku energii</w:t>
            </w:r>
          </w:p>
        </w:tc>
      </w:tr>
      <w:tr w:rsidR="00DA083F" w:rsidRPr="009F21BD" w14:paraId="4B736D13" w14:textId="77777777" w:rsidTr="00A71C9D">
        <w:tc>
          <w:tcPr>
            <w:tcW w:w="1582" w:type="dxa"/>
          </w:tcPr>
          <w:p w14:paraId="5B583772" w14:textId="77777777" w:rsidR="00DA083F" w:rsidRPr="009F21BD" w:rsidRDefault="00DA083F" w:rsidP="00F5641B">
            <w:pPr>
              <w:spacing w:line="276" w:lineRule="auto"/>
              <w:ind w:left="-48"/>
              <w:rPr>
                <w:b/>
                <w:bCs/>
              </w:rPr>
            </w:pPr>
            <w:r w:rsidRPr="009F21BD">
              <w:rPr>
                <w:b/>
                <w:bCs/>
              </w:rPr>
              <w:t>OSDn</w:t>
            </w:r>
          </w:p>
        </w:tc>
        <w:tc>
          <w:tcPr>
            <w:tcW w:w="7704" w:type="dxa"/>
            <w:gridSpan w:val="2"/>
          </w:tcPr>
          <w:p w14:paraId="6253FF3B" w14:textId="77777777" w:rsidR="00DA083F" w:rsidRPr="009F21BD" w:rsidRDefault="00DA083F" w:rsidP="00F5641B">
            <w:pPr>
              <w:spacing w:line="276" w:lineRule="auto"/>
            </w:pPr>
            <w:r w:rsidRPr="009F21BD">
              <w:t>Operator systemu dystrybucyjnego elektroenergetycznego nieposiadający bezpośredniego połączenia z OSP, przyłączony do OSDp</w:t>
            </w:r>
          </w:p>
        </w:tc>
      </w:tr>
      <w:tr w:rsidR="00DA083F" w:rsidRPr="009F21BD" w14:paraId="6AA24415" w14:textId="77777777" w:rsidTr="00A71C9D">
        <w:tc>
          <w:tcPr>
            <w:tcW w:w="1582" w:type="dxa"/>
          </w:tcPr>
          <w:p w14:paraId="262C484C" w14:textId="77777777" w:rsidR="00DA083F" w:rsidRPr="009F21BD" w:rsidRDefault="00DA083F" w:rsidP="00F5641B">
            <w:pPr>
              <w:spacing w:line="276" w:lineRule="auto"/>
              <w:ind w:left="-48"/>
              <w:rPr>
                <w:b/>
                <w:bCs/>
              </w:rPr>
            </w:pPr>
            <w:r w:rsidRPr="009F21BD">
              <w:rPr>
                <w:b/>
                <w:bCs/>
              </w:rPr>
              <w:t>OSP</w:t>
            </w:r>
          </w:p>
        </w:tc>
        <w:tc>
          <w:tcPr>
            <w:tcW w:w="7704" w:type="dxa"/>
            <w:gridSpan w:val="2"/>
          </w:tcPr>
          <w:p w14:paraId="0BDE4FA6" w14:textId="77777777" w:rsidR="00DA083F" w:rsidRPr="009F21BD" w:rsidRDefault="00DA083F" w:rsidP="00F5641B">
            <w:pPr>
              <w:spacing w:line="276" w:lineRule="auto"/>
            </w:pPr>
            <w:r w:rsidRPr="009F21BD">
              <w:t>Operator systemu przesyłowego elektroenergetycznego</w:t>
            </w:r>
          </w:p>
        </w:tc>
      </w:tr>
      <w:tr w:rsidR="004B4AC2" w:rsidRPr="009F21BD" w14:paraId="2215E916" w14:textId="77777777" w:rsidTr="00A71C9D">
        <w:tc>
          <w:tcPr>
            <w:tcW w:w="1582" w:type="dxa"/>
          </w:tcPr>
          <w:p w14:paraId="4054B762" w14:textId="6E809332" w:rsidR="004B4AC2" w:rsidRPr="009F21BD" w:rsidRDefault="004B4AC2" w:rsidP="00F5641B">
            <w:pPr>
              <w:spacing w:line="276" w:lineRule="auto"/>
              <w:ind w:left="-48"/>
              <w:rPr>
                <w:b/>
                <w:bCs/>
              </w:rPr>
            </w:pPr>
            <w:r>
              <w:rPr>
                <w:b/>
                <w:bCs/>
              </w:rPr>
              <w:t>OOSŁ</w:t>
            </w:r>
          </w:p>
        </w:tc>
        <w:tc>
          <w:tcPr>
            <w:tcW w:w="7704" w:type="dxa"/>
            <w:gridSpan w:val="2"/>
          </w:tcPr>
          <w:p w14:paraId="0D0C0B30" w14:textId="114D912B" w:rsidR="004B4AC2" w:rsidRPr="004B4AC2" w:rsidRDefault="004B4AC2" w:rsidP="00F5641B">
            <w:pPr>
              <w:spacing w:line="276" w:lineRule="auto"/>
              <w:rPr>
                <w:rFonts w:cs="Times New Roman"/>
                <w:szCs w:val="24"/>
              </w:rPr>
            </w:pPr>
            <w:r w:rsidRPr="004B4AC2">
              <w:rPr>
                <w:rFonts w:cs="Times New Roman"/>
                <w:szCs w:val="24"/>
              </w:rPr>
              <w:t>Operator ogólnodostępnej stacji ładowania</w:t>
            </w:r>
          </w:p>
        </w:tc>
      </w:tr>
      <w:tr w:rsidR="00F5424A" w:rsidRPr="009F21BD" w14:paraId="72C19647" w14:textId="77777777" w:rsidTr="00A71C9D">
        <w:tc>
          <w:tcPr>
            <w:tcW w:w="1582" w:type="dxa"/>
          </w:tcPr>
          <w:p w14:paraId="6E1ABCFB" w14:textId="77777777" w:rsidR="00F5424A" w:rsidRPr="009F21BD" w:rsidRDefault="00F5424A" w:rsidP="00F5641B">
            <w:pPr>
              <w:spacing w:line="276" w:lineRule="auto"/>
              <w:ind w:left="-48"/>
              <w:rPr>
                <w:b/>
                <w:bCs/>
              </w:rPr>
            </w:pPr>
            <w:r>
              <w:rPr>
                <w:b/>
                <w:bCs/>
              </w:rPr>
              <w:t>OZE</w:t>
            </w:r>
          </w:p>
        </w:tc>
        <w:tc>
          <w:tcPr>
            <w:tcW w:w="7704" w:type="dxa"/>
            <w:gridSpan w:val="2"/>
          </w:tcPr>
          <w:p w14:paraId="12D0E3D8" w14:textId="77777777" w:rsidR="00F5424A" w:rsidRPr="009F21BD" w:rsidRDefault="00F5424A" w:rsidP="00F5641B">
            <w:pPr>
              <w:spacing w:line="276" w:lineRule="auto"/>
            </w:pPr>
            <w:r w:rsidRPr="003075DC">
              <w:rPr>
                <w:rFonts w:eastAsia="Times New Roman" w:cs="Times New Roman"/>
                <w:bCs/>
                <w:color w:val="000000"/>
                <w:szCs w:val="24"/>
              </w:rPr>
              <w:t>Odnawialne źródło energii</w:t>
            </w:r>
          </w:p>
        </w:tc>
      </w:tr>
      <w:tr w:rsidR="00DA083F" w:rsidRPr="009F21BD" w14:paraId="4977BC6B" w14:textId="77777777" w:rsidTr="00A71C9D">
        <w:tc>
          <w:tcPr>
            <w:tcW w:w="1582" w:type="dxa"/>
          </w:tcPr>
          <w:p w14:paraId="07AF2692" w14:textId="77777777" w:rsidR="00DA083F" w:rsidRPr="009F21BD" w:rsidRDefault="00DA083F" w:rsidP="00F5641B">
            <w:pPr>
              <w:spacing w:line="276" w:lineRule="auto"/>
              <w:ind w:left="-48"/>
              <w:rPr>
                <w:b/>
                <w:bCs/>
              </w:rPr>
            </w:pPr>
            <w:r w:rsidRPr="009F21BD">
              <w:rPr>
                <w:b/>
                <w:bCs/>
              </w:rPr>
              <w:t>PDE</w:t>
            </w:r>
          </w:p>
        </w:tc>
        <w:tc>
          <w:tcPr>
            <w:tcW w:w="7704" w:type="dxa"/>
            <w:gridSpan w:val="2"/>
          </w:tcPr>
          <w:p w14:paraId="65675D6B" w14:textId="77777777" w:rsidR="00DA083F" w:rsidRPr="009F21BD" w:rsidRDefault="00DA083F" w:rsidP="00F5641B">
            <w:pPr>
              <w:spacing w:line="276" w:lineRule="auto"/>
            </w:pPr>
            <w:r w:rsidRPr="009F21BD">
              <w:t>Punkt Dostarczania Energii</w:t>
            </w:r>
          </w:p>
        </w:tc>
      </w:tr>
      <w:tr w:rsidR="00DA083F" w:rsidRPr="009F21BD" w14:paraId="3225A35F" w14:textId="77777777" w:rsidTr="00A71C9D">
        <w:tc>
          <w:tcPr>
            <w:tcW w:w="1582" w:type="dxa"/>
          </w:tcPr>
          <w:p w14:paraId="118439F4" w14:textId="77777777" w:rsidR="00DA083F" w:rsidRPr="009F21BD" w:rsidRDefault="00DA083F" w:rsidP="00F5641B">
            <w:pPr>
              <w:spacing w:line="276" w:lineRule="auto"/>
              <w:ind w:left="-48"/>
              <w:rPr>
                <w:b/>
                <w:bCs/>
              </w:rPr>
            </w:pPr>
            <w:r w:rsidRPr="009F21BD">
              <w:rPr>
                <w:b/>
                <w:bCs/>
              </w:rPr>
              <w:t>POB</w:t>
            </w:r>
          </w:p>
        </w:tc>
        <w:tc>
          <w:tcPr>
            <w:tcW w:w="7704" w:type="dxa"/>
            <w:gridSpan w:val="2"/>
          </w:tcPr>
          <w:p w14:paraId="18AFFA65" w14:textId="77777777" w:rsidR="00DA083F" w:rsidRPr="009F21BD" w:rsidRDefault="00DA083F" w:rsidP="00F5641B">
            <w:pPr>
              <w:spacing w:line="276" w:lineRule="auto"/>
            </w:pPr>
            <w:r w:rsidRPr="009F21BD">
              <w:t>Podmiot odpowiedzialny za bilansowanie handlowe</w:t>
            </w:r>
          </w:p>
        </w:tc>
      </w:tr>
      <w:tr w:rsidR="004701E3" w:rsidRPr="009F21BD" w14:paraId="09039C92" w14:textId="77777777" w:rsidTr="00A71C9D">
        <w:tc>
          <w:tcPr>
            <w:tcW w:w="1582" w:type="dxa"/>
          </w:tcPr>
          <w:p w14:paraId="5C3D5F03" w14:textId="3A95BA88" w:rsidR="004701E3" w:rsidRPr="009F21BD" w:rsidRDefault="004701E3" w:rsidP="00F5641B">
            <w:pPr>
              <w:spacing w:line="276" w:lineRule="auto"/>
              <w:ind w:left="-48"/>
              <w:rPr>
                <w:b/>
                <w:bCs/>
              </w:rPr>
            </w:pPr>
            <w:r>
              <w:rPr>
                <w:b/>
                <w:bCs/>
              </w:rPr>
              <w:t>PP</w:t>
            </w:r>
          </w:p>
        </w:tc>
        <w:tc>
          <w:tcPr>
            <w:tcW w:w="7704" w:type="dxa"/>
            <w:gridSpan w:val="2"/>
          </w:tcPr>
          <w:p w14:paraId="3972ED3A" w14:textId="6094E25A" w:rsidR="004701E3" w:rsidRPr="009F21BD" w:rsidRDefault="004701E3" w:rsidP="00F5641B">
            <w:pPr>
              <w:spacing w:line="276" w:lineRule="auto"/>
            </w:pPr>
            <w:r>
              <w:t>Punkt pomiarowy</w:t>
            </w:r>
          </w:p>
        </w:tc>
      </w:tr>
      <w:tr w:rsidR="00666416" w:rsidRPr="009F21BD" w14:paraId="0B5098DF" w14:textId="77777777" w:rsidTr="00A71C9D">
        <w:tc>
          <w:tcPr>
            <w:tcW w:w="1582" w:type="dxa"/>
          </w:tcPr>
          <w:p w14:paraId="1DDE9338" w14:textId="590AB956" w:rsidR="00666416" w:rsidRDefault="00666416" w:rsidP="00F5641B">
            <w:pPr>
              <w:spacing w:line="276" w:lineRule="auto"/>
              <w:ind w:left="-48"/>
              <w:rPr>
                <w:b/>
                <w:bCs/>
              </w:rPr>
            </w:pPr>
            <w:r>
              <w:rPr>
                <w:b/>
                <w:bCs/>
              </w:rPr>
              <w:t>PPB</w:t>
            </w:r>
          </w:p>
        </w:tc>
        <w:tc>
          <w:tcPr>
            <w:tcW w:w="7704" w:type="dxa"/>
            <w:gridSpan w:val="2"/>
          </w:tcPr>
          <w:p w14:paraId="7EC29EBC" w14:textId="16979EBE" w:rsidR="00666416" w:rsidRDefault="00666416" w:rsidP="00F5641B">
            <w:pPr>
              <w:spacing w:line="276" w:lineRule="auto"/>
            </w:pPr>
            <w:r>
              <w:t>Punkt pomiarowy – licznik bilansujący</w:t>
            </w:r>
          </w:p>
        </w:tc>
      </w:tr>
      <w:tr w:rsidR="00DA083F" w:rsidRPr="009F21BD" w14:paraId="08A80F77" w14:textId="77777777" w:rsidTr="00A71C9D">
        <w:tc>
          <w:tcPr>
            <w:tcW w:w="1582" w:type="dxa"/>
          </w:tcPr>
          <w:p w14:paraId="68F95391" w14:textId="77777777" w:rsidR="00DA083F" w:rsidRPr="009F21BD" w:rsidRDefault="00DA083F" w:rsidP="00F5641B">
            <w:pPr>
              <w:spacing w:line="276" w:lineRule="auto"/>
              <w:ind w:left="-48"/>
              <w:rPr>
                <w:b/>
                <w:bCs/>
              </w:rPr>
            </w:pPr>
            <w:r w:rsidRPr="009F21BD">
              <w:rPr>
                <w:b/>
                <w:bCs/>
              </w:rPr>
              <w:t>PPE</w:t>
            </w:r>
          </w:p>
        </w:tc>
        <w:tc>
          <w:tcPr>
            <w:tcW w:w="7704" w:type="dxa"/>
            <w:gridSpan w:val="2"/>
          </w:tcPr>
          <w:p w14:paraId="4007DCA2" w14:textId="77777777" w:rsidR="00DA083F" w:rsidRPr="009F21BD" w:rsidRDefault="00DA083F" w:rsidP="00F5641B">
            <w:pPr>
              <w:spacing w:line="276" w:lineRule="auto"/>
            </w:pPr>
            <w:r w:rsidRPr="009F21BD">
              <w:t>Punkt Poboru Energii</w:t>
            </w:r>
          </w:p>
        </w:tc>
      </w:tr>
      <w:tr w:rsidR="00666416" w:rsidRPr="009F21BD" w14:paraId="3F9E414F" w14:textId="77777777" w:rsidTr="00A71C9D">
        <w:tc>
          <w:tcPr>
            <w:tcW w:w="1582" w:type="dxa"/>
          </w:tcPr>
          <w:p w14:paraId="392BAA9A" w14:textId="4F59094B" w:rsidR="00666416" w:rsidRPr="009F21BD" w:rsidRDefault="00666416" w:rsidP="00F5641B">
            <w:pPr>
              <w:spacing w:line="276" w:lineRule="auto"/>
              <w:ind w:left="-48"/>
              <w:rPr>
                <w:b/>
                <w:bCs/>
              </w:rPr>
            </w:pPr>
            <w:r>
              <w:rPr>
                <w:b/>
                <w:bCs/>
              </w:rPr>
              <w:t>PPI</w:t>
            </w:r>
          </w:p>
        </w:tc>
        <w:tc>
          <w:tcPr>
            <w:tcW w:w="7704" w:type="dxa"/>
            <w:gridSpan w:val="2"/>
          </w:tcPr>
          <w:p w14:paraId="5B3C9EA0" w14:textId="1D777861" w:rsidR="00666416" w:rsidRPr="009F21BD" w:rsidRDefault="00666416" w:rsidP="00F5641B">
            <w:pPr>
              <w:spacing w:line="276" w:lineRule="auto"/>
            </w:pPr>
            <w:r>
              <w:t>Punkt pomiarowy - inny</w:t>
            </w:r>
          </w:p>
        </w:tc>
      </w:tr>
      <w:tr w:rsidR="00666416" w:rsidRPr="009F21BD" w14:paraId="3245D728" w14:textId="77777777" w:rsidTr="00A71C9D">
        <w:tc>
          <w:tcPr>
            <w:tcW w:w="1582" w:type="dxa"/>
          </w:tcPr>
          <w:p w14:paraId="643950B9" w14:textId="620F95BB" w:rsidR="00666416" w:rsidRDefault="00666416" w:rsidP="00F5641B">
            <w:pPr>
              <w:spacing w:line="276" w:lineRule="auto"/>
              <w:ind w:left="-48"/>
              <w:rPr>
                <w:b/>
                <w:bCs/>
              </w:rPr>
            </w:pPr>
            <w:r>
              <w:rPr>
                <w:b/>
                <w:bCs/>
              </w:rPr>
              <w:t>PPW</w:t>
            </w:r>
          </w:p>
        </w:tc>
        <w:tc>
          <w:tcPr>
            <w:tcW w:w="7704" w:type="dxa"/>
            <w:gridSpan w:val="2"/>
          </w:tcPr>
          <w:p w14:paraId="05DAB45C" w14:textId="35003587" w:rsidR="00666416" w:rsidRDefault="00666416" w:rsidP="00F5641B">
            <w:pPr>
              <w:spacing w:line="276" w:lineRule="auto"/>
            </w:pPr>
            <w:r>
              <w:t>Punkt pomiarowy – punkt wymiany</w:t>
            </w:r>
          </w:p>
        </w:tc>
      </w:tr>
      <w:tr w:rsidR="004F28FB" w:rsidRPr="009F21BD" w14:paraId="074A5A90" w14:textId="77777777" w:rsidTr="00A71C9D">
        <w:tc>
          <w:tcPr>
            <w:tcW w:w="1582" w:type="dxa"/>
          </w:tcPr>
          <w:p w14:paraId="32660F30" w14:textId="77777777" w:rsidR="004F28FB" w:rsidRPr="009F21BD" w:rsidRDefault="004F28FB" w:rsidP="00F5641B">
            <w:pPr>
              <w:spacing w:line="276" w:lineRule="auto"/>
              <w:ind w:left="-48"/>
              <w:rPr>
                <w:b/>
                <w:bCs/>
              </w:rPr>
            </w:pPr>
            <w:r>
              <w:rPr>
                <w:b/>
                <w:bCs/>
              </w:rPr>
              <w:t>Prosument</w:t>
            </w:r>
          </w:p>
        </w:tc>
        <w:tc>
          <w:tcPr>
            <w:tcW w:w="7704" w:type="dxa"/>
            <w:gridSpan w:val="2"/>
          </w:tcPr>
          <w:p w14:paraId="10617ECE" w14:textId="77777777" w:rsidR="004F28FB" w:rsidRPr="009F21BD" w:rsidRDefault="004F28FB" w:rsidP="00F5641B">
            <w:pPr>
              <w:spacing w:line="276" w:lineRule="auto"/>
            </w:pPr>
            <w:r w:rsidRPr="003075DC">
              <w:rPr>
                <w:rFonts w:eastAsia="Times New Roman" w:cs="Times New Roman"/>
                <w:bCs/>
                <w:color w:val="000000"/>
                <w:szCs w:val="24"/>
              </w:rPr>
              <w:t>Prosument energii odnawialnej</w:t>
            </w:r>
          </w:p>
        </w:tc>
      </w:tr>
      <w:tr w:rsidR="007835F7" w:rsidRPr="009F21BD" w14:paraId="5748CAAA" w14:textId="77777777" w:rsidTr="00A71C9D">
        <w:tc>
          <w:tcPr>
            <w:tcW w:w="1582" w:type="dxa"/>
          </w:tcPr>
          <w:p w14:paraId="5E40047A" w14:textId="0558C2AB" w:rsidR="007835F7" w:rsidRDefault="002C10E3" w:rsidP="00F5641B">
            <w:pPr>
              <w:spacing w:line="276" w:lineRule="auto"/>
              <w:ind w:left="-48"/>
              <w:rPr>
                <w:b/>
                <w:bCs/>
              </w:rPr>
            </w:pPr>
            <w:r>
              <w:rPr>
                <w:b/>
                <w:bCs/>
              </w:rPr>
              <w:t>Prosument wirtualny</w:t>
            </w:r>
          </w:p>
        </w:tc>
        <w:tc>
          <w:tcPr>
            <w:tcW w:w="7704" w:type="dxa"/>
            <w:gridSpan w:val="2"/>
          </w:tcPr>
          <w:p w14:paraId="100BD789" w14:textId="4CE349BC" w:rsidR="000379D7" w:rsidRPr="000379D7" w:rsidRDefault="000379D7" w:rsidP="000379D7">
            <w:pPr>
              <w:pStyle w:val="Tekstpodstawowy"/>
              <w:spacing w:before="0"/>
              <w:ind w:left="-24"/>
              <w:rPr>
                <w:color w:val="000000" w:themeColor="text1"/>
              </w:rPr>
            </w:pPr>
            <w:r w:rsidRPr="000379D7">
              <w:rPr>
                <w:color w:val="000000" w:themeColor="text1"/>
                <w:w w:val="105"/>
                <w:lang w:val="pl-PL"/>
              </w:rPr>
              <w:t xml:space="preserve"> </w:t>
            </w:r>
            <w:r w:rsidRPr="000379D7">
              <w:rPr>
                <w:color w:val="000000" w:themeColor="text1"/>
                <w:w w:val="105"/>
              </w:rPr>
              <w:t>Prosument wirtualny energii odnawialnej</w:t>
            </w:r>
          </w:p>
          <w:p w14:paraId="58F8AE6F" w14:textId="77777777" w:rsidR="007835F7" w:rsidRPr="000379D7" w:rsidRDefault="007835F7" w:rsidP="00F5641B">
            <w:pPr>
              <w:spacing w:line="276" w:lineRule="auto"/>
              <w:rPr>
                <w:rFonts w:eastAsia="Times New Roman" w:cs="Times New Roman"/>
                <w:bCs/>
                <w:color w:val="000000" w:themeColor="text1"/>
                <w:szCs w:val="24"/>
              </w:rPr>
            </w:pPr>
          </w:p>
        </w:tc>
      </w:tr>
      <w:tr w:rsidR="00691F6C" w:rsidRPr="009F21BD" w14:paraId="01108004" w14:textId="77777777" w:rsidTr="00A71C9D">
        <w:tc>
          <w:tcPr>
            <w:tcW w:w="1582" w:type="dxa"/>
          </w:tcPr>
          <w:p w14:paraId="57165E8C" w14:textId="6AACB085" w:rsidR="00691F6C" w:rsidRDefault="00691F6C" w:rsidP="00F5641B">
            <w:pPr>
              <w:spacing w:line="276" w:lineRule="auto"/>
              <w:ind w:left="-48"/>
              <w:rPr>
                <w:b/>
                <w:bCs/>
              </w:rPr>
            </w:pPr>
            <w:r>
              <w:rPr>
                <w:b/>
                <w:bCs/>
              </w:rPr>
              <w:t>Prosument zbiorowy</w:t>
            </w:r>
          </w:p>
        </w:tc>
        <w:tc>
          <w:tcPr>
            <w:tcW w:w="7704" w:type="dxa"/>
            <w:gridSpan w:val="2"/>
          </w:tcPr>
          <w:p w14:paraId="1035F54F" w14:textId="4C6FC87B" w:rsidR="00691F6C" w:rsidRPr="003075DC" w:rsidRDefault="00E031F2" w:rsidP="00F5641B">
            <w:pPr>
              <w:spacing w:line="276" w:lineRule="auto"/>
              <w:rPr>
                <w:rFonts w:eastAsia="Times New Roman" w:cs="Times New Roman"/>
                <w:bCs/>
                <w:color w:val="000000"/>
                <w:szCs w:val="24"/>
              </w:rPr>
            </w:pPr>
            <w:r>
              <w:rPr>
                <w:rFonts w:eastAsia="Times New Roman" w:cs="Times New Roman"/>
                <w:bCs/>
                <w:color w:val="000000"/>
                <w:szCs w:val="24"/>
              </w:rPr>
              <w:t xml:space="preserve">Prosument zbiorowy energii odnawialnej </w:t>
            </w:r>
          </w:p>
        </w:tc>
      </w:tr>
      <w:tr w:rsidR="00DA083F" w:rsidRPr="009F21BD" w14:paraId="08664E57" w14:textId="77777777" w:rsidTr="00A71C9D">
        <w:tc>
          <w:tcPr>
            <w:tcW w:w="1582" w:type="dxa"/>
          </w:tcPr>
          <w:p w14:paraId="4A8102DB" w14:textId="77777777" w:rsidR="00DA083F" w:rsidRPr="009F21BD" w:rsidRDefault="00DA083F" w:rsidP="00F5641B">
            <w:pPr>
              <w:tabs>
                <w:tab w:val="right" w:pos="284"/>
                <w:tab w:val="left" w:pos="408"/>
              </w:tabs>
              <w:spacing w:line="276" w:lineRule="auto"/>
              <w:jc w:val="both"/>
              <w:rPr>
                <w:b/>
              </w:rPr>
            </w:pPr>
            <w:r w:rsidRPr="009F21BD">
              <w:rPr>
                <w:b/>
              </w:rPr>
              <w:t>P</w:t>
            </w:r>
            <w:r w:rsidRPr="009F21BD">
              <w:rPr>
                <w:b/>
                <w:vertAlign w:val="subscript"/>
              </w:rPr>
              <w:t>It</w:t>
            </w:r>
          </w:p>
        </w:tc>
        <w:tc>
          <w:tcPr>
            <w:tcW w:w="7704" w:type="dxa"/>
            <w:gridSpan w:val="2"/>
          </w:tcPr>
          <w:p w14:paraId="52575C68" w14:textId="77777777" w:rsidR="00DA083F" w:rsidRPr="009F21BD" w:rsidRDefault="00DA083F" w:rsidP="00F5641B">
            <w:pPr>
              <w:tabs>
                <w:tab w:val="right" w:pos="284"/>
                <w:tab w:val="left" w:pos="408"/>
              </w:tabs>
              <w:spacing w:line="276" w:lineRule="auto"/>
              <w:jc w:val="both"/>
            </w:pPr>
            <w:r w:rsidRPr="009F21BD">
              <w:t>Wskaźnik długookresowego migotania światła, obliczany z sekwencji 12 kolejnych wartości Pst, zgodnie ze wzorem:</w:t>
            </w:r>
          </w:p>
          <w:p w14:paraId="7C80DB3E" w14:textId="77777777" w:rsidR="00DA083F" w:rsidRPr="00215949" w:rsidRDefault="00215949" w:rsidP="00F5641B">
            <w:pPr>
              <w:tabs>
                <w:tab w:val="right" w:pos="284"/>
                <w:tab w:val="left" w:pos="408"/>
              </w:tabs>
              <w:spacing w:line="276" w:lineRule="auto"/>
            </w:pPr>
            <m:oMathPara>
              <m:oMath>
                <m:r>
                  <m:rPr>
                    <m:sty m:val="p"/>
                  </m:rPr>
                  <w:rPr>
                    <w:rFonts w:ascii="Cambria Math" w:eastAsia="Times New Roman" w:hAnsi="Cambria Math"/>
                  </w:rPr>
                  <w:lastRenderedPageBreak/>
                  <m:t>PIt</m:t>
                </m:r>
                <m:r>
                  <m:rPr>
                    <m:sty m:val="p"/>
                  </m:rPr>
                  <w:rPr>
                    <w:rFonts w:ascii="Cambria Math"/>
                  </w:rPr>
                  <m:t>=</m:t>
                </m:r>
                <m:rad>
                  <m:radPr>
                    <m:ctrlPr>
                      <w:rPr>
                        <w:rFonts w:ascii="Cambria Math" w:hAnsi="Cambria Math"/>
                      </w:rPr>
                    </m:ctrlPr>
                  </m:radPr>
                  <m:deg>
                    <m:r>
                      <m:rPr>
                        <m:sty m:val="p"/>
                      </m:rPr>
                      <w:rPr>
                        <w:rFonts w:ascii="Cambria Math"/>
                      </w:rPr>
                      <m:t>3</m:t>
                    </m:r>
                  </m:deg>
                  <m:e>
                    <m:nary>
                      <m:naryPr>
                        <m:chr m:val="∑"/>
                        <m:grow m:val="1"/>
                        <m:ctrlPr>
                          <w:rPr>
                            <w:rFonts w:ascii="Cambria Math" w:hAnsi="Cambria Math"/>
                          </w:rPr>
                        </m:ctrlPr>
                      </m:naryPr>
                      <m:sub>
                        <m:r>
                          <m:rPr>
                            <m:sty m:val="p"/>
                          </m:rPr>
                          <w:rPr>
                            <w:rFonts w:ascii="Cambria Math" w:eastAsia="Cambria Math" w:hAnsi="Cambria Math"/>
                          </w:rPr>
                          <m:t>i</m:t>
                        </m:r>
                        <m:r>
                          <m:rPr>
                            <m:sty m:val="p"/>
                          </m:rPr>
                          <w:rPr>
                            <w:rFonts w:ascii="Cambria Math" w:eastAsia="Cambria Math"/>
                          </w:rPr>
                          <m:t>=1</m:t>
                        </m:r>
                      </m:sub>
                      <m:sup>
                        <m:r>
                          <m:rPr>
                            <m:sty m:val="p"/>
                          </m:rPr>
                          <w:rPr>
                            <w:rFonts w:ascii="Cambria Math" w:eastAsia="Cambria Math"/>
                          </w:rPr>
                          <m:t>12</m:t>
                        </m:r>
                      </m:sup>
                      <m:e>
                        <m:f>
                          <m:fPr>
                            <m:ctrlPr>
                              <w:rPr>
                                <w:rFonts w:ascii="Cambria Math" w:hAnsi="Cambria Math"/>
                              </w:rPr>
                            </m:ctrlPr>
                          </m:fPr>
                          <m:num>
                            <m:sSup>
                              <m:sSupPr>
                                <m:ctrlPr>
                                  <w:rPr>
                                    <w:rFonts w:ascii="Cambria Math" w:hAnsi="Cambria Math"/>
                                  </w:rPr>
                                </m:ctrlPr>
                              </m:sSupPr>
                              <m:e>
                                <m:r>
                                  <m:rPr>
                                    <m:sty m:val="p"/>
                                  </m:rPr>
                                  <w:rPr>
                                    <w:rFonts w:ascii="Cambria Math"/>
                                  </w:rPr>
                                  <m:t>Psti</m:t>
                                </m:r>
                              </m:e>
                              <m:sup>
                                <m:r>
                                  <m:rPr>
                                    <m:sty m:val="p"/>
                                  </m:rPr>
                                  <w:rPr>
                                    <w:rFonts w:ascii="Cambria Math"/>
                                  </w:rPr>
                                  <m:t>3</m:t>
                                </m:r>
                              </m:sup>
                            </m:sSup>
                          </m:num>
                          <m:den>
                            <m:r>
                              <m:rPr>
                                <m:sty m:val="p"/>
                              </m:rPr>
                              <w:rPr>
                                <w:rFonts w:ascii="Cambria Math"/>
                              </w:rPr>
                              <m:t>12</m:t>
                            </m:r>
                          </m:den>
                        </m:f>
                      </m:e>
                    </m:nary>
                  </m:e>
                </m:rad>
              </m:oMath>
            </m:oMathPara>
          </w:p>
          <w:p w14:paraId="7667D514" w14:textId="77777777" w:rsidR="00DA083F" w:rsidRPr="009F21BD" w:rsidRDefault="00DA083F" w:rsidP="00F5641B">
            <w:pPr>
              <w:tabs>
                <w:tab w:val="right" w:pos="284"/>
                <w:tab w:val="left" w:pos="408"/>
              </w:tabs>
              <w:spacing w:line="276" w:lineRule="auto"/>
            </w:pPr>
            <w:r w:rsidRPr="009F21BD">
              <w:t>gdzie: i - rząd harmonicznej</w:t>
            </w:r>
          </w:p>
        </w:tc>
      </w:tr>
      <w:tr w:rsidR="00DA083F" w:rsidRPr="009F21BD" w14:paraId="6E9576C3" w14:textId="77777777" w:rsidTr="00A71C9D">
        <w:tc>
          <w:tcPr>
            <w:tcW w:w="1582" w:type="dxa"/>
          </w:tcPr>
          <w:p w14:paraId="57D80CA3" w14:textId="77777777" w:rsidR="00DA083F" w:rsidRPr="009F21BD" w:rsidRDefault="00DA083F" w:rsidP="00F5641B">
            <w:pPr>
              <w:tabs>
                <w:tab w:val="right" w:pos="284"/>
                <w:tab w:val="left" w:pos="408"/>
              </w:tabs>
              <w:spacing w:line="276" w:lineRule="auto"/>
              <w:jc w:val="both"/>
              <w:rPr>
                <w:b/>
              </w:rPr>
            </w:pPr>
            <w:r w:rsidRPr="009F21BD">
              <w:rPr>
                <w:b/>
              </w:rPr>
              <w:lastRenderedPageBreak/>
              <w:t>P</w:t>
            </w:r>
            <w:r w:rsidRPr="009F21BD">
              <w:rPr>
                <w:b/>
                <w:vertAlign w:val="subscript"/>
              </w:rPr>
              <w:t>st</w:t>
            </w:r>
          </w:p>
        </w:tc>
        <w:tc>
          <w:tcPr>
            <w:tcW w:w="7704" w:type="dxa"/>
            <w:gridSpan w:val="2"/>
          </w:tcPr>
          <w:p w14:paraId="1669A96D" w14:textId="77777777" w:rsidR="00DA083F" w:rsidRPr="009F21BD" w:rsidRDefault="00DA083F" w:rsidP="00F5641B">
            <w:pPr>
              <w:tabs>
                <w:tab w:val="right" w:pos="284"/>
                <w:tab w:val="left" w:pos="408"/>
              </w:tabs>
              <w:spacing w:line="276" w:lineRule="auto"/>
              <w:jc w:val="both"/>
            </w:pPr>
            <w:r w:rsidRPr="009F21BD">
              <w:t>Wskaźnik krótkookresowego migotania światła, mierzony przez 10 minut,</w:t>
            </w:r>
          </w:p>
        </w:tc>
      </w:tr>
      <w:tr w:rsidR="00DA083F" w:rsidRPr="009F21BD" w14:paraId="595A514F" w14:textId="77777777" w:rsidTr="00A71C9D">
        <w:tc>
          <w:tcPr>
            <w:tcW w:w="1582" w:type="dxa"/>
          </w:tcPr>
          <w:p w14:paraId="76FA1192" w14:textId="77777777" w:rsidR="00DA083F" w:rsidRPr="009F21BD" w:rsidRDefault="00DA083F" w:rsidP="00F5641B">
            <w:pPr>
              <w:tabs>
                <w:tab w:val="right" w:pos="284"/>
                <w:tab w:val="left" w:pos="408"/>
              </w:tabs>
              <w:spacing w:line="276" w:lineRule="auto"/>
              <w:jc w:val="both"/>
              <w:rPr>
                <w:b/>
              </w:rPr>
            </w:pPr>
            <w:r w:rsidRPr="009F21BD">
              <w:rPr>
                <w:b/>
              </w:rPr>
              <w:t>RB</w:t>
            </w:r>
          </w:p>
        </w:tc>
        <w:tc>
          <w:tcPr>
            <w:tcW w:w="7704" w:type="dxa"/>
            <w:gridSpan w:val="2"/>
          </w:tcPr>
          <w:p w14:paraId="7280FC41" w14:textId="77777777" w:rsidR="00DA083F" w:rsidRPr="009F21BD" w:rsidRDefault="00DA083F" w:rsidP="00F5641B">
            <w:pPr>
              <w:tabs>
                <w:tab w:val="right" w:pos="284"/>
                <w:tab w:val="left" w:pos="408"/>
              </w:tabs>
              <w:spacing w:line="276" w:lineRule="auto"/>
              <w:jc w:val="both"/>
            </w:pPr>
            <w:r w:rsidRPr="009F21BD">
              <w:t>Rynek Bilansujący</w:t>
            </w:r>
          </w:p>
        </w:tc>
      </w:tr>
      <w:tr w:rsidR="00132B49" w:rsidRPr="009F21BD" w14:paraId="7F120378" w14:textId="77777777" w:rsidTr="00A71C9D">
        <w:tc>
          <w:tcPr>
            <w:tcW w:w="1582" w:type="dxa"/>
          </w:tcPr>
          <w:p w14:paraId="2A4ECCCC" w14:textId="19D23858" w:rsidR="00132B49" w:rsidRPr="009F21BD" w:rsidRDefault="00132B49" w:rsidP="00F5641B">
            <w:pPr>
              <w:tabs>
                <w:tab w:val="right" w:pos="284"/>
                <w:tab w:val="left" w:pos="408"/>
              </w:tabs>
              <w:spacing w:line="276" w:lineRule="auto"/>
              <w:jc w:val="both"/>
              <w:rPr>
                <w:b/>
              </w:rPr>
            </w:pPr>
            <w:r>
              <w:rPr>
                <w:b/>
              </w:rPr>
              <w:t>RRM</w:t>
            </w:r>
          </w:p>
        </w:tc>
        <w:tc>
          <w:tcPr>
            <w:tcW w:w="7704" w:type="dxa"/>
            <w:gridSpan w:val="2"/>
          </w:tcPr>
          <w:p w14:paraId="2C1364E2" w14:textId="6F699F26" w:rsidR="00132B49" w:rsidRPr="009F21BD" w:rsidRDefault="00132B49" w:rsidP="00F5641B">
            <w:pPr>
              <w:tabs>
                <w:tab w:val="right" w:pos="284"/>
                <w:tab w:val="left" w:pos="408"/>
              </w:tabs>
              <w:spacing w:line="276" w:lineRule="auto"/>
              <w:jc w:val="both"/>
            </w:pPr>
            <w:r>
              <w:t>Regulamin Rynku Mocy</w:t>
            </w:r>
          </w:p>
        </w:tc>
      </w:tr>
      <w:tr w:rsidR="00DA083F" w:rsidRPr="009F21BD" w14:paraId="79F4B2FF" w14:textId="77777777" w:rsidTr="00A71C9D">
        <w:tc>
          <w:tcPr>
            <w:tcW w:w="1582" w:type="dxa"/>
          </w:tcPr>
          <w:p w14:paraId="78EE1BBD" w14:textId="77777777" w:rsidR="00DA083F" w:rsidRPr="009F21BD" w:rsidRDefault="00DA083F" w:rsidP="00F5641B">
            <w:pPr>
              <w:tabs>
                <w:tab w:val="right" w:pos="284"/>
                <w:tab w:val="left" w:pos="408"/>
              </w:tabs>
              <w:spacing w:line="276" w:lineRule="auto"/>
              <w:jc w:val="both"/>
              <w:rPr>
                <w:b/>
              </w:rPr>
            </w:pPr>
            <w:r w:rsidRPr="009F21BD">
              <w:rPr>
                <w:b/>
              </w:rPr>
              <w:t>SCO</w:t>
            </w:r>
          </w:p>
        </w:tc>
        <w:tc>
          <w:tcPr>
            <w:tcW w:w="7704" w:type="dxa"/>
            <w:gridSpan w:val="2"/>
          </w:tcPr>
          <w:p w14:paraId="61AB0BE8" w14:textId="77777777" w:rsidR="00DA083F" w:rsidRPr="009F21BD" w:rsidRDefault="00DA083F" w:rsidP="00F5641B">
            <w:pPr>
              <w:tabs>
                <w:tab w:val="right" w:pos="284"/>
                <w:tab w:val="left" w:pos="408"/>
              </w:tabs>
              <w:spacing w:line="276" w:lineRule="auto"/>
              <w:jc w:val="both"/>
            </w:pPr>
            <w:r w:rsidRPr="009F21BD">
              <w:t>Samoczynne częstotliwościowe odciążanie,</w:t>
            </w:r>
          </w:p>
        </w:tc>
      </w:tr>
      <w:tr w:rsidR="00DA083F" w:rsidRPr="009F21BD" w14:paraId="0A52C029" w14:textId="77777777" w:rsidTr="00A71C9D">
        <w:tc>
          <w:tcPr>
            <w:tcW w:w="1582" w:type="dxa"/>
          </w:tcPr>
          <w:p w14:paraId="3B83DA2C" w14:textId="77777777" w:rsidR="00DA083F" w:rsidRPr="009F21BD" w:rsidRDefault="00DA083F" w:rsidP="00F5641B">
            <w:pPr>
              <w:tabs>
                <w:tab w:val="right" w:pos="284"/>
                <w:tab w:val="left" w:pos="408"/>
              </w:tabs>
              <w:spacing w:line="276" w:lineRule="auto"/>
              <w:jc w:val="both"/>
              <w:rPr>
                <w:b/>
              </w:rPr>
            </w:pPr>
            <w:r w:rsidRPr="009F21BD">
              <w:rPr>
                <w:b/>
              </w:rPr>
              <w:t>SN, sN</w:t>
            </w:r>
          </w:p>
        </w:tc>
        <w:tc>
          <w:tcPr>
            <w:tcW w:w="7704" w:type="dxa"/>
            <w:gridSpan w:val="2"/>
          </w:tcPr>
          <w:p w14:paraId="4C559570" w14:textId="77777777" w:rsidR="00DA083F" w:rsidRPr="009F21BD" w:rsidRDefault="00DA083F" w:rsidP="00F5641B">
            <w:pPr>
              <w:tabs>
                <w:tab w:val="right" w:pos="284"/>
                <w:tab w:val="left" w:pos="408"/>
              </w:tabs>
              <w:spacing w:line="276" w:lineRule="auto"/>
              <w:jc w:val="both"/>
            </w:pPr>
            <w:r w:rsidRPr="009F21BD">
              <w:t>Średnie napięcie,</w:t>
            </w:r>
          </w:p>
        </w:tc>
      </w:tr>
      <w:tr w:rsidR="00DA083F" w:rsidRPr="009F21BD" w14:paraId="1A676C1D" w14:textId="77777777" w:rsidTr="00A71C9D">
        <w:tc>
          <w:tcPr>
            <w:tcW w:w="1582" w:type="dxa"/>
          </w:tcPr>
          <w:p w14:paraId="23A28989" w14:textId="77777777" w:rsidR="00DA083F" w:rsidRPr="009F21BD" w:rsidRDefault="00DA083F" w:rsidP="00F5641B">
            <w:pPr>
              <w:tabs>
                <w:tab w:val="right" w:pos="284"/>
                <w:tab w:val="left" w:pos="408"/>
              </w:tabs>
              <w:spacing w:line="276" w:lineRule="auto"/>
              <w:jc w:val="both"/>
              <w:rPr>
                <w:b/>
              </w:rPr>
            </w:pPr>
            <w:r w:rsidRPr="009F21BD">
              <w:rPr>
                <w:b/>
              </w:rPr>
              <w:t>SPZ</w:t>
            </w:r>
          </w:p>
        </w:tc>
        <w:tc>
          <w:tcPr>
            <w:tcW w:w="7704" w:type="dxa"/>
            <w:gridSpan w:val="2"/>
          </w:tcPr>
          <w:p w14:paraId="2D831FCB" w14:textId="77777777" w:rsidR="00DA083F" w:rsidRPr="009F21BD" w:rsidRDefault="00DA083F" w:rsidP="00F5641B">
            <w:pPr>
              <w:tabs>
                <w:tab w:val="right" w:pos="284"/>
                <w:tab w:val="left" w:pos="408"/>
              </w:tabs>
              <w:spacing w:line="276" w:lineRule="auto"/>
              <w:jc w:val="both"/>
            </w:pPr>
            <w:r w:rsidRPr="009F21BD">
              <w:t>Samoczynne ponowne załączanie - automatyka elektroenergetyczna, której działanie polega na samoczynnym podaniu impulsu załączającego wyłącznik liniowy bezzwłocznie lub po upływie odpowiednio dobranego czasu, po przejściu tego wyłącznika w stan otwarcia</w:t>
            </w:r>
          </w:p>
        </w:tc>
      </w:tr>
      <w:tr w:rsidR="00DA083F" w:rsidRPr="009F21BD" w14:paraId="7343097A" w14:textId="77777777" w:rsidTr="00A71C9D">
        <w:tc>
          <w:tcPr>
            <w:tcW w:w="1582" w:type="dxa"/>
          </w:tcPr>
          <w:p w14:paraId="0CAB6550" w14:textId="77777777" w:rsidR="00DA083F" w:rsidRPr="009F21BD" w:rsidRDefault="00DA083F" w:rsidP="00F5641B">
            <w:pPr>
              <w:tabs>
                <w:tab w:val="right" w:pos="284"/>
                <w:tab w:val="left" w:pos="408"/>
              </w:tabs>
              <w:spacing w:line="276" w:lineRule="auto"/>
              <w:jc w:val="both"/>
              <w:rPr>
                <w:b/>
              </w:rPr>
            </w:pPr>
            <w:r w:rsidRPr="009F21BD">
              <w:rPr>
                <w:b/>
              </w:rPr>
              <w:t>SZR</w:t>
            </w:r>
          </w:p>
        </w:tc>
        <w:tc>
          <w:tcPr>
            <w:tcW w:w="7704" w:type="dxa"/>
            <w:gridSpan w:val="2"/>
          </w:tcPr>
          <w:p w14:paraId="265A5A32" w14:textId="77777777" w:rsidR="00DA083F" w:rsidRPr="009F21BD" w:rsidRDefault="00DA083F" w:rsidP="00F5641B">
            <w:pPr>
              <w:tabs>
                <w:tab w:val="right" w:pos="284"/>
                <w:tab w:val="left" w:pos="408"/>
              </w:tabs>
              <w:spacing w:line="276" w:lineRule="auto"/>
              <w:jc w:val="both"/>
            </w:pPr>
            <w:r w:rsidRPr="009F21BD">
              <w:t>Samoczynne załączenie rezerwy- automatyka elektroenergetyczna, której działanie polega na samoczynnym przełączeniu odbiorców z zasilania ze źródła podstawowego na zasilanie ze źródła rezerwowego, w przypadku nadmiernego obniżenia się napięcia lub zaniku napięcia</w:t>
            </w:r>
          </w:p>
        </w:tc>
      </w:tr>
      <w:tr w:rsidR="00DA083F" w:rsidRPr="009F21BD" w14:paraId="1060B8D6" w14:textId="77777777" w:rsidTr="00A71C9D">
        <w:tc>
          <w:tcPr>
            <w:tcW w:w="1582" w:type="dxa"/>
          </w:tcPr>
          <w:p w14:paraId="6DCF7AF0" w14:textId="77777777" w:rsidR="00DA083F" w:rsidRPr="009F21BD" w:rsidRDefault="00DA083F" w:rsidP="00F5641B">
            <w:pPr>
              <w:tabs>
                <w:tab w:val="right" w:pos="284"/>
                <w:tab w:val="left" w:pos="408"/>
              </w:tabs>
              <w:spacing w:line="276" w:lineRule="auto"/>
              <w:jc w:val="both"/>
              <w:rPr>
                <w:b/>
              </w:rPr>
            </w:pPr>
            <w:r w:rsidRPr="009F21BD">
              <w:rPr>
                <w:b/>
              </w:rPr>
              <w:t>THD</w:t>
            </w:r>
          </w:p>
        </w:tc>
        <w:tc>
          <w:tcPr>
            <w:tcW w:w="7704" w:type="dxa"/>
            <w:gridSpan w:val="2"/>
          </w:tcPr>
          <w:p w14:paraId="4BAC3F80" w14:textId="77777777" w:rsidR="00DA083F" w:rsidRPr="009F21BD" w:rsidRDefault="00DA083F" w:rsidP="00F5641B">
            <w:pPr>
              <w:tabs>
                <w:tab w:val="right" w:pos="284"/>
                <w:tab w:val="left" w:pos="408"/>
              </w:tabs>
              <w:spacing w:line="276" w:lineRule="auto"/>
              <w:jc w:val="both"/>
            </w:pPr>
            <w:r w:rsidRPr="009F21BD">
              <w:t>Współczynnik odkształcenia napięcia harmonicznych, obliczany zgodnie ze wzorem:</w:t>
            </w:r>
          </w:p>
          <w:p w14:paraId="2A0CE426" w14:textId="77777777" w:rsidR="00DA083F" w:rsidRPr="00215949" w:rsidRDefault="00215949" w:rsidP="00F5641B">
            <w:pPr>
              <w:tabs>
                <w:tab w:val="right" w:pos="284"/>
                <w:tab w:val="left" w:pos="408"/>
              </w:tabs>
              <w:spacing w:line="276" w:lineRule="auto"/>
              <w:jc w:val="both"/>
            </w:pPr>
            <m:oMathPara>
              <m:oMath>
                <m:r>
                  <m:rPr>
                    <m:sty m:val="p"/>
                  </m:rPr>
                  <w:rPr>
                    <w:rFonts w:ascii="Cambria Math" w:eastAsia="Times New Roman"/>
                  </w:rPr>
                  <m:t>THD=</m:t>
                </m:r>
                <m:rad>
                  <m:radPr>
                    <m:ctrlPr>
                      <w:rPr>
                        <w:rFonts w:ascii="Cambria Math" w:hAnsi="Cambria Math"/>
                      </w:rPr>
                    </m:ctrlPr>
                  </m:radPr>
                  <m:deg/>
                  <m:e>
                    <m:nary>
                      <m:naryPr>
                        <m:chr m:val="∑"/>
                        <m:grow m:val="1"/>
                        <m:ctrlPr>
                          <w:rPr>
                            <w:rFonts w:ascii="Cambria Math" w:hAnsi="Cambria Math"/>
                          </w:rPr>
                        </m:ctrlPr>
                      </m:naryPr>
                      <m:sub>
                        <m:r>
                          <m:rPr>
                            <m:sty m:val="p"/>
                          </m:rPr>
                          <w:rPr>
                            <w:rFonts w:eastAsia="Cambria Math" w:hAnsi="Cambria Math"/>
                          </w:rPr>
                          <m:t>h</m:t>
                        </m:r>
                        <m:r>
                          <m:rPr>
                            <m:sty m:val="p"/>
                          </m:rPr>
                          <w:rPr>
                            <w:rFonts w:ascii="Cambria Math" w:eastAsia="Cambria Math"/>
                          </w:rPr>
                          <m:t>=2</m:t>
                        </m:r>
                      </m:sub>
                      <m:sup>
                        <m:r>
                          <m:rPr>
                            <m:sty m:val="p"/>
                          </m:rPr>
                          <w:rPr>
                            <w:rFonts w:ascii="Cambria Math" w:eastAsia="Cambria Math"/>
                          </w:rPr>
                          <m:t>40</m:t>
                        </m:r>
                      </m:sup>
                      <m:e>
                        <m:sSup>
                          <m:sSupPr>
                            <m:ctrlPr>
                              <w:rPr>
                                <w:rFonts w:ascii="Cambria Math" w:hAnsi="Cambria Math"/>
                              </w:rPr>
                            </m:ctrlPr>
                          </m:sSupPr>
                          <m:e>
                            <m:r>
                              <m:rPr>
                                <m:sty m:val="p"/>
                              </m:rPr>
                              <w:rPr>
                                <w:rFonts w:ascii="Cambria Math"/>
                              </w:rPr>
                              <m:t>(</m:t>
                            </m:r>
                            <m:sSub>
                              <m:sSubPr>
                                <m:ctrlPr>
                                  <w:rPr>
                                    <w:rFonts w:ascii="Cambria Math" w:hAnsi="Cambria Math"/>
                                  </w:rPr>
                                </m:ctrlPr>
                              </m:sSubPr>
                              <m:e>
                                <m:r>
                                  <m:rPr>
                                    <m:sty m:val="p"/>
                                  </m:rPr>
                                  <w:rPr>
                                    <w:rFonts w:ascii="Cambria Math" w:hAnsi="Cambria Math"/>
                                  </w:rPr>
                                  <m:t>U</m:t>
                                </m:r>
                              </m:e>
                              <m:sub>
                                <m:r>
                                  <m:rPr>
                                    <m:sty m:val="p"/>
                                  </m:rPr>
                                  <w:rPr>
                                    <w:rFonts w:hAnsi="Cambria Math"/>
                                  </w:rPr>
                                  <m:t>h</m:t>
                                </m:r>
                              </m:sub>
                            </m:sSub>
                            <m:r>
                              <m:rPr>
                                <m:sty m:val="p"/>
                              </m:rPr>
                              <w:rPr>
                                <w:rFonts w:ascii="Cambria Math"/>
                              </w:rPr>
                              <m:t>)</m:t>
                            </m:r>
                          </m:e>
                          <m:sup>
                            <m:r>
                              <m:rPr>
                                <m:sty m:val="p"/>
                              </m:rPr>
                              <w:rPr>
                                <w:rFonts w:ascii="Cambria Math"/>
                              </w:rPr>
                              <m:t>2</m:t>
                            </m:r>
                          </m:sup>
                        </m:sSup>
                      </m:e>
                    </m:nary>
                  </m:e>
                </m:rad>
              </m:oMath>
            </m:oMathPara>
          </w:p>
          <w:p w14:paraId="4B9946B1" w14:textId="77777777" w:rsidR="00DA083F" w:rsidRPr="009F21BD" w:rsidRDefault="00DA083F" w:rsidP="00F5641B">
            <w:pPr>
              <w:tabs>
                <w:tab w:val="right" w:pos="284"/>
                <w:tab w:val="left" w:pos="408"/>
              </w:tabs>
              <w:spacing w:line="276" w:lineRule="auto"/>
              <w:jc w:val="both"/>
            </w:pPr>
            <w:r w:rsidRPr="009F21BD">
              <w:t xml:space="preserve">gdzie: h - rząd harmonicznej </w:t>
            </w:r>
          </w:p>
          <w:p w14:paraId="5239D9AE" w14:textId="77777777" w:rsidR="00DA083F" w:rsidRPr="009F21BD" w:rsidRDefault="00DA083F" w:rsidP="00F5641B">
            <w:pPr>
              <w:tabs>
                <w:tab w:val="right" w:pos="284"/>
                <w:tab w:val="left" w:pos="408"/>
              </w:tabs>
              <w:spacing w:line="276" w:lineRule="auto"/>
              <w:jc w:val="both"/>
            </w:pPr>
            <w:r w:rsidRPr="009F21BD">
              <w:t>gdzie: Uh - wartość względna napięcia w procentach składowej podstawowej</w:t>
            </w:r>
          </w:p>
        </w:tc>
      </w:tr>
      <w:tr w:rsidR="00DA083F" w:rsidRPr="009F21BD" w14:paraId="36B7A4EA" w14:textId="77777777" w:rsidTr="00A71C9D">
        <w:tc>
          <w:tcPr>
            <w:tcW w:w="1582" w:type="dxa"/>
          </w:tcPr>
          <w:p w14:paraId="699FAE4D" w14:textId="77777777" w:rsidR="00DA083F" w:rsidRPr="009F21BD" w:rsidRDefault="00DA083F" w:rsidP="00F5641B">
            <w:pPr>
              <w:spacing w:line="276" w:lineRule="auto"/>
              <w:ind w:left="-48"/>
              <w:rPr>
                <w:b/>
                <w:bCs/>
              </w:rPr>
            </w:pPr>
            <w:r w:rsidRPr="009F21BD">
              <w:rPr>
                <w:b/>
                <w:bCs/>
              </w:rPr>
              <w:t>URB</w:t>
            </w:r>
          </w:p>
        </w:tc>
        <w:tc>
          <w:tcPr>
            <w:tcW w:w="7704" w:type="dxa"/>
            <w:gridSpan w:val="2"/>
          </w:tcPr>
          <w:p w14:paraId="2DEEA188" w14:textId="77777777" w:rsidR="00DA083F" w:rsidRPr="009F21BD" w:rsidRDefault="00DA083F" w:rsidP="00F5641B">
            <w:pPr>
              <w:spacing w:line="276" w:lineRule="auto"/>
            </w:pPr>
            <w:r w:rsidRPr="009F21BD">
              <w:t>Uczestnik Rynku Bilansującego</w:t>
            </w:r>
          </w:p>
        </w:tc>
      </w:tr>
      <w:tr w:rsidR="00DA083F" w:rsidRPr="009F21BD" w14:paraId="6CB93884" w14:textId="77777777" w:rsidTr="00A71C9D">
        <w:tc>
          <w:tcPr>
            <w:tcW w:w="1582" w:type="dxa"/>
          </w:tcPr>
          <w:p w14:paraId="3E3E7BED" w14:textId="77777777" w:rsidR="00DA083F" w:rsidRPr="009F21BD" w:rsidRDefault="00DA083F" w:rsidP="00F5641B">
            <w:pPr>
              <w:spacing w:line="276" w:lineRule="auto"/>
              <w:ind w:left="-48"/>
              <w:rPr>
                <w:b/>
                <w:bCs/>
              </w:rPr>
            </w:pPr>
            <w:r w:rsidRPr="009F21BD">
              <w:rPr>
                <w:b/>
                <w:bCs/>
              </w:rPr>
              <w:t>URD</w:t>
            </w:r>
          </w:p>
        </w:tc>
        <w:tc>
          <w:tcPr>
            <w:tcW w:w="7704" w:type="dxa"/>
            <w:gridSpan w:val="2"/>
          </w:tcPr>
          <w:p w14:paraId="7E25018B" w14:textId="77777777" w:rsidR="00DA083F" w:rsidRPr="009F21BD" w:rsidRDefault="00DA083F" w:rsidP="00F5641B">
            <w:pPr>
              <w:spacing w:line="276" w:lineRule="auto"/>
            </w:pPr>
            <w:r w:rsidRPr="009F21BD">
              <w:t>Uczestnik Rynku Detalicznego</w:t>
            </w:r>
          </w:p>
        </w:tc>
      </w:tr>
      <w:tr w:rsidR="00A54ECF" w:rsidRPr="009F21BD" w14:paraId="17F197AC" w14:textId="77777777" w:rsidTr="00A71C9D">
        <w:tc>
          <w:tcPr>
            <w:tcW w:w="1582" w:type="dxa"/>
          </w:tcPr>
          <w:p w14:paraId="5975BD46" w14:textId="3D8D133E" w:rsidR="00A54ECF" w:rsidRPr="009F21BD" w:rsidRDefault="00A54ECF" w:rsidP="00A54ECF">
            <w:pPr>
              <w:spacing w:line="276" w:lineRule="auto"/>
              <w:ind w:left="-48"/>
              <w:jc w:val="both"/>
              <w:rPr>
                <w:b/>
                <w:bCs/>
              </w:rPr>
            </w:pPr>
            <w:r>
              <w:rPr>
                <w:b/>
                <w:bCs/>
              </w:rPr>
              <w:t>URD</w:t>
            </w:r>
            <w:r w:rsidRPr="00A54ECF">
              <w:rPr>
                <w:b/>
                <w:bCs/>
                <w:vertAlign w:val="subscript"/>
              </w:rPr>
              <w:t>ME</w:t>
            </w:r>
          </w:p>
        </w:tc>
        <w:tc>
          <w:tcPr>
            <w:tcW w:w="7704" w:type="dxa"/>
            <w:gridSpan w:val="2"/>
          </w:tcPr>
          <w:p w14:paraId="14EB0A2A" w14:textId="08C7ECF4" w:rsidR="00A54ECF" w:rsidRPr="00A54ECF" w:rsidRDefault="00A54ECF" w:rsidP="00A54ECF">
            <w:pPr>
              <w:spacing w:line="276" w:lineRule="auto"/>
              <w:jc w:val="both"/>
              <w:rPr>
                <w:rFonts w:cs="Times New Roman"/>
                <w:szCs w:val="24"/>
              </w:rPr>
            </w:pPr>
            <w:r w:rsidRPr="00A54ECF">
              <w:rPr>
                <w:rFonts w:cs="Times New Roman"/>
                <w:szCs w:val="24"/>
              </w:rPr>
              <w:t xml:space="preserve">Uczestnik rynku detalicznego typu posiadacz magazynu energii elektrycznej, </w:t>
            </w:r>
            <w:r>
              <w:rPr>
                <w:rFonts w:cs="Times New Roman"/>
                <w:szCs w:val="24"/>
              </w:rPr>
              <w:br/>
            </w:r>
            <w:r w:rsidRPr="00A54ECF">
              <w:rPr>
                <w:rFonts w:cs="Times New Roman"/>
                <w:szCs w:val="24"/>
              </w:rPr>
              <w:t xml:space="preserve">o łącznej mocy zainstalowanej magazynu energii elektrycznej większej niż </w:t>
            </w:r>
            <w:r>
              <w:rPr>
                <w:rFonts w:cs="Times New Roman"/>
                <w:szCs w:val="24"/>
              </w:rPr>
              <w:br/>
            </w:r>
            <w:r w:rsidR="00013F79">
              <w:rPr>
                <w:rFonts w:cs="Times New Roman"/>
                <w:szCs w:val="24"/>
              </w:rPr>
              <w:t>5</w:t>
            </w:r>
            <w:r w:rsidRPr="00A54ECF">
              <w:rPr>
                <w:rFonts w:cs="Times New Roman"/>
                <w:szCs w:val="24"/>
              </w:rPr>
              <w:t>0 kW</w:t>
            </w:r>
          </w:p>
        </w:tc>
      </w:tr>
      <w:tr w:rsidR="00DA083F" w:rsidRPr="009F21BD" w14:paraId="07D84234" w14:textId="77777777" w:rsidTr="00A71C9D">
        <w:tc>
          <w:tcPr>
            <w:tcW w:w="1582" w:type="dxa"/>
          </w:tcPr>
          <w:p w14:paraId="18BA0615" w14:textId="77777777" w:rsidR="00DA083F" w:rsidRPr="009F21BD" w:rsidRDefault="00DA083F" w:rsidP="00F5641B">
            <w:pPr>
              <w:spacing w:line="276" w:lineRule="auto"/>
              <w:ind w:left="-48"/>
              <w:rPr>
                <w:b/>
                <w:bCs/>
                <w:vertAlign w:val="subscript"/>
              </w:rPr>
            </w:pPr>
            <w:r w:rsidRPr="009F21BD">
              <w:rPr>
                <w:b/>
                <w:bCs/>
              </w:rPr>
              <w:t>URD</w:t>
            </w:r>
            <w:r w:rsidRPr="009F21BD">
              <w:rPr>
                <w:b/>
                <w:bCs/>
                <w:vertAlign w:val="subscript"/>
              </w:rPr>
              <w:t>O</w:t>
            </w:r>
          </w:p>
        </w:tc>
        <w:tc>
          <w:tcPr>
            <w:tcW w:w="7704" w:type="dxa"/>
            <w:gridSpan w:val="2"/>
          </w:tcPr>
          <w:p w14:paraId="33881D49" w14:textId="77777777" w:rsidR="00DA083F" w:rsidRPr="009F21BD" w:rsidRDefault="00DA083F" w:rsidP="00F5641B">
            <w:pPr>
              <w:spacing w:line="276" w:lineRule="auto"/>
            </w:pPr>
            <w:r w:rsidRPr="009F21BD">
              <w:t>Uczestnik Rynku Detalicznego typu Odbiorca energii</w:t>
            </w:r>
          </w:p>
        </w:tc>
      </w:tr>
      <w:tr w:rsidR="00DA083F" w:rsidRPr="009F21BD" w14:paraId="1016FDF7" w14:textId="77777777" w:rsidTr="00A71C9D">
        <w:tc>
          <w:tcPr>
            <w:tcW w:w="1582" w:type="dxa"/>
          </w:tcPr>
          <w:p w14:paraId="0E707FB6" w14:textId="77777777" w:rsidR="00DA083F" w:rsidRPr="009F21BD" w:rsidRDefault="00DA083F" w:rsidP="00F5641B">
            <w:pPr>
              <w:spacing w:line="276" w:lineRule="auto"/>
              <w:ind w:left="-48"/>
              <w:rPr>
                <w:b/>
                <w:bCs/>
                <w:vertAlign w:val="subscript"/>
              </w:rPr>
            </w:pPr>
            <w:r w:rsidRPr="009F21BD">
              <w:rPr>
                <w:b/>
                <w:bCs/>
              </w:rPr>
              <w:t>URD</w:t>
            </w:r>
            <w:r w:rsidRPr="009F21BD">
              <w:rPr>
                <w:b/>
                <w:bCs/>
                <w:vertAlign w:val="subscript"/>
              </w:rPr>
              <w:t>W</w:t>
            </w:r>
          </w:p>
        </w:tc>
        <w:tc>
          <w:tcPr>
            <w:tcW w:w="7704" w:type="dxa"/>
            <w:gridSpan w:val="2"/>
          </w:tcPr>
          <w:p w14:paraId="0CE03326" w14:textId="77777777" w:rsidR="00DA083F" w:rsidRPr="009F21BD" w:rsidRDefault="00DA083F" w:rsidP="00F5641B">
            <w:pPr>
              <w:spacing w:line="276" w:lineRule="auto"/>
            </w:pPr>
            <w:r w:rsidRPr="009F21BD">
              <w:t>Uczestnik Rynku Detalicznego typu Wytwórca energii</w:t>
            </w:r>
          </w:p>
        </w:tc>
      </w:tr>
      <w:tr w:rsidR="00DA083F" w:rsidRPr="009F21BD" w14:paraId="38EA08DC" w14:textId="77777777" w:rsidTr="00A71C9D">
        <w:tc>
          <w:tcPr>
            <w:tcW w:w="1582" w:type="dxa"/>
          </w:tcPr>
          <w:p w14:paraId="5D19B94E" w14:textId="77777777" w:rsidR="00DA083F" w:rsidRPr="009F21BD" w:rsidRDefault="00DA083F" w:rsidP="00810F5E">
            <w:pPr>
              <w:spacing w:line="276" w:lineRule="auto"/>
              <w:ind w:left="-70"/>
              <w:rPr>
                <w:b/>
              </w:rPr>
            </w:pPr>
            <w:r w:rsidRPr="009F21BD">
              <w:rPr>
                <w:b/>
              </w:rPr>
              <w:t>URE</w:t>
            </w:r>
          </w:p>
        </w:tc>
        <w:tc>
          <w:tcPr>
            <w:tcW w:w="7704" w:type="dxa"/>
            <w:gridSpan w:val="2"/>
          </w:tcPr>
          <w:p w14:paraId="3EE6D79A" w14:textId="77777777" w:rsidR="00DA083F" w:rsidRPr="009F21BD" w:rsidRDefault="00DA083F" w:rsidP="00F5641B">
            <w:pPr>
              <w:tabs>
                <w:tab w:val="right" w:pos="284"/>
                <w:tab w:val="left" w:pos="408"/>
              </w:tabs>
              <w:spacing w:line="276" w:lineRule="auto"/>
              <w:jc w:val="both"/>
            </w:pPr>
            <w:r w:rsidRPr="009F21BD">
              <w:t>Urząd Regulacji Energetyki</w:t>
            </w:r>
          </w:p>
        </w:tc>
      </w:tr>
      <w:tr w:rsidR="00810F5E" w:rsidRPr="009F21BD" w14:paraId="7693BFBA" w14:textId="77777777" w:rsidTr="00A71C9D">
        <w:tc>
          <w:tcPr>
            <w:tcW w:w="1582" w:type="dxa"/>
          </w:tcPr>
          <w:p w14:paraId="0562B891" w14:textId="77777777" w:rsidR="00810F5E" w:rsidRPr="009F21BD" w:rsidRDefault="00810F5E" w:rsidP="00810F5E">
            <w:pPr>
              <w:tabs>
                <w:tab w:val="right" w:pos="284"/>
                <w:tab w:val="left" w:pos="408"/>
              </w:tabs>
              <w:spacing w:line="276" w:lineRule="auto"/>
              <w:ind w:left="-70"/>
              <w:rPr>
                <w:b/>
              </w:rPr>
            </w:pPr>
            <w:r>
              <w:rPr>
                <w:b/>
              </w:rPr>
              <w:t>WDB</w:t>
            </w:r>
          </w:p>
        </w:tc>
        <w:tc>
          <w:tcPr>
            <w:tcW w:w="7704" w:type="dxa"/>
            <w:gridSpan w:val="2"/>
          </w:tcPr>
          <w:p w14:paraId="374F4195" w14:textId="77777777" w:rsidR="00810F5E" w:rsidRPr="009F21BD" w:rsidRDefault="006A6D18" w:rsidP="00B43505">
            <w:pPr>
              <w:spacing w:line="0" w:lineRule="atLeast"/>
              <w:ind w:right="285"/>
              <w:jc w:val="both"/>
            </w:pPr>
            <w:r w:rsidRPr="003075DC">
              <w:rPr>
                <w:rFonts w:eastAsia="Times New Roman" w:cs="Times New Roman"/>
                <w:bCs/>
                <w:color w:val="000000"/>
                <w:szCs w:val="24"/>
              </w:rPr>
              <w:t>Warunki dotyczące bilansowania</w:t>
            </w:r>
          </w:p>
        </w:tc>
      </w:tr>
      <w:tr w:rsidR="00DA083F" w:rsidRPr="009F21BD" w14:paraId="1C14CBA3" w14:textId="77777777" w:rsidTr="00A71C9D">
        <w:trPr>
          <w:trHeight w:val="323"/>
        </w:trPr>
        <w:tc>
          <w:tcPr>
            <w:tcW w:w="1582" w:type="dxa"/>
          </w:tcPr>
          <w:p w14:paraId="1D2F312B" w14:textId="77777777" w:rsidR="00DA083F" w:rsidRPr="009F21BD" w:rsidRDefault="00DA083F" w:rsidP="00810F5E">
            <w:pPr>
              <w:tabs>
                <w:tab w:val="right" w:pos="284"/>
                <w:tab w:val="left" w:pos="408"/>
              </w:tabs>
              <w:spacing w:line="276" w:lineRule="auto"/>
              <w:ind w:left="-70"/>
              <w:rPr>
                <w:b/>
              </w:rPr>
            </w:pPr>
            <w:r w:rsidRPr="009F21BD">
              <w:rPr>
                <w:b/>
              </w:rPr>
              <w:t>WIRE</w:t>
            </w:r>
          </w:p>
        </w:tc>
        <w:tc>
          <w:tcPr>
            <w:tcW w:w="7704" w:type="dxa"/>
            <w:gridSpan w:val="2"/>
          </w:tcPr>
          <w:p w14:paraId="367DF5FE" w14:textId="77777777" w:rsidR="00DA083F" w:rsidRPr="009F21BD" w:rsidRDefault="00DA083F" w:rsidP="00F5641B">
            <w:pPr>
              <w:tabs>
                <w:tab w:val="right" w:pos="284"/>
                <w:tab w:val="left" w:pos="408"/>
              </w:tabs>
              <w:spacing w:line="276" w:lineRule="auto"/>
            </w:pPr>
            <w:r w:rsidRPr="009F21BD">
              <w:t>System wymiany informacji o rynku energii</w:t>
            </w:r>
          </w:p>
          <w:p w14:paraId="7F20B15A" w14:textId="2440C315" w:rsidR="00E219CE" w:rsidRDefault="00E219CE" w:rsidP="00F5641B">
            <w:pPr>
              <w:tabs>
                <w:tab w:val="right" w:pos="284"/>
                <w:tab w:val="left" w:pos="408"/>
              </w:tabs>
              <w:spacing w:line="276" w:lineRule="auto"/>
            </w:pPr>
          </w:p>
          <w:p w14:paraId="6388B9FE" w14:textId="0F543C6A" w:rsidR="00E219CE" w:rsidRDefault="00E219CE" w:rsidP="00F5641B">
            <w:pPr>
              <w:tabs>
                <w:tab w:val="right" w:pos="284"/>
                <w:tab w:val="left" w:pos="408"/>
              </w:tabs>
              <w:spacing w:line="276" w:lineRule="auto"/>
            </w:pPr>
          </w:p>
          <w:p w14:paraId="2D9E5AA4" w14:textId="2F081EE5" w:rsidR="00E219CE" w:rsidRDefault="00E219CE" w:rsidP="00F5641B">
            <w:pPr>
              <w:tabs>
                <w:tab w:val="right" w:pos="284"/>
                <w:tab w:val="left" w:pos="408"/>
              </w:tabs>
              <w:spacing w:line="276" w:lineRule="auto"/>
            </w:pPr>
          </w:p>
          <w:p w14:paraId="6595FE72" w14:textId="464F51A7" w:rsidR="00E219CE" w:rsidRDefault="00E219CE" w:rsidP="00F5641B">
            <w:pPr>
              <w:tabs>
                <w:tab w:val="right" w:pos="284"/>
                <w:tab w:val="left" w:pos="408"/>
              </w:tabs>
              <w:spacing w:line="276" w:lineRule="auto"/>
            </w:pPr>
          </w:p>
          <w:p w14:paraId="49DAC34C" w14:textId="77777777" w:rsidR="00DA083F" w:rsidRPr="009F21BD" w:rsidRDefault="00DA083F" w:rsidP="00F5641B">
            <w:pPr>
              <w:tabs>
                <w:tab w:val="right" w:pos="284"/>
                <w:tab w:val="left" w:pos="408"/>
              </w:tabs>
              <w:spacing w:line="276" w:lineRule="auto"/>
            </w:pPr>
          </w:p>
          <w:p w14:paraId="68830948" w14:textId="77777777" w:rsidR="00DA083F" w:rsidRPr="009F21BD" w:rsidRDefault="00DA083F" w:rsidP="00F5641B">
            <w:pPr>
              <w:tabs>
                <w:tab w:val="right" w:pos="284"/>
                <w:tab w:val="left" w:pos="408"/>
              </w:tabs>
              <w:spacing w:line="276" w:lineRule="auto"/>
            </w:pPr>
          </w:p>
          <w:p w14:paraId="060804B9" w14:textId="77777777" w:rsidR="00DA083F" w:rsidRDefault="00DA083F" w:rsidP="00F5641B">
            <w:pPr>
              <w:tabs>
                <w:tab w:val="right" w:pos="284"/>
                <w:tab w:val="left" w:pos="408"/>
              </w:tabs>
              <w:spacing w:line="276" w:lineRule="auto"/>
            </w:pPr>
          </w:p>
          <w:p w14:paraId="7CA9E074" w14:textId="77777777" w:rsidR="009B0D5E" w:rsidRPr="009F21BD" w:rsidRDefault="009B0D5E" w:rsidP="00F5641B">
            <w:pPr>
              <w:tabs>
                <w:tab w:val="right" w:pos="284"/>
                <w:tab w:val="left" w:pos="408"/>
              </w:tabs>
              <w:spacing w:line="276" w:lineRule="auto"/>
            </w:pPr>
          </w:p>
        </w:tc>
      </w:tr>
      <w:tr w:rsidR="009B0D5E" w:rsidRPr="00A9485E" w14:paraId="702F0A5A" w14:textId="77777777" w:rsidTr="00A9381E">
        <w:tc>
          <w:tcPr>
            <w:tcW w:w="9286" w:type="dxa"/>
            <w:gridSpan w:val="3"/>
          </w:tcPr>
          <w:p w14:paraId="57624648" w14:textId="77777777" w:rsidR="009B0D5E" w:rsidRPr="00A9485E" w:rsidRDefault="009B0D5E">
            <w:pPr>
              <w:pStyle w:val="Nagwek2"/>
              <w:numPr>
                <w:ilvl w:val="3"/>
                <w:numId w:val="186"/>
              </w:numPr>
              <w:ind w:left="214" w:hanging="284"/>
            </w:pPr>
            <w:bookmarkStart w:id="136" w:name="_Toc284613865"/>
            <w:bookmarkStart w:id="137" w:name="_Toc532193602"/>
            <w:bookmarkStart w:id="138" w:name="_Toc141963931"/>
            <w:r w:rsidRPr="00A9485E">
              <w:lastRenderedPageBreak/>
              <w:t>POJĘCIA I DEFINICJE</w:t>
            </w:r>
            <w:bookmarkEnd w:id="136"/>
            <w:bookmarkEnd w:id="137"/>
            <w:bookmarkEnd w:id="138"/>
          </w:p>
        </w:tc>
      </w:tr>
      <w:tr w:rsidR="009B0D5E" w:rsidRPr="009F21BD" w14:paraId="45ECD8E6" w14:textId="77777777" w:rsidTr="00A9381E">
        <w:tc>
          <w:tcPr>
            <w:tcW w:w="3261" w:type="dxa"/>
            <w:gridSpan w:val="2"/>
          </w:tcPr>
          <w:p w14:paraId="57AD0280" w14:textId="77777777" w:rsidR="009B0D5E" w:rsidRPr="009F21BD" w:rsidRDefault="009B0D5E" w:rsidP="00F5641B">
            <w:pPr>
              <w:spacing w:before="120"/>
              <w:ind w:left="-48"/>
              <w:rPr>
                <w:b/>
                <w:bCs/>
              </w:rPr>
            </w:pPr>
            <w:r w:rsidRPr="009F21BD">
              <w:rPr>
                <w:b/>
                <w:bCs/>
              </w:rPr>
              <w:t>Administrator pomiarów</w:t>
            </w:r>
          </w:p>
        </w:tc>
        <w:tc>
          <w:tcPr>
            <w:tcW w:w="6025" w:type="dxa"/>
          </w:tcPr>
          <w:p w14:paraId="2345C03E" w14:textId="77777777" w:rsidR="009B0D5E" w:rsidRPr="009F21BD" w:rsidRDefault="009B0D5E" w:rsidP="00F5641B">
            <w:pPr>
              <w:spacing w:before="120"/>
              <w:jc w:val="both"/>
            </w:pPr>
            <w:r w:rsidRPr="009F21BD">
              <w:t xml:space="preserve">Jednostka organizacyjna lub podmiot odpowiedzialny </w:t>
            </w:r>
            <w:r w:rsidRPr="009F21BD">
              <w:br/>
              <w:t>za obsługę i kontrolę układów pomiarowo-rozliczeniowych.</w:t>
            </w:r>
          </w:p>
        </w:tc>
      </w:tr>
      <w:tr w:rsidR="00C969E3" w:rsidRPr="009F21BD" w14:paraId="28C57F00" w14:textId="77777777" w:rsidTr="00A9381E">
        <w:tc>
          <w:tcPr>
            <w:tcW w:w="3261" w:type="dxa"/>
            <w:gridSpan w:val="2"/>
          </w:tcPr>
          <w:p w14:paraId="6290E3E3" w14:textId="7FA11328" w:rsidR="00C969E3" w:rsidRPr="009F21BD" w:rsidRDefault="00C969E3" w:rsidP="00F5641B">
            <w:pPr>
              <w:spacing w:before="120"/>
              <w:ind w:left="-48"/>
              <w:rPr>
                <w:b/>
                <w:bCs/>
              </w:rPr>
            </w:pPr>
            <w:r>
              <w:rPr>
                <w:b/>
                <w:bCs/>
              </w:rPr>
              <w:t>Analizator jakości energii elektrycznej</w:t>
            </w:r>
          </w:p>
        </w:tc>
        <w:tc>
          <w:tcPr>
            <w:tcW w:w="6025" w:type="dxa"/>
          </w:tcPr>
          <w:p w14:paraId="6B8357A0" w14:textId="111F8504" w:rsidR="00C969E3" w:rsidRPr="009F21BD" w:rsidRDefault="00C969E3" w:rsidP="00F5641B">
            <w:pPr>
              <w:spacing w:before="120"/>
              <w:jc w:val="both"/>
            </w:pPr>
            <w:r w:rsidRPr="00C969E3">
              <w:rPr>
                <w:color w:val="000000" w:themeColor="text1"/>
                <w:w w:val="105"/>
              </w:rPr>
              <w:t>Przyrząd</w:t>
            </w:r>
            <w:r w:rsidRPr="00C969E3">
              <w:rPr>
                <w:color w:val="000000" w:themeColor="text1"/>
                <w:spacing w:val="-12"/>
                <w:w w:val="105"/>
              </w:rPr>
              <w:t xml:space="preserve"> </w:t>
            </w:r>
            <w:r w:rsidRPr="00C969E3">
              <w:rPr>
                <w:color w:val="000000" w:themeColor="text1"/>
                <w:w w:val="105"/>
              </w:rPr>
              <w:t>pomiarowy</w:t>
            </w:r>
            <w:r w:rsidRPr="00C969E3">
              <w:rPr>
                <w:color w:val="000000" w:themeColor="text1"/>
                <w:spacing w:val="-16"/>
                <w:w w:val="105"/>
              </w:rPr>
              <w:t xml:space="preserve"> </w:t>
            </w:r>
            <w:r w:rsidRPr="00C969E3">
              <w:rPr>
                <w:color w:val="000000" w:themeColor="text1"/>
                <w:w w:val="105"/>
              </w:rPr>
              <w:t>służący</w:t>
            </w:r>
            <w:r w:rsidRPr="00C969E3">
              <w:rPr>
                <w:color w:val="000000" w:themeColor="text1"/>
                <w:spacing w:val="-20"/>
                <w:w w:val="105"/>
              </w:rPr>
              <w:t xml:space="preserve"> </w:t>
            </w:r>
            <w:r w:rsidRPr="00C969E3">
              <w:rPr>
                <w:color w:val="000000" w:themeColor="text1"/>
                <w:w w:val="105"/>
              </w:rPr>
              <w:t>do</w:t>
            </w:r>
            <w:r w:rsidRPr="00C969E3">
              <w:rPr>
                <w:color w:val="000000" w:themeColor="text1"/>
                <w:spacing w:val="-25"/>
                <w:w w:val="105"/>
              </w:rPr>
              <w:t xml:space="preserve"> </w:t>
            </w:r>
            <w:r w:rsidRPr="00C969E3">
              <w:rPr>
                <w:color w:val="000000" w:themeColor="text1"/>
                <w:w w:val="105"/>
              </w:rPr>
              <w:t>pomiarów</w:t>
            </w:r>
            <w:r w:rsidRPr="00C969E3">
              <w:rPr>
                <w:color w:val="000000" w:themeColor="text1"/>
                <w:spacing w:val="-19"/>
                <w:w w:val="105"/>
              </w:rPr>
              <w:t xml:space="preserve"> </w:t>
            </w:r>
            <w:r w:rsidRPr="00C969E3">
              <w:rPr>
                <w:color w:val="000000" w:themeColor="text1"/>
                <w:w w:val="105"/>
              </w:rPr>
              <w:t>jakości</w:t>
            </w:r>
            <w:r w:rsidRPr="00C969E3">
              <w:rPr>
                <w:color w:val="000000" w:themeColor="text1"/>
                <w:spacing w:val="-15"/>
                <w:w w:val="105"/>
              </w:rPr>
              <w:t xml:space="preserve"> </w:t>
            </w:r>
            <w:r w:rsidRPr="00C969E3">
              <w:rPr>
                <w:color w:val="000000" w:themeColor="text1"/>
                <w:w w:val="105"/>
              </w:rPr>
              <w:t>energii elektrycznej.</w:t>
            </w:r>
          </w:p>
        </w:tc>
      </w:tr>
      <w:tr w:rsidR="009B0D5E" w:rsidRPr="009F21BD" w14:paraId="62416A64" w14:textId="77777777" w:rsidTr="00A9381E">
        <w:tc>
          <w:tcPr>
            <w:tcW w:w="3261" w:type="dxa"/>
            <w:gridSpan w:val="2"/>
          </w:tcPr>
          <w:p w14:paraId="2A49C93F" w14:textId="77777777" w:rsidR="009B0D5E" w:rsidRPr="009F21BD" w:rsidRDefault="009B0D5E" w:rsidP="00F5641B">
            <w:pPr>
              <w:spacing w:before="120"/>
              <w:ind w:left="-48"/>
              <w:rPr>
                <w:b/>
                <w:bCs/>
              </w:rPr>
            </w:pPr>
            <w:r w:rsidRPr="009F21BD">
              <w:rPr>
                <w:b/>
                <w:bCs/>
              </w:rPr>
              <w:t>Awaria sieciowa</w:t>
            </w:r>
          </w:p>
        </w:tc>
        <w:tc>
          <w:tcPr>
            <w:tcW w:w="6025" w:type="dxa"/>
            <w:shd w:val="clear" w:color="auto" w:fill="auto"/>
          </w:tcPr>
          <w:p w14:paraId="6BBA399F" w14:textId="77777777" w:rsidR="009B0D5E" w:rsidRPr="009F21BD" w:rsidRDefault="009B0D5E" w:rsidP="00F5641B">
            <w:pPr>
              <w:autoSpaceDE w:val="0"/>
              <w:autoSpaceDN w:val="0"/>
              <w:adjustRightInd w:val="0"/>
              <w:spacing w:before="120"/>
              <w:jc w:val="both"/>
            </w:pPr>
            <w:r w:rsidRPr="009F21BD">
              <w:t>Zdarzenie ruchowe, w wyniku</w:t>
            </w:r>
            <w:r w:rsidR="00093A49">
              <w:t>,</w:t>
            </w:r>
            <w:r w:rsidRPr="009F21BD">
              <w:t xml:space="preserve"> którego następuje wyłączenie z ruchu synchronicznego części KSE, która produkuje lub pobiera z sieci energię elektryczną w ilości nie większej niż 5% bieżącego zapotrzebowania na moc w KSE.</w:t>
            </w:r>
          </w:p>
        </w:tc>
      </w:tr>
      <w:tr w:rsidR="009B0D5E" w:rsidRPr="009F21BD" w14:paraId="18B17797" w14:textId="77777777" w:rsidTr="00A9381E">
        <w:tc>
          <w:tcPr>
            <w:tcW w:w="3261" w:type="dxa"/>
            <w:gridSpan w:val="2"/>
          </w:tcPr>
          <w:p w14:paraId="029B723F" w14:textId="77777777" w:rsidR="009B0D5E" w:rsidRPr="009F21BD" w:rsidRDefault="009B0D5E" w:rsidP="00F5641B">
            <w:pPr>
              <w:spacing w:before="120"/>
              <w:ind w:left="-48"/>
              <w:rPr>
                <w:b/>
                <w:bCs/>
              </w:rPr>
            </w:pPr>
            <w:r w:rsidRPr="009F21BD">
              <w:rPr>
                <w:b/>
                <w:bCs/>
              </w:rPr>
              <w:t>Awaria w systemie</w:t>
            </w:r>
          </w:p>
        </w:tc>
        <w:tc>
          <w:tcPr>
            <w:tcW w:w="6025" w:type="dxa"/>
            <w:shd w:val="clear" w:color="auto" w:fill="auto"/>
          </w:tcPr>
          <w:p w14:paraId="207A8E4A" w14:textId="77777777" w:rsidR="009B0D5E" w:rsidRPr="009F21BD" w:rsidRDefault="009B0D5E" w:rsidP="00F5641B">
            <w:pPr>
              <w:autoSpaceDE w:val="0"/>
              <w:autoSpaceDN w:val="0"/>
              <w:adjustRightInd w:val="0"/>
              <w:spacing w:before="120"/>
              <w:jc w:val="both"/>
            </w:pPr>
            <w:r w:rsidRPr="009F21BD">
              <w:t>Zdarzenie ruchowe, w wyniku</w:t>
            </w:r>
            <w:r w:rsidR="00093A49">
              <w:t>,</w:t>
            </w:r>
            <w:r w:rsidRPr="009F21BD">
              <w:t xml:space="preserve"> którego następuje wyłączenie z ruchu synchronicznego części KSE, która produkuje lub pobiera z sieci energię elektryczną w ilości powyżej 5% bieżącego zapotrzebowania na moc w KSE.</w:t>
            </w:r>
          </w:p>
        </w:tc>
      </w:tr>
      <w:tr w:rsidR="009B0D5E" w:rsidRPr="009F21BD" w14:paraId="5D9A18D6" w14:textId="77777777" w:rsidTr="00A9381E">
        <w:tc>
          <w:tcPr>
            <w:tcW w:w="3261" w:type="dxa"/>
            <w:gridSpan w:val="2"/>
          </w:tcPr>
          <w:p w14:paraId="6B45AA01" w14:textId="77777777" w:rsidR="009B0D5E" w:rsidRPr="009F21BD" w:rsidRDefault="009B0D5E" w:rsidP="00F5641B">
            <w:pPr>
              <w:pStyle w:val="styl0"/>
              <w:spacing w:before="120"/>
              <w:jc w:val="left"/>
              <w:rPr>
                <w:b/>
              </w:rPr>
            </w:pPr>
            <w:r w:rsidRPr="009F21BD">
              <w:rPr>
                <w:b/>
              </w:rPr>
              <w:t>Bezpieczeństwo dostaw energii elektrycznej</w:t>
            </w:r>
          </w:p>
        </w:tc>
        <w:tc>
          <w:tcPr>
            <w:tcW w:w="6025" w:type="dxa"/>
          </w:tcPr>
          <w:p w14:paraId="6A97D382" w14:textId="77777777" w:rsidR="009B0D5E" w:rsidRPr="009F21BD" w:rsidRDefault="009B0D5E" w:rsidP="00F5641B">
            <w:pPr>
              <w:pStyle w:val="Default"/>
              <w:spacing w:before="120"/>
              <w:jc w:val="both"/>
              <w:rPr>
                <w:color w:val="auto"/>
              </w:rPr>
            </w:pPr>
            <w:r w:rsidRPr="009F21BD">
              <w:rPr>
                <w:color w:val="auto"/>
              </w:rPr>
              <w:t xml:space="preserve">Zdolność systemu elektroenergetycznego do zapewnienia bezpieczeństwa pracy sieci elektroenergetycznej oraz równoważenia dostaw energii elektrycznej </w:t>
            </w:r>
            <w:r w:rsidRPr="009F21BD">
              <w:rPr>
                <w:color w:val="auto"/>
              </w:rPr>
              <w:br/>
              <w:t xml:space="preserve">z zapotrzebowaniem na tę energię. </w:t>
            </w:r>
          </w:p>
        </w:tc>
      </w:tr>
      <w:tr w:rsidR="00C969E3" w:rsidRPr="009F21BD" w14:paraId="57CA478E" w14:textId="77777777" w:rsidTr="00A9381E">
        <w:tc>
          <w:tcPr>
            <w:tcW w:w="3261" w:type="dxa"/>
            <w:gridSpan w:val="2"/>
          </w:tcPr>
          <w:p w14:paraId="738600EE" w14:textId="728370D8" w:rsidR="00C969E3" w:rsidRPr="009F21BD" w:rsidRDefault="00C969E3" w:rsidP="00F5641B">
            <w:pPr>
              <w:pStyle w:val="styl0"/>
              <w:spacing w:before="120"/>
              <w:jc w:val="left"/>
              <w:rPr>
                <w:b/>
              </w:rPr>
            </w:pPr>
            <w:r>
              <w:rPr>
                <w:b/>
              </w:rPr>
              <w:t>Bezpośredni układ pomiarowy</w:t>
            </w:r>
          </w:p>
        </w:tc>
        <w:tc>
          <w:tcPr>
            <w:tcW w:w="6025" w:type="dxa"/>
          </w:tcPr>
          <w:p w14:paraId="76DEAE1B" w14:textId="54E4F23D" w:rsidR="00C969E3" w:rsidRPr="009F21BD" w:rsidRDefault="00C969E3" w:rsidP="00F5641B">
            <w:pPr>
              <w:pStyle w:val="Default"/>
              <w:spacing w:before="120"/>
              <w:jc w:val="both"/>
              <w:rPr>
                <w:color w:val="auto"/>
              </w:rPr>
            </w:pPr>
            <w:r w:rsidRPr="00C969E3">
              <w:rPr>
                <w:color w:val="000000" w:themeColor="text1"/>
                <w:w w:val="105"/>
              </w:rPr>
              <w:t>Licznik konwencjonalny lub licznik zdalnego odczytu, bez przekładników prądowych ani</w:t>
            </w:r>
            <w:r w:rsidRPr="00C969E3">
              <w:rPr>
                <w:color w:val="000000" w:themeColor="text1"/>
                <w:spacing w:val="-43"/>
                <w:w w:val="105"/>
              </w:rPr>
              <w:t xml:space="preserve"> </w:t>
            </w:r>
            <w:r w:rsidRPr="00C969E3">
              <w:rPr>
                <w:color w:val="000000" w:themeColor="text1"/>
                <w:w w:val="105"/>
              </w:rPr>
              <w:t xml:space="preserve">napięciowych, służący do   pomiarów    energii    elektrycznej    lub   pomiarów </w:t>
            </w:r>
            <w:r>
              <w:rPr>
                <w:color w:val="000000" w:themeColor="text1"/>
                <w:w w:val="105"/>
              </w:rPr>
              <w:br/>
            </w:r>
            <w:r w:rsidRPr="00C969E3">
              <w:rPr>
                <w:color w:val="000000" w:themeColor="text1"/>
                <w:w w:val="105"/>
              </w:rPr>
              <w:t>i rozliczeń za tę</w:t>
            </w:r>
            <w:r w:rsidRPr="00C969E3">
              <w:rPr>
                <w:color w:val="000000" w:themeColor="text1"/>
                <w:spacing w:val="-39"/>
                <w:w w:val="105"/>
              </w:rPr>
              <w:t xml:space="preserve"> </w:t>
            </w:r>
            <w:r w:rsidRPr="00C969E3">
              <w:rPr>
                <w:color w:val="000000" w:themeColor="text1"/>
                <w:w w:val="105"/>
              </w:rPr>
              <w:t>energię</w:t>
            </w:r>
          </w:p>
        </w:tc>
      </w:tr>
      <w:tr w:rsidR="009B0D5E" w:rsidRPr="009F21BD" w14:paraId="7797BDDE" w14:textId="77777777" w:rsidTr="00A9381E">
        <w:tc>
          <w:tcPr>
            <w:tcW w:w="3261" w:type="dxa"/>
            <w:gridSpan w:val="2"/>
          </w:tcPr>
          <w:p w14:paraId="7BB7B82F" w14:textId="77777777" w:rsidR="009B0D5E" w:rsidRPr="009F21BD" w:rsidRDefault="009B0D5E" w:rsidP="00F5641B">
            <w:pPr>
              <w:pStyle w:val="styl0"/>
              <w:spacing w:before="120"/>
              <w:rPr>
                <w:b/>
              </w:rPr>
            </w:pPr>
            <w:r w:rsidRPr="009F21BD">
              <w:rPr>
                <w:b/>
              </w:rPr>
              <w:t>Bilansowanie systemu</w:t>
            </w:r>
          </w:p>
        </w:tc>
        <w:tc>
          <w:tcPr>
            <w:tcW w:w="6025" w:type="dxa"/>
          </w:tcPr>
          <w:p w14:paraId="5221D93C" w14:textId="77777777" w:rsidR="009B0D5E" w:rsidRPr="009F21BD" w:rsidRDefault="009B0D5E" w:rsidP="00F5641B">
            <w:pPr>
              <w:pStyle w:val="styl0"/>
              <w:spacing w:before="120"/>
              <w:rPr>
                <w:szCs w:val="24"/>
              </w:rPr>
            </w:pPr>
            <w:r w:rsidRPr="009F21BD">
              <w:rPr>
                <w:szCs w:val="24"/>
              </w:rPr>
              <w:t>Działalność gospodarczą wykonywaną przez operatora systemu przesyłowego lub dystrybucyjnego w ramach świadczonych usług przesyłania lub dystrybucji, polegającą na równoważeniu zapotrzebowania na energię elektryczną z dostawami tej energii.</w:t>
            </w:r>
          </w:p>
        </w:tc>
      </w:tr>
      <w:tr w:rsidR="00BC34E0" w:rsidRPr="009F21BD" w14:paraId="6DF2E383" w14:textId="77777777" w:rsidTr="00A9381E">
        <w:tc>
          <w:tcPr>
            <w:tcW w:w="3261" w:type="dxa"/>
            <w:gridSpan w:val="2"/>
          </w:tcPr>
          <w:p w14:paraId="13096274" w14:textId="0445B2B6" w:rsidR="00BC34E0" w:rsidRPr="009F21BD" w:rsidRDefault="00BC34E0" w:rsidP="00F5641B">
            <w:pPr>
              <w:pStyle w:val="styl0"/>
              <w:spacing w:before="120"/>
              <w:rPr>
                <w:b/>
              </w:rPr>
            </w:pPr>
            <w:r>
              <w:rPr>
                <w:b/>
              </w:rPr>
              <w:t>Dane pomiarowe</w:t>
            </w:r>
          </w:p>
        </w:tc>
        <w:tc>
          <w:tcPr>
            <w:tcW w:w="6025" w:type="dxa"/>
          </w:tcPr>
          <w:p w14:paraId="6A12CA97" w14:textId="528DA3DA" w:rsidR="00BC34E0" w:rsidRPr="009F21BD" w:rsidRDefault="00BC34E0" w:rsidP="00F5641B">
            <w:pPr>
              <w:pStyle w:val="styl0"/>
              <w:spacing w:before="120"/>
              <w:rPr>
                <w:szCs w:val="24"/>
              </w:rPr>
            </w:pPr>
            <w:r>
              <w:rPr>
                <w:color w:val="000000"/>
                <w:szCs w:val="24"/>
              </w:rPr>
              <w:t>Dane pozyskiwane lub wyznaczane dla punktu pomiarowego.</w:t>
            </w:r>
          </w:p>
        </w:tc>
      </w:tr>
      <w:tr w:rsidR="009B0D5E" w:rsidRPr="009F21BD" w14:paraId="0FEC016C" w14:textId="77777777" w:rsidTr="00A9381E">
        <w:tc>
          <w:tcPr>
            <w:tcW w:w="3261" w:type="dxa"/>
            <w:gridSpan w:val="2"/>
          </w:tcPr>
          <w:p w14:paraId="135BDD25" w14:textId="77777777" w:rsidR="009B0D5E" w:rsidRPr="008A0CD5" w:rsidRDefault="009B0D5E" w:rsidP="00BC34E0">
            <w:pPr>
              <w:spacing w:before="120"/>
              <w:rPr>
                <w:rFonts w:cs="Times New Roman"/>
                <w:b/>
                <w:bCs/>
                <w:szCs w:val="24"/>
              </w:rPr>
            </w:pPr>
            <w:r w:rsidRPr="008A0CD5">
              <w:rPr>
                <w:rFonts w:cs="Times New Roman"/>
                <w:b/>
                <w:bCs/>
                <w:szCs w:val="24"/>
              </w:rPr>
              <w:t>Dystrybucja energii elektrycznej</w:t>
            </w:r>
          </w:p>
        </w:tc>
        <w:tc>
          <w:tcPr>
            <w:tcW w:w="6025" w:type="dxa"/>
          </w:tcPr>
          <w:p w14:paraId="463F92B5" w14:textId="77777777" w:rsidR="009B0D5E" w:rsidRPr="008A0CD5" w:rsidRDefault="009B0D5E" w:rsidP="00F5641B">
            <w:pPr>
              <w:spacing w:before="120"/>
              <w:jc w:val="both"/>
              <w:rPr>
                <w:rFonts w:cs="Times New Roman"/>
                <w:szCs w:val="24"/>
              </w:rPr>
            </w:pPr>
            <w:r w:rsidRPr="008A0CD5">
              <w:rPr>
                <w:rFonts w:cs="Times New Roman"/>
                <w:szCs w:val="24"/>
              </w:rPr>
              <w:t xml:space="preserve">Transport energii elektrycznej sieciami dystrybucyjnymi </w:t>
            </w:r>
            <w:r w:rsidRPr="008A0CD5">
              <w:rPr>
                <w:rFonts w:cs="Times New Roman"/>
                <w:szCs w:val="24"/>
              </w:rPr>
              <w:br/>
              <w:t>w celu jej dostarczania odbiorcom, z wyłączeniem sprzedaży energii.</w:t>
            </w:r>
          </w:p>
        </w:tc>
      </w:tr>
      <w:tr w:rsidR="009B0D5E" w:rsidRPr="009F21BD" w14:paraId="543D0017" w14:textId="77777777" w:rsidTr="00A9381E">
        <w:tc>
          <w:tcPr>
            <w:tcW w:w="3261" w:type="dxa"/>
            <w:gridSpan w:val="2"/>
          </w:tcPr>
          <w:p w14:paraId="6BFF53A4" w14:textId="77777777" w:rsidR="009B0D5E" w:rsidRPr="009F21BD" w:rsidRDefault="009B0D5E" w:rsidP="00F5641B">
            <w:pPr>
              <w:pStyle w:val="Default"/>
              <w:spacing w:before="120"/>
              <w:rPr>
                <w:color w:val="auto"/>
              </w:rPr>
            </w:pPr>
            <w:r w:rsidRPr="009F21BD">
              <w:rPr>
                <w:b/>
                <w:bCs/>
                <w:color w:val="auto"/>
              </w:rPr>
              <w:t xml:space="preserve">Elektroenergetyczna automatyka zabezpieczeniowa </w:t>
            </w:r>
          </w:p>
          <w:p w14:paraId="3D389864" w14:textId="77777777" w:rsidR="009B0D5E" w:rsidRPr="009F21BD" w:rsidRDefault="009B0D5E" w:rsidP="00F5641B">
            <w:pPr>
              <w:spacing w:before="120"/>
              <w:ind w:left="-48"/>
              <w:rPr>
                <w:b/>
                <w:bCs/>
              </w:rPr>
            </w:pPr>
          </w:p>
        </w:tc>
        <w:tc>
          <w:tcPr>
            <w:tcW w:w="6025" w:type="dxa"/>
            <w:shd w:val="clear" w:color="auto" w:fill="auto"/>
          </w:tcPr>
          <w:p w14:paraId="3F3AF7B0" w14:textId="77777777" w:rsidR="009B0D5E" w:rsidRPr="009F21BD" w:rsidRDefault="009B0D5E" w:rsidP="00F5641B">
            <w:pPr>
              <w:pStyle w:val="Default"/>
              <w:spacing w:before="120"/>
              <w:jc w:val="both"/>
              <w:rPr>
                <w:color w:val="auto"/>
              </w:rPr>
            </w:pPr>
            <w:r w:rsidRPr="009F21BD">
              <w:rPr>
                <w:color w:val="auto"/>
              </w:rPr>
              <w:t>Automatyka</w:t>
            </w:r>
            <w:r w:rsidR="005728BA">
              <w:rPr>
                <w:color w:val="auto"/>
              </w:rPr>
              <w:t>,</w:t>
            </w:r>
            <w:r w:rsidRPr="009F21BD">
              <w:rPr>
                <w:color w:val="auto"/>
              </w:rPr>
              <w:t xml:space="preserve"> której celem jest wykrywanie zakłóceń w pracy systemu elektroenergetycznego lub jego elementach oraz podejmowanie działań mających na celu zminimalizowanie ich skutków. EAZ dzielimy na automatykę eliminacyjną, prewencyjną oraz restytucyjną</w:t>
            </w:r>
            <w:r>
              <w:rPr>
                <w:color w:val="auto"/>
              </w:rPr>
              <w:t>.</w:t>
            </w:r>
            <w:r w:rsidRPr="009F21BD">
              <w:rPr>
                <w:color w:val="auto"/>
              </w:rPr>
              <w:t xml:space="preserve"> </w:t>
            </w:r>
          </w:p>
        </w:tc>
      </w:tr>
      <w:tr w:rsidR="00D2724B" w:rsidRPr="009F21BD" w14:paraId="79D33EE1" w14:textId="77777777" w:rsidTr="00A9381E">
        <w:tc>
          <w:tcPr>
            <w:tcW w:w="3261" w:type="dxa"/>
            <w:gridSpan w:val="2"/>
          </w:tcPr>
          <w:p w14:paraId="43395470" w14:textId="77777777" w:rsidR="00D2724B" w:rsidRDefault="00D2724B" w:rsidP="00D2724B">
            <w:pPr>
              <w:spacing w:line="0" w:lineRule="atLeast"/>
              <w:ind w:right="285"/>
              <w:jc w:val="both"/>
              <w:rPr>
                <w:rFonts w:eastAsia="Times New Roman" w:cs="Times New Roman"/>
                <w:b/>
                <w:color w:val="000000"/>
                <w:szCs w:val="24"/>
              </w:rPr>
            </w:pPr>
            <w:r>
              <w:rPr>
                <w:rFonts w:eastAsia="Times New Roman" w:cs="Times New Roman"/>
                <w:b/>
                <w:color w:val="000000"/>
                <w:szCs w:val="24"/>
              </w:rPr>
              <w:t>Elektrownia</w:t>
            </w:r>
          </w:p>
          <w:p w14:paraId="09691D9D" w14:textId="77777777" w:rsidR="00D2724B" w:rsidRPr="009F21BD" w:rsidRDefault="00D2724B" w:rsidP="00F5641B">
            <w:pPr>
              <w:pStyle w:val="Default"/>
              <w:spacing w:before="120"/>
              <w:rPr>
                <w:b/>
                <w:bCs/>
                <w:color w:val="auto"/>
              </w:rPr>
            </w:pPr>
          </w:p>
        </w:tc>
        <w:tc>
          <w:tcPr>
            <w:tcW w:w="6025" w:type="dxa"/>
            <w:shd w:val="clear" w:color="auto" w:fill="auto"/>
          </w:tcPr>
          <w:p w14:paraId="20A1CA1B" w14:textId="77777777" w:rsidR="00D2724B" w:rsidRPr="009F21BD" w:rsidRDefault="00D2724B" w:rsidP="00F5641B">
            <w:pPr>
              <w:pStyle w:val="Default"/>
              <w:spacing w:before="120"/>
              <w:jc w:val="both"/>
              <w:rPr>
                <w:color w:val="auto"/>
              </w:rPr>
            </w:pPr>
            <w:r w:rsidRPr="00613644">
              <w:t xml:space="preserve">Zakład wytwarzania energii, tj. obszarowo </w:t>
            </w:r>
            <w:r>
              <w:t xml:space="preserve">wyodrębniona </w:t>
            </w:r>
            <w:r w:rsidRPr="00613644">
              <w:t>część przedsiębiorstwa energetycznego, prowadzącego działalność polegającą na przekształcaniu energii pierwotnej w energię elektryczną, składająca się z jednego modułu wytwarzania energii lub z większej liczby modułów wytwarzania energii mających jedno lub kilka miejsc przyłączenia do sieci.</w:t>
            </w:r>
          </w:p>
        </w:tc>
      </w:tr>
      <w:tr w:rsidR="009B0D5E" w:rsidRPr="009F21BD" w14:paraId="1B3B89FE" w14:textId="77777777" w:rsidTr="00A9381E">
        <w:tc>
          <w:tcPr>
            <w:tcW w:w="3261" w:type="dxa"/>
            <w:gridSpan w:val="2"/>
          </w:tcPr>
          <w:p w14:paraId="38202C1C" w14:textId="77777777" w:rsidR="009B0D5E" w:rsidRPr="009F21BD" w:rsidRDefault="009B0D5E" w:rsidP="00E82C1D">
            <w:pPr>
              <w:spacing w:before="120"/>
              <w:rPr>
                <w:b/>
                <w:bCs/>
              </w:rPr>
            </w:pPr>
            <w:r w:rsidRPr="009F21BD">
              <w:rPr>
                <w:b/>
                <w:bCs/>
              </w:rPr>
              <w:lastRenderedPageBreak/>
              <w:t>Elektrownia wiatrowa</w:t>
            </w:r>
          </w:p>
        </w:tc>
        <w:tc>
          <w:tcPr>
            <w:tcW w:w="6025" w:type="dxa"/>
            <w:shd w:val="clear" w:color="auto" w:fill="auto"/>
          </w:tcPr>
          <w:p w14:paraId="4548F714" w14:textId="77777777" w:rsidR="009B0D5E" w:rsidRPr="009F21BD" w:rsidRDefault="009B0D5E" w:rsidP="00F5641B">
            <w:pPr>
              <w:spacing w:before="120"/>
              <w:jc w:val="both"/>
            </w:pPr>
            <w:r w:rsidRPr="009F21BD">
              <w:t xml:space="preserve">Pojedyncza jednostka wytwórcza lub zespół jednostek wytwórczych wykorzystujących do wytwarzania energii elektrycznej energię wiatru, przyłączonych do sieci </w:t>
            </w:r>
            <w:r w:rsidRPr="009F21BD">
              <w:br/>
              <w:t>w jednym miejscu przyłączenia.</w:t>
            </w:r>
          </w:p>
        </w:tc>
      </w:tr>
      <w:tr w:rsidR="00182713" w:rsidRPr="009F21BD" w14:paraId="2D4A3451" w14:textId="77777777" w:rsidTr="00A9381E">
        <w:tc>
          <w:tcPr>
            <w:tcW w:w="3261" w:type="dxa"/>
            <w:gridSpan w:val="2"/>
          </w:tcPr>
          <w:p w14:paraId="512ACED6" w14:textId="7F1441F8" w:rsidR="00182713" w:rsidRPr="009F21BD" w:rsidRDefault="00182713" w:rsidP="00E82C1D">
            <w:pPr>
              <w:spacing w:before="120"/>
              <w:rPr>
                <w:b/>
                <w:bCs/>
              </w:rPr>
            </w:pPr>
            <w:r>
              <w:rPr>
                <w:b/>
                <w:bCs/>
              </w:rPr>
              <w:t>Farma fotowoltaiczna</w:t>
            </w:r>
          </w:p>
        </w:tc>
        <w:tc>
          <w:tcPr>
            <w:tcW w:w="6025" w:type="dxa"/>
            <w:shd w:val="clear" w:color="auto" w:fill="auto"/>
          </w:tcPr>
          <w:p w14:paraId="724DC9F8" w14:textId="16FFE874" w:rsidR="00182713" w:rsidRPr="009F21BD" w:rsidRDefault="00182713" w:rsidP="00F5641B">
            <w:pPr>
              <w:spacing w:before="120"/>
              <w:jc w:val="both"/>
            </w:pPr>
            <w:r>
              <w:t xml:space="preserve">Instalacja </w:t>
            </w:r>
            <w:r w:rsidR="0004173F">
              <w:t>odnawialnego źródła energii</w:t>
            </w:r>
            <w:r w:rsidR="00E57226">
              <w:t>, z wyłączeniem magazynu energii elektrycznej, wykorzystująca do wytwarzania energii elektrycznej energię promieniowania słonecznego. Farma fotowoltaiczna stanowi jednostkę wytwórczą.</w:t>
            </w:r>
          </w:p>
        </w:tc>
      </w:tr>
      <w:tr w:rsidR="009B0D5E" w:rsidRPr="009F21BD" w14:paraId="030EECC2" w14:textId="77777777" w:rsidTr="00A9381E">
        <w:tc>
          <w:tcPr>
            <w:tcW w:w="3261" w:type="dxa"/>
            <w:gridSpan w:val="2"/>
          </w:tcPr>
          <w:p w14:paraId="562992F0" w14:textId="77777777" w:rsidR="009B0D5E" w:rsidRPr="009F21BD" w:rsidRDefault="009B0D5E" w:rsidP="00F5641B">
            <w:pPr>
              <w:spacing w:before="120"/>
              <w:rPr>
                <w:b/>
              </w:rPr>
            </w:pPr>
            <w:r w:rsidRPr="009F21BD">
              <w:rPr>
                <w:b/>
                <w:bCs/>
              </w:rPr>
              <w:t>Fizyczne Miejsce Dostarczenia Energii Rynku Bilansującego (</w:t>
            </w:r>
            <w:r w:rsidRPr="009F21BD">
              <w:rPr>
                <w:b/>
                <w:bCs/>
                <w:sz w:val="16"/>
                <w:szCs w:val="16"/>
              </w:rPr>
              <w:t>F</w:t>
            </w:r>
            <w:r w:rsidRPr="009F21BD">
              <w:rPr>
                <w:b/>
                <w:bCs/>
              </w:rPr>
              <w:t>MB)</w:t>
            </w:r>
          </w:p>
        </w:tc>
        <w:tc>
          <w:tcPr>
            <w:tcW w:w="6025" w:type="dxa"/>
          </w:tcPr>
          <w:p w14:paraId="13F6EDD6" w14:textId="77777777" w:rsidR="009B0D5E" w:rsidRPr="009F21BD" w:rsidRDefault="009B0D5E" w:rsidP="00F5641B">
            <w:pPr>
              <w:spacing w:before="120"/>
              <w:jc w:val="both"/>
            </w:pPr>
            <w:r w:rsidRPr="009F21BD">
              <w:t>Miejsce Dostarczenia Energii Rynku Bilansującego, w którym jest realizowana fizyczna dostawa energii. Ilość energii elektrycznej dostarczonej w FMB jest wyznaczana na podstawie Fizycznych Punktów Pomiarowych (FPP) oraz odpowiednich algorytmów obliczeniowych.</w:t>
            </w:r>
          </w:p>
        </w:tc>
      </w:tr>
      <w:tr w:rsidR="009B0D5E" w:rsidRPr="009F21BD" w14:paraId="4B103109" w14:textId="77777777" w:rsidTr="00A9381E">
        <w:tc>
          <w:tcPr>
            <w:tcW w:w="3261" w:type="dxa"/>
            <w:gridSpan w:val="2"/>
          </w:tcPr>
          <w:p w14:paraId="6E9D82ED" w14:textId="77777777" w:rsidR="009B0D5E" w:rsidRPr="009F21BD" w:rsidRDefault="009B0D5E" w:rsidP="00F5641B">
            <w:pPr>
              <w:spacing w:before="120"/>
              <w:rPr>
                <w:b/>
              </w:rPr>
            </w:pPr>
            <w:r w:rsidRPr="009F21BD">
              <w:rPr>
                <w:b/>
              </w:rPr>
              <w:t>Fizyczne Grafikowe Miejsce Dostarczania Energii Rynku Detalicznego (</w:t>
            </w:r>
            <w:r w:rsidRPr="009F21BD">
              <w:rPr>
                <w:b/>
                <w:vertAlign w:val="subscript"/>
              </w:rPr>
              <w:t>F</w:t>
            </w:r>
            <w:r w:rsidRPr="009F21BD">
              <w:rPr>
                <w:b/>
              </w:rPr>
              <w:t>MDD)</w:t>
            </w:r>
          </w:p>
        </w:tc>
        <w:tc>
          <w:tcPr>
            <w:tcW w:w="6025" w:type="dxa"/>
          </w:tcPr>
          <w:p w14:paraId="2BB49DA3" w14:textId="77777777" w:rsidR="009B0D5E" w:rsidRPr="009F21BD" w:rsidRDefault="009B0D5E" w:rsidP="00F5641B">
            <w:pPr>
              <w:spacing w:before="120"/>
              <w:jc w:val="both"/>
            </w:pPr>
            <w:r w:rsidRPr="009F21BD">
              <w:t>Punkt</w:t>
            </w:r>
            <w:r w:rsidR="00450405">
              <w:t>,</w:t>
            </w:r>
            <w:r w:rsidRPr="009F21BD">
              <w:t xml:space="preserve"> w którym ilość energii elektrycznej dostarczonej albo odebranej jest wyznaczana na podstawie wielkości energii zarejestrowanej przez urządzenia pomiarowo-rozliczeniowe umożliwiające rejestrację danych godzinowych oraz odpowiednich algorytmów obliczeniowych.</w:t>
            </w:r>
          </w:p>
        </w:tc>
      </w:tr>
      <w:tr w:rsidR="009B0D5E" w:rsidRPr="009F21BD" w14:paraId="5A2A07ED" w14:textId="77777777" w:rsidTr="00A9381E">
        <w:tc>
          <w:tcPr>
            <w:tcW w:w="3261" w:type="dxa"/>
            <w:gridSpan w:val="2"/>
          </w:tcPr>
          <w:p w14:paraId="4735F04C" w14:textId="77777777" w:rsidR="009B0D5E" w:rsidRPr="009F21BD" w:rsidRDefault="009B0D5E" w:rsidP="00F5641B">
            <w:pPr>
              <w:spacing w:before="120"/>
              <w:rPr>
                <w:b/>
              </w:rPr>
            </w:pPr>
            <w:r w:rsidRPr="009F21BD">
              <w:rPr>
                <w:b/>
              </w:rPr>
              <w:t>Fizyczne Profilowe Miejsce Dostarczania Energii Rynku Detalicznego (</w:t>
            </w:r>
            <w:r w:rsidRPr="009F21BD">
              <w:rPr>
                <w:b/>
                <w:vertAlign w:val="subscript"/>
              </w:rPr>
              <w:t>P</w:t>
            </w:r>
            <w:r w:rsidRPr="009F21BD">
              <w:rPr>
                <w:b/>
              </w:rPr>
              <w:t>MDD)</w:t>
            </w:r>
          </w:p>
        </w:tc>
        <w:tc>
          <w:tcPr>
            <w:tcW w:w="6025" w:type="dxa"/>
          </w:tcPr>
          <w:p w14:paraId="7B507F21" w14:textId="77777777" w:rsidR="009B0D5E" w:rsidRPr="009F21BD" w:rsidRDefault="009B0D5E" w:rsidP="00F5641B">
            <w:pPr>
              <w:spacing w:before="120"/>
              <w:jc w:val="both"/>
            </w:pPr>
            <w:r w:rsidRPr="009F21BD">
              <w:t>Punkt</w:t>
            </w:r>
            <w:r w:rsidR="00450405">
              <w:t>,</w:t>
            </w:r>
            <w:r w:rsidRPr="009F21BD">
              <w:t xml:space="preserve"> w którym ilość energii elektrycznej dostarczonej albo odebranej jest wyznaczana na podstawie wielkości energii zarejestrowanej przez urządzenia pomiarowo-rozliczeniowe nie umożliwiające rejestracji danych godzinowych, standardowych profili zużycia oraz odpowiednich algorytmów obliczeniowych</w:t>
            </w:r>
            <w:r>
              <w:t>.</w:t>
            </w:r>
          </w:p>
        </w:tc>
      </w:tr>
      <w:tr w:rsidR="009B0D5E" w:rsidRPr="009F21BD" w14:paraId="51BA4D73" w14:textId="77777777" w:rsidTr="00A9381E">
        <w:tc>
          <w:tcPr>
            <w:tcW w:w="3261" w:type="dxa"/>
            <w:gridSpan w:val="2"/>
          </w:tcPr>
          <w:p w14:paraId="197F0184" w14:textId="77777777" w:rsidR="009B0D5E" w:rsidRPr="009F21BD" w:rsidRDefault="009B0D5E" w:rsidP="00F5641B">
            <w:pPr>
              <w:spacing w:before="120"/>
              <w:ind w:left="-48"/>
              <w:rPr>
                <w:b/>
                <w:bCs/>
              </w:rPr>
            </w:pPr>
            <w:r w:rsidRPr="009F21BD">
              <w:rPr>
                <w:b/>
                <w:bCs/>
              </w:rPr>
              <w:t>Fizyczny Punkt Pomiarowy (FPP)</w:t>
            </w:r>
          </w:p>
        </w:tc>
        <w:tc>
          <w:tcPr>
            <w:tcW w:w="6025" w:type="dxa"/>
          </w:tcPr>
          <w:p w14:paraId="3869E671" w14:textId="77777777" w:rsidR="009B0D5E" w:rsidRPr="009F21BD" w:rsidRDefault="009B0D5E" w:rsidP="00F5641B">
            <w:pPr>
              <w:spacing w:before="120"/>
              <w:jc w:val="both"/>
            </w:pPr>
            <w:r w:rsidRPr="009F21BD">
              <w:t>Miejsce w sieci, urządzeniu lub instalacji, w którym jest dokonywany pomiar przepływającej energii elektrycznej.</w:t>
            </w:r>
          </w:p>
        </w:tc>
      </w:tr>
      <w:tr w:rsidR="009B0D5E" w:rsidRPr="009F21BD" w14:paraId="310F9495" w14:textId="77777777" w:rsidTr="00A9381E">
        <w:tc>
          <w:tcPr>
            <w:tcW w:w="3261" w:type="dxa"/>
            <w:gridSpan w:val="2"/>
          </w:tcPr>
          <w:p w14:paraId="733A0ACB" w14:textId="77777777" w:rsidR="009B0D5E" w:rsidRPr="009F21BD" w:rsidRDefault="009B0D5E" w:rsidP="00F5641B">
            <w:pPr>
              <w:spacing w:before="120"/>
              <w:ind w:left="-48"/>
              <w:rPr>
                <w:b/>
                <w:bCs/>
              </w:rPr>
            </w:pPr>
            <w:r w:rsidRPr="009F21BD">
              <w:rPr>
                <w:b/>
                <w:bCs/>
              </w:rPr>
              <w:t>Generalna umowa dystrybucji</w:t>
            </w:r>
          </w:p>
        </w:tc>
        <w:tc>
          <w:tcPr>
            <w:tcW w:w="6025" w:type="dxa"/>
            <w:shd w:val="clear" w:color="auto" w:fill="auto"/>
          </w:tcPr>
          <w:p w14:paraId="14BCFBAB" w14:textId="77777777" w:rsidR="009B0D5E" w:rsidRPr="009F21BD" w:rsidRDefault="009B0D5E" w:rsidP="00F5641B">
            <w:pPr>
              <w:spacing w:before="120"/>
              <w:jc w:val="both"/>
            </w:pPr>
            <w:r w:rsidRPr="009F21BD">
              <w:t>Umowa o świadczenie usług dystrybucji energii elektrycznej przez OSD na rzecz sprzedawcy, w celu umożliwienia realizacji przez sprzedawcę umów sprzedaży energii elektrycznej z URDo przyłączonych do sieci dystrybucyjnej OSD, którzy posiadają z OSD zawarta umowę dystrybucyjną.</w:t>
            </w:r>
          </w:p>
        </w:tc>
      </w:tr>
      <w:tr w:rsidR="009B0D5E" w:rsidRPr="009F21BD" w14:paraId="51288140" w14:textId="77777777" w:rsidTr="00A9381E">
        <w:tc>
          <w:tcPr>
            <w:tcW w:w="3261" w:type="dxa"/>
            <w:gridSpan w:val="2"/>
          </w:tcPr>
          <w:p w14:paraId="3DC3DA37" w14:textId="77777777" w:rsidR="009B0D5E" w:rsidRPr="009F21BD" w:rsidRDefault="009B0D5E" w:rsidP="00F5641B">
            <w:pPr>
              <w:spacing w:before="120"/>
              <w:ind w:left="-48"/>
              <w:rPr>
                <w:b/>
                <w:bCs/>
              </w:rPr>
            </w:pPr>
            <w:r w:rsidRPr="009F21BD">
              <w:rPr>
                <w:b/>
                <w:bCs/>
              </w:rPr>
              <w:t>Generalna umowa dystrybucji</w:t>
            </w:r>
            <w:r>
              <w:rPr>
                <w:b/>
                <w:bCs/>
              </w:rPr>
              <w:t xml:space="preserve"> dla usługi kompleksowej (GUD-</w:t>
            </w:r>
            <w:r w:rsidR="00690E5D">
              <w:rPr>
                <w:b/>
                <w:bCs/>
              </w:rPr>
              <w:t>K</w:t>
            </w:r>
            <w:r>
              <w:rPr>
                <w:b/>
                <w:bCs/>
              </w:rPr>
              <w:t>)</w:t>
            </w:r>
          </w:p>
        </w:tc>
        <w:tc>
          <w:tcPr>
            <w:tcW w:w="6025" w:type="dxa"/>
            <w:shd w:val="clear" w:color="auto" w:fill="auto"/>
          </w:tcPr>
          <w:p w14:paraId="1D9751C4" w14:textId="6DB9008B" w:rsidR="009B0D5E" w:rsidRPr="009F21BD" w:rsidRDefault="00D77BA1" w:rsidP="00D77BA1">
            <w:pPr>
              <w:spacing w:before="120"/>
              <w:jc w:val="both"/>
            </w:pPr>
            <w:r w:rsidRPr="00D77BA1">
              <w:rPr>
                <w:rFonts w:cs="Times New Roman"/>
                <w:szCs w:val="24"/>
              </w:rPr>
              <w:t>Umowa o świadczenie usług dystrybucji energii elektrycznej na mocy której OSD zobowiązuje się wobec sprzedawcy do świadczenia usług dystrybucji na rzecz URD, którym sprzedawca świadczy usługę kompleksową na podstawie umowy kompleksowej.</w:t>
            </w:r>
          </w:p>
        </w:tc>
      </w:tr>
      <w:tr w:rsidR="009B0D5E" w:rsidRPr="009F21BD" w14:paraId="39643E42" w14:textId="77777777" w:rsidTr="00A9381E">
        <w:tc>
          <w:tcPr>
            <w:tcW w:w="3261" w:type="dxa"/>
            <w:gridSpan w:val="2"/>
          </w:tcPr>
          <w:p w14:paraId="19F3652B" w14:textId="77777777" w:rsidR="009B0D5E" w:rsidRPr="009F21BD" w:rsidRDefault="009B0D5E" w:rsidP="00F5641B">
            <w:pPr>
              <w:spacing w:before="120"/>
              <w:ind w:left="-48"/>
              <w:rPr>
                <w:b/>
                <w:bCs/>
              </w:rPr>
            </w:pPr>
            <w:r w:rsidRPr="009F21BD">
              <w:rPr>
                <w:b/>
                <w:bCs/>
              </w:rPr>
              <w:t>Grafik obciążeń</w:t>
            </w:r>
          </w:p>
        </w:tc>
        <w:tc>
          <w:tcPr>
            <w:tcW w:w="6025" w:type="dxa"/>
          </w:tcPr>
          <w:p w14:paraId="297CF232" w14:textId="77777777" w:rsidR="009B0D5E" w:rsidRPr="009F21BD" w:rsidRDefault="009B0D5E" w:rsidP="00F5641B">
            <w:pPr>
              <w:pStyle w:val="Default"/>
              <w:spacing w:before="120"/>
              <w:jc w:val="both"/>
              <w:rPr>
                <w:color w:val="auto"/>
              </w:rPr>
            </w:pPr>
            <w:r w:rsidRPr="009F21BD">
              <w:rPr>
                <w:color w:val="auto"/>
              </w:rPr>
              <w:t xml:space="preserve">Zbiór danych określających oddzielnie dla poszczególnych okresów przyjętych do technicznego bilansowania systemu, zawierający ilości energii elektrycznej planowane do wprowadzenia do sieci lub do poboru z sieci. </w:t>
            </w:r>
          </w:p>
        </w:tc>
      </w:tr>
      <w:tr w:rsidR="009B0D5E" w:rsidRPr="009F21BD" w14:paraId="7FF82054" w14:textId="77777777" w:rsidTr="00A9381E">
        <w:tc>
          <w:tcPr>
            <w:tcW w:w="3261" w:type="dxa"/>
            <w:gridSpan w:val="2"/>
          </w:tcPr>
          <w:p w14:paraId="55B53880" w14:textId="77777777" w:rsidR="009B0D5E" w:rsidRPr="009F21BD" w:rsidRDefault="009B0D5E" w:rsidP="00F5641B">
            <w:pPr>
              <w:spacing w:before="120"/>
              <w:ind w:left="-48"/>
              <w:rPr>
                <w:b/>
                <w:bCs/>
              </w:rPr>
            </w:pPr>
            <w:r w:rsidRPr="009F21BD">
              <w:rPr>
                <w:b/>
                <w:bCs/>
              </w:rPr>
              <w:t>Grupy przyłączeniowe</w:t>
            </w:r>
          </w:p>
        </w:tc>
        <w:tc>
          <w:tcPr>
            <w:tcW w:w="6025" w:type="dxa"/>
            <w:shd w:val="clear" w:color="auto" w:fill="auto"/>
          </w:tcPr>
          <w:p w14:paraId="24456E21" w14:textId="18FD683C" w:rsidR="009B0D5E" w:rsidRPr="004635F6" w:rsidRDefault="009B0D5E" w:rsidP="004635F6">
            <w:pPr>
              <w:autoSpaceDE w:val="0"/>
              <w:autoSpaceDN w:val="0"/>
              <w:adjustRightInd w:val="0"/>
              <w:spacing w:before="120"/>
              <w:jc w:val="both"/>
              <w:rPr>
                <w:rFonts w:cs="Times New Roman"/>
                <w:color w:val="000000" w:themeColor="text1"/>
                <w:szCs w:val="24"/>
              </w:rPr>
            </w:pPr>
            <w:r w:rsidRPr="004635F6">
              <w:rPr>
                <w:rFonts w:cs="Times New Roman"/>
                <w:color w:val="000000" w:themeColor="text1"/>
                <w:szCs w:val="24"/>
              </w:rPr>
              <w:t>Grupy podmiotów</w:t>
            </w:r>
            <w:r w:rsidR="00E12DF6" w:rsidRPr="004635F6">
              <w:rPr>
                <w:rFonts w:cs="Times New Roman"/>
                <w:color w:val="000000" w:themeColor="text1"/>
                <w:szCs w:val="24"/>
              </w:rPr>
              <w:t>, których u</w:t>
            </w:r>
            <w:r w:rsidRPr="004635F6">
              <w:rPr>
                <w:rFonts w:cs="Times New Roman"/>
                <w:color w:val="000000" w:themeColor="text1"/>
                <w:szCs w:val="24"/>
              </w:rPr>
              <w:t>rządze</w:t>
            </w:r>
            <w:r w:rsidR="00E12DF6" w:rsidRPr="004635F6">
              <w:rPr>
                <w:rFonts w:cs="Times New Roman"/>
                <w:color w:val="000000" w:themeColor="text1"/>
                <w:szCs w:val="24"/>
              </w:rPr>
              <w:t>nia</w:t>
            </w:r>
            <w:r w:rsidRPr="004635F6">
              <w:rPr>
                <w:rFonts w:cs="Times New Roman"/>
                <w:color w:val="000000" w:themeColor="text1"/>
                <w:szCs w:val="24"/>
              </w:rPr>
              <w:t>, instalacj</w:t>
            </w:r>
            <w:r w:rsidR="00E12DF6" w:rsidRPr="004635F6">
              <w:rPr>
                <w:rFonts w:cs="Times New Roman"/>
                <w:color w:val="000000" w:themeColor="text1"/>
                <w:szCs w:val="24"/>
              </w:rPr>
              <w:t>e</w:t>
            </w:r>
            <w:r w:rsidRPr="004635F6">
              <w:rPr>
                <w:rFonts w:cs="Times New Roman"/>
                <w:color w:val="000000" w:themeColor="text1"/>
                <w:szCs w:val="24"/>
              </w:rPr>
              <w:t xml:space="preserve"> i sieci</w:t>
            </w:r>
            <w:r w:rsidR="00E12DF6" w:rsidRPr="004635F6">
              <w:rPr>
                <w:rFonts w:cs="Times New Roman"/>
                <w:color w:val="000000" w:themeColor="text1"/>
                <w:szCs w:val="24"/>
              </w:rPr>
              <w:t xml:space="preserve"> są przyłączone do sieci</w:t>
            </w:r>
            <w:r w:rsidRPr="004635F6">
              <w:rPr>
                <w:rFonts w:cs="Times New Roman"/>
                <w:color w:val="000000" w:themeColor="text1"/>
                <w:szCs w:val="24"/>
              </w:rPr>
              <w:t>, podzielon</w:t>
            </w:r>
            <w:r w:rsidR="00E12DF6" w:rsidRPr="004635F6">
              <w:rPr>
                <w:rFonts w:cs="Times New Roman"/>
                <w:color w:val="000000" w:themeColor="text1"/>
                <w:szCs w:val="24"/>
              </w:rPr>
              <w:t>ych</w:t>
            </w:r>
            <w:r w:rsidRPr="004635F6">
              <w:rPr>
                <w:rFonts w:cs="Times New Roman"/>
                <w:color w:val="000000" w:themeColor="text1"/>
                <w:szCs w:val="24"/>
              </w:rPr>
              <w:t xml:space="preserve"> </w:t>
            </w:r>
            <w:r w:rsidR="00E12DF6" w:rsidRPr="004635F6">
              <w:rPr>
                <w:rFonts w:cs="Times New Roman"/>
                <w:color w:val="000000" w:themeColor="text1"/>
                <w:szCs w:val="24"/>
              </w:rPr>
              <w:t xml:space="preserve">w </w:t>
            </w:r>
            <w:r w:rsidRPr="004635F6">
              <w:rPr>
                <w:rFonts w:cs="Times New Roman"/>
                <w:color w:val="000000" w:themeColor="text1"/>
                <w:szCs w:val="24"/>
              </w:rPr>
              <w:t>następujący</w:t>
            </w:r>
            <w:r w:rsidR="00E12DF6" w:rsidRPr="004635F6">
              <w:rPr>
                <w:rFonts w:cs="Times New Roman"/>
                <w:color w:val="000000" w:themeColor="text1"/>
                <w:szCs w:val="24"/>
              </w:rPr>
              <w:t xml:space="preserve"> sposób</w:t>
            </w:r>
            <w:r w:rsidRPr="004635F6">
              <w:rPr>
                <w:rFonts w:cs="Times New Roman"/>
                <w:color w:val="000000" w:themeColor="text1"/>
                <w:szCs w:val="24"/>
              </w:rPr>
              <w:t>:</w:t>
            </w:r>
          </w:p>
          <w:p w14:paraId="7D3B2589" w14:textId="46F529B6" w:rsidR="004635F6" w:rsidRPr="004635F6" w:rsidRDefault="004635F6">
            <w:pPr>
              <w:pStyle w:val="Akapitzlist"/>
              <w:widowControl w:val="0"/>
              <w:numPr>
                <w:ilvl w:val="1"/>
                <w:numId w:val="350"/>
              </w:numPr>
              <w:tabs>
                <w:tab w:val="left" w:pos="3848"/>
              </w:tabs>
              <w:autoSpaceDE w:val="0"/>
              <w:autoSpaceDN w:val="0"/>
              <w:spacing w:before="4"/>
              <w:ind w:left="422" w:hanging="425"/>
              <w:jc w:val="both"/>
              <w:rPr>
                <w:rFonts w:cs="Times New Roman"/>
                <w:color w:val="000000" w:themeColor="text1"/>
                <w:szCs w:val="24"/>
              </w:rPr>
            </w:pPr>
            <w:r w:rsidRPr="004635F6">
              <w:rPr>
                <w:rFonts w:cs="Times New Roman"/>
                <w:color w:val="000000" w:themeColor="text1"/>
                <w:szCs w:val="24"/>
              </w:rPr>
              <w:t xml:space="preserve">grupę III stanowią podmioty, których urządzenia, instalacje i sieci są przyłączane bezpośrednio do sieci </w:t>
            </w:r>
            <w:r>
              <w:rPr>
                <w:rFonts w:cs="Times New Roman"/>
                <w:color w:val="000000" w:themeColor="text1"/>
                <w:szCs w:val="24"/>
              </w:rPr>
              <w:br/>
            </w:r>
            <w:r w:rsidRPr="004635F6">
              <w:rPr>
                <w:rFonts w:cs="Times New Roman"/>
                <w:color w:val="000000" w:themeColor="text1"/>
                <w:szCs w:val="24"/>
              </w:rPr>
              <w:lastRenderedPageBreak/>
              <w:t xml:space="preserve">o napięciu znamionowym wyższym niż I kV, jednak niższym niż </w:t>
            </w:r>
            <w:r>
              <w:rPr>
                <w:rFonts w:cs="Times New Roman"/>
                <w:color w:val="000000" w:themeColor="text1"/>
                <w:szCs w:val="24"/>
              </w:rPr>
              <w:t>110</w:t>
            </w:r>
            <w:r w:rsidRPr="004635F6">
              <w:rPr>
                <w:rFonts w:cs="Times New Roman"/>
                <w:color w:val="000000" w:themeColor="text1"/>
                <w:spacing w:val="-31"/>
                <w:szCs w:val="24"/>
              </w:rPr>
              <w:t xml:space="preserve"> </w:t>
            </w:r>
            <w:r w:rsidRPr="004635F6">
              <w:rPr>
                <w:rFonts w:cs="Times New Roman"/>
                <w:color w:val="000000" w:themeColor="text1"/>
                <w:szCs w:val="24"/>
              </w:rPr>
              <w:t>kV,</w:t>
            </w:r>
          </w:p>
          <w:p w14:paraId="6515E5DE" w14:textId="082F3C65" w:rsidR="004635F6" w:rsidRPr="004635F6" w:rsidRDefault="004635F6">
            <w:pPr>
              <w:pStyle w:val="Tekstpodstawowy"/>
              <w:numPr>
                <w:ilvl w:val="1"/>
                <w:numId w:val="350"/>
              </w:numPr>
              <w:spacing w:before="91" w:line="240" w:lineRule="auto"/>
              <w:ind w:left="422" w:hanging="422"/>
              <w:rPr>
                <w:color w:val="000000" w:themeColor="text1"/>
                <w:szCs w:val="24"/>
              </w:rPr>
            </w:pPr>
            <w:r w:rsidRPr="004635F6">
              <w:rPr>
                <w:color w:val="000000" w:themeColor="text1"/>
                <w:szCs w:val="24"/>
              </w:rPr>
              <w:t>grupę IV stanowią podmioty, których urządzenia, instalacje i sieci są przyłączane bezpośrednio do</w:t>
            </w:r>
            <w:r w:rsidRPr="004635F6">
              <w:rPr>
                <w:color w:val="000000" w:themeColor="text1"/>
                <w:spacing w:val="-23"/>
                <w:szCs w:val="24"/>
              </w:rPr>
              <w:t xml:space="preserve"> </w:t>
            </w:r>
            <w:r w:rsidRPr="004635F6">
              <w:rPr>
                <w:color w:val="000000" w:themeColor="text1"/>
                <w:szCs w:val="24"/>
              </w:rPr>
              <w:t xml:space="preserve">sieci </w:t>
            </w:r>
            <w:r>
              <w:rPr>
                <w:color w:val="000000" w:themeColor="text1"/>
                <w:szCs w:val="24"/>
              </w:rPr>
              <w:br/>
            </w:r>
            <w:r w:rsidRPr="004635F6">
              <w:rPr>
                <w:color w:val="000000" w:themeColor="text1"/>
                <w:w w:val="105"/>
                <w:szCs w:val="24"/>
              </w:rPr>
              <w:t>o napięciu znamionowym nie wyższym niż 1 kV oraz</w:t>
            </w:r>
          </w:p>
          <w:p w14:paraId="14205E07" w14:textId="77777777" w:rsidR="004635F6" w:rsidRPr="004635F6" w:rsidRDefault="004635F6" w:rsidP="00B75456">
            <w:pPr>
              <w:pStyle w:val="Tekstpodstawowy"/>
              <w:spacing w:before="12" w:line="240" w:lineRule="auto"/>
              <w:ind w:left="422"/>
              <w:rPr>
                <w:color w:val="000000" w:themeColor="text1"/>
                <w:szCs w:val="24"/>
              </w:rPr>
            </w:pPr>
            <w:r w:rsidRPr="004635F6">
              <w:rPr>
                <w:color w:val="000000" w:themeColor="text1"/>
                <w:w w:val="105"/>
                <w:szCs w:val="24"/>
              </w:rPr>
              <w:t>o mocy przyłączeniowej większej niż 40 kW,</w:t>
            </w:r>
          </w:p>
          <w:p w14:paraId="4E10D630" w14:textId="77777777" w:rsidR="004635F6" w:rsidRPr="004635F6" w:rsidRDefault="004635F6">
            <w:pPr>
              <w:pStyle w:val="Akapitzlist"/>
              <w:widowControl w:val="0"/>
              <w:numPr>
                <w:ilvl w:val="0"/>
                <w:numId w:val="355"/>
              </w:numPr>
              <w:autoSpaceDE w:val="0"/>
              <w:autoSpaceDN w:val="0"/>
              <w:spacing w:before="11"/>
              <w:ind w:left="422" w:right="72" w:hanging="422"/>
              <w:jc w:val="both"/>
              <w:rPr>
                <w:rFonts w:cs="Times New Roman"/>
                <w:color w:val="000000" w:themeColor="text1"/>
                <w:szCs w:val="24"/>
              </w:rPr>
            </w:pPr>
            <w:r w:rsidRPr="004635F6">
              <w:rPr>
                <w:rFonts w:cs="Times New Roman"/>
                <w:color w:val="000000" w:themeColor="text1"/>
                <w:w w:val="105"/>
                <w:szCs w:val="24"/>
              </w:rPr>
              <w:t>grupę V stanowią podmioty, których urządzenia, instalacje i sieci są przyłączane bezpośrednio do sieci o napięciu znamionowym nie wyższym niż 1 kV</w:t>
            </w:r>
            <w:r w:rsidRPr="004635F6">
              <w:rPr>
                <w:rFonts w:cs="Times New Roman"/>
                <w:color w:val="000000" w:themeColor="text1"/>
                <w:spacing w:val="-7"/>
                <w:w w:val="105"/>
                <w:szCs w:val="24"/>
              </w:rPr>
              <w:t xml:space="preserve"> </w:t>
            </w:r>
            <w:r w:rsidRPr="004635F6">
              <w:rPr>
                <w:rFonts w:cs="Times New Roman"/>
                <w:color w:val="000000" w:themeColor="text1"/>
                <w:w w:val="105"/>
                <w:szCs w:val="24"/>
              </w:rPr>
              <w:t>oraz</w:t>
            </w:r>
          </w:p>
          <w:p w14:paraId="76F5D377" w14:textId="77777777" w:rsidR="004635F6" w:rsidRPr="004635F6" w:rsidRDefault="004635F6" w:rsidP="00B75456">
            <w:pPr>
              <w:pStyle w:val="Tekstpodstawowy"/>
              <w:spacing w:before="4" w:line="240" w:lineRule="auto"/>
              <w:ind w:left="422"/>
              <w:rPr>
                <w:color w:val="000000" w:themeColor="text1"/>
                <w:szCs w:val="24"/>
              </w:rPr>
            </w:pPr>
            <w:r w:rsidRPr="004635F6">
              <w:rPr>
                <w:color w:val="000000" w:themeColor="text1"/>
                <w:w w:val="105"/>
                <w:szCs w:val="24"/>
              </w:rPr>
              <w:t>o mocy przyłączeniowej nie większej niż 40 kW,</w:t>
            </w:r>
          </w:p>
          <w:p w14:paraId="48B5C29F" w14:textId="2C0866CD" w:rsidR="009B0D5E" w:rsidRPr="004635F6" w:rsidRDefault="004635F6">
            <w:pPr>
              <w:pStyle w:val="Akapitzlist"/>
              <w:widowControl w:val="0"/>
              <w:numPr>
                <w:ilvl w:val="0"/>
                <w:numId w:val="355"/>
              </w:numPr>
              <w:autoSpaceDE w:val="0"/>
              <w:autoSpaceDN w:val="0"/>
              <w:spacing w:before="16"/>
              <w:ind w:left="422" w:hanging="422"/>
              <w:jc w:val="both"/>
              <w:rPr>
                <w:rFonts w:cs="Times New Roman"/>
                <w:color w:val="000000" w:themeColor="text1"/>
                <w:szCs w:val="24"/>
              </w:rPr>
            </w:pPr>
            <w:r w:rsidRPr="004635F6">
              <w:rPr>
                <w:rFonts w:cs="Times New Roman"/>
                <w:color w:val="000000" w:themeColor="text1"/>
                <w:szCs w:val="24"/>
              </w:rPr>
              <w:t xml:space="preserve">grupę VI stanowią podmioty, których </w:t>
            </w:r>
            <w:r w:rsidRPr="004635F6">
              <w:rPr>
                <w:rFonts w:cs="Times New Roman"/>
                <w:color w:val="000000" w:themeColor="text1"/>
                <w:spacing w:val="2"/>
                <w:szCs w:val="24"/>
              </w:rPr>
              <w:t xml:space="preserve">urządzenia, </w:t>
            </w:r>
            <w:r w:rsidRPr="004635F6">
              <w:rPr>
                <w:rFonts w:cs="Times New Roman"/>
                <w:color w:val="000000" w:themeColor="text1"/>
                <w:szCs w:val="24"/>
              </w:rPr>
              <w:t>instalacje i sieci są przyłączane do sieci przez tymczasowe przyłącze, które będzie, na zasadach określonych w umowie, zastąpione przyłączem docelowym</w:t>
            </w:r>
            <w:r w:rsidR="00B75456">
              <w:rPr>
                <w:rFonts w:cs="Times New Roman"/>
                <w:color w:val="000000" w:themeColor="text1"/>
                <w:szCs w:val="24"/>
              </w:rPr>
              <w:t xml:space="preserve"> </w:t>
            </w:r>
            <w:r w:rsidRPr="004635F6">
              <w:rPr>
                <w:rFonts w:cs="Times New Roman"/>
                <w:color w:val="000000" w:themeColor="text1"/>
                <w:szCs w:val="24"/>
              </w:rPr>
              <w:t>lub podmioty, których urządzenia, instalacje i sieci są przyłączane do sieci na czas określony, jednak nie dłuższy niż</w:t>
            </w:r>
            <w:r w:rsidRPr="004635F6">
              <w:rPr>
                <w:rFonts w:cs="Times New Roman"/>
                <w:color w:val="000000" w:themeColor="text1"/>
                <w:spacing w:val="36"/>
                <w:szCs w:val="24"/>
              </w:rPr>
              <w:t xml:space="preserve"> </w:t>
            </w:r>
            <w:r w:rsidRPr="004635F6">
              <w:rPr>
                <w:rFonts w:cs="Times New Roman"/>
                <w:color w:val="000000" w:themeColor="text1"/>
                <w:szCs w:val="24"/>
              </w:rPr>
              <w:t>rok.</w:t>
            </w:r>
          </w:p>
        </w:tc>
      </w:tr>
      <w:tr w:rsidR="009B0D5E" w:rsidRPr="009F21BD" w14:paraId="7D4E5EDF" w14:textId="77777777" w:rsidTr="00A9381E">
        <w:tc>
          <w:tcPr>
            <w:tcW w:w="3261" w:type="dxa"/>
            <w:gridSpan w:val="2"/>
            <w:shd w:val="clear" w:color="auto" w:fill="auto"/>
          </w:tcPr>
          <w:p w14:paraId="6CFD3D29" w14:textId="77777777" w:rsidR="009B0D5E" w:rsidRPr="009F21BD" w:rsidRDefault="009B0D5E" w:rsidP="00F5641B">
            <w:pPr>
              <w:spacing w:before="120"/>
              <w:ind w:left="-48"/>
              <w:rPr>
                <w:b/>
                <w:bCs/>
              </w:rPr>
            </w:pPr>
            <w:r w:rsidRPr="009F21BD">
              <w:rPr>
                <w:b/>
              </w:rPr>
              <w:lastRenderedPageBreak/>
              <w:t>Instalacja odnawialnego źródła energii</w:t>
            </w:r>
          </w:p>
        </w:tc>
        <w:tc>
          <w:tcPr>
            <w:tcW w:w="6025" w:type="dxa"/>
            <w:shd w:val="clear" w:color="auto" w:fill="auto"/>
          </w:tcPr>
          <w:p w14:paraId="4A203778" w14:textId="77777777" w:rsidR="009B0D5E" w:rsidRPr="009F21BD" w:rsidRDefault="009B0D5E" w:rsidP="00F5641B">
            <w:pPr>
              <w:autoSpaceDE w:val="0"/>
              <w:autoSpaceDN w:val="0"/>
              <w:adjustRightInd w:val="0"/>
              <w:spacing w:before="120"/>
              <w:jc w:val="both"/>
            </w:pPr>
            <w:r w:rsidRPr="009F21BD">
              <w:t>Instalacja stanowiącą wyodrębniony zespół:</w:t>
            </w:r>
          </w:p>
          <w:p w14:paraId="50FCCDE2" w14:textId="77777777" w:rsidR="005A49D2" w:rsidRPr="003B5EA2" w:rsidRDefault="005A49D2">
            <w:pPr>
              <w:numPr>
                <w:ilvl w:val="0"/>
                <w:numId w:val="191"/>
              </w:numPr>
              <w:spacing w:line="0" w:lineRule="atLeast"/>
              <w:ind w:left="352" w:hanging="352"/>
              <w:jc w:val="both"/>
              <w:rPr>
                <w:rFonts w:eastAsia="Times New Roman" w:cs="Times New Roman"/>
                <w:bCs/>
                <w:color w:val="000000"/>
                <w:szCs w:val="24"/>
              </w:rPr>
            </w:pPr>
            <w:r w:rsidRPr="003B5EA2">
              <w:rPr>
                <w:rFonts w:eastAsia="Times New Roman" w:cs="Times New Roman"/>
                <w:bCs/>
                <w:color w:val="000000"/>
                <w:szCs w:val="24"/>
              </w:rPr>
              <w:t xml:space="preserve">urządzeń służących do wytwarzania energii </w:t>
            </w:r>
            <w:r w:rsidRPr="003B5EA2">
              <w:rPr>
                <w:rFonts w:eastAsia="Times New Roman" w:cs="Times New Roman"/>
                <w:bCs/>
                <w:color w:val="000000"/>
                <w:szCs w:val="24"/>
              </w:rPr>
              <w:br/>
              <w:t>i wyprowadzania mocy, w których energia elektryczna lub ciepło są wytwarzane</w:t>
            </w:r>
            <w:r w:rsidR="00F16B5E">
              <w:rPr>
                <w:rFonts w:eastAsia="Times New Roman" w:cs="Times New Roman"/>
                <w:bCs/>
                <w:color w:val="000000"/>
                <w:szCs w:val="24"/>
              </w:rPr>
              <w:t xml:space="preserve"> </w:t>
            </w:r>
            <w:r w:rsidRPr="003B5EA2">
              <w:rPr>
                <w:rFonts w:eastAsia="Times New Roman" w:cs="Times New Roman"/>
                <w:bCs/>
                <w:color w:val="000000"/>
                <w:szCs w:val="24"/>
              </w:rPr>
              <w:t>z odnawialnych źródeł energii lub</w:t>
            </w:r>
          </w:p>
          <w:p w14:paraId="0D734866" w14:textId="77777777" w:rsidR="005A49D2" w:rsidRPr="003B5EA2" w:rsidRDefault="005A49D2">
            <w:pPr>
              <w:numPr>
                <w:ilvl w:val="0"/>
                <w:numId w:val="191"/>
              </w:numPr>
              <w:spacing w:line="0" w:lineRule="atLeast"/>
              <w:ind w:left="352" w:hanging="283"/>
              <w:jc w:val="both"/>
              <w:rPr>
                <w:rFonts w:eastAsia="Times New Roman" w:cs="Times New Roman"/>
                <w:bCs/>
                <w:color w:val="000000"/>
                <w:szCs w:val="24"/>
              </w:rPr>
            </w:pPr>
            <w:r w:rsidRPr="003B5EA2">
              <w:rPr>
                <w:rFonts w:eastAsia="Times New Roman" w:cs="Times New Roman"/>
                <w:bCs/>
                <w:color w:val="000000"/>
                <w:szCs w:val="24"/>
              </w:rPr>
              <w:t>obiektów budowlanych i urządzeń stanowiących całość techniczno-użytkową służący do wytarzania biogazu rolniczego,</w:t>
            </w:r>
          </w:p>
          <w:p w14:paraId="1AAD16BF" w14:textId="77777777" w:rsidR="009B0D5E" w:rsidRPr="009F21BD" w:rsidRDefault="005A49D2" w:rsidP="005A49D2">
            <w:pPr>
              <w:autoSpaceDE w:val="0"/>
              <w:autoSpaceDN w:val="0"/>
              <w:adjustRightInd w:val="0"/>
              <w:spacing w:before="120"/>
              <w:jc w:val="both"/>
            </w:pPr>
            <w:r w:rsidRPr="003B5EA2">
              <w:rPr>
                <w:rFonts w:eastAsia="Times New Roman" w:cs="Times New Roman"/>
                <w:bCs/>
                <w:color w:val="000000"/>
                <w:szCs w:val="24"/>
              </w:rPr>
              <w:t>- a także połączony z tym zespołem magazyn energii elektrycznej, w tym magazynu biogazu rolniczego.</w:t>
            </w:r>
          </w:p>
        </w:tc>
      </w:tr>
      <w:tr w:rsidR="009B0D5E" w:rsidRPr="009F21BD" w14:paraId="62C9EDB4" w14:textId="77777777" w:rsidTr="00A9381E">
        <w:tc>
          <w:tcPr>
            <w:tcW w:w="3261" w:type="dxa"/>
            <w:gridSpan w:val="2"/>
          </w:tcPr>
          <w:p w14:paraId="429A87C6" w14:textId="77777777" w:rsidR="009B0D5E" w:rsidRPr="009F21BD" w:rsidRDefault="009B0D5E" w:rsidP="00F5641B">
            <w:pPr>
              <w:spacing w:before="120"/>
              <w:ind w:left="-48"/>
              <w:rPr>
                <w:b/>
                <w:bCs/>
              </w:rPr>
            </w:pPr>
            <w:r w:rsidRPr="009F21BD">
              <w:rPr>
                <w:b/>
                <w:bCs/>
              </w:rPr>
              <w:t>Jednostka Grafikowa (JG)</w:t>
            </w:r>
          </w:p>
        </w:tc>
        <w:tc>
          <w:tcPr>
            <w:tcW w:w="6025" w:type="dxa"/>
          </w:tcPr>
          <w:p w14:paraId="3D578D06" w14:textId="77777777" w:rsidR="009B0D5E" w:rsidRPr="009F21BD" w:rsidRDefault="009B0D5E" w:rsidP="00F5641B">
            <w:pPr>
              <w:spacing w:before="120"/>
              <w:jc w:val="both"/>
            </w:pPr>
            <w:r w:rsidRPr="009F21BD">
              <w:t>Zbiór rzeczywistych lub wirtualnych miejsc dostarczania energii elektrycznej.</w:t>
            </w:r>
          </w:p>
        </w:tc>
      </w:tr>
      <w:tr w:rsidR="009B0D5E" w:rsidRPr="009F21BD" w14:paraId="7DA806CD" w14:textId="77777777" w:rsidTr="00A9381E">
        <w:tc>
          <w:tcPr>
            <w:tcW w:w="3261" w:type="dxa"/>
            <w:gridSpan w:val="2"/>
          </w:tcPr>
          <w:p w14:paraId="77B0FA03" w14:textId="77777777" w:rsidR="009B0D5E" w:rsidRPr="009F21BD" w:rsidRDefault="009B0D5E" w:rsidP="00F5641B">
            <w:pPr>
              <w:spacing w:before="120"/>
              <w:ind w:left="-48"/>
              <w:rPr>
                <w:b/>
                <w:bCs/>
              </w:rPr>
            </w:pPr>
            <w:r w:rsidRPr="009F21BD">
              <w:rPr>
                <w:b/>
                <w:bCs/>
              </w:rPr>
              <w:t>Jednostka wytwórcza</w:t>
            </w:r>
          </w:p>
        </w:tc>
        <w:tc>
          <w:tcPr>
            <w:tcW w:w="6025" w:type="dxa"/>
          </w:tcPr>
          <w:p w14:paraId="5B744D4F" w14:textId="77777777" w:rsidR="00116289" w:rsidRPr="00765DCE" w:rsidRDefault="00116289" w:rsidP="00116289">
            <w:pPr>
              <w:pStyle w:val="Default"/>
              <w:jc w:val="both"/>
            </w:pPr>
            <w:r w:rsidRPr="00765DCE">
              <w:t>Moduł wytwarzania energii, tj. wyodrębniony zespół urządzeń elektrowni, służący do wytwarzania energii elektrycznej i wyprowadzania mocy. Jednostka wytwórcza obejmuje także transformatory oraz linie służące do wyprowadzenia mocy, wraz z łącznikami</w:t>
            </w:r>
            <w:r>
              <w:t xml:space="preserve"> </w:t>
            </w:r>
            <w:r w:rsidRPr="00765DCE">
              <w:t xml:space="preserve">w miejscu przyłączenia jednostki do sieci. </w:t>
            </w:r>
          </w:p>
          <w:p w14:paraId="17C6B23C" w14:textId="77777777" w:rsidR="00116289" w:rsidRPr="00765DCE" w:rsidRDefault="00116289" w:rsidP="00116289">
            <w:pPr>
              <w:pStyle w:val="Default"/>
              <w:jc w:val="both"/>
            </w:pPr>
            <w:r w:rsidRPr="00765DCE">
              <w:t xml:space="preserve">W przypadku, gdy ze względu na ścisłe powiązanie technologiczne w procesie wytwarzania energii, produkcja energii z jednego źródła jest uzależniona od pracy innego, takie źródła wytwórcze należy traktować jako jedną jednostkę wytwórczą. </w:t>
            </w:r>
          </w:p>
          <w:p w14:paraId="3CB055CE" w14:textId="77777777" w:rsidR="00116289" w:rsidRPr="00765DCE" w:rsidRDefault="00116289" w:rsidP="00116289">
            <w:pPr>
              <w:spacing w:line="0" w:lineRule="atLeast"/>
              <w:jc w:val="both"/>
              <w:rPr>
                <w:rFonts w:cs="Times New Roman"/>
                <w:szCs w:val="24"/>
              </w:rPr>
            </w:pPr>
            <w:r w:rsidRPr="00765DCE">
              <w:rPr>
                <w:rFonts w:cs="Times New Roman"/>
                <w:szCs w:val="24"/>
              </w:rPr>
              <w:t xml:space="preserve">Rozporządzenie Komisji (UE) 2016/631 z dnia 14 kwietnia 2016 r. ustanawiające kodeks sieci dotyczący wymogów </w:t>
            </w:r>
            <w:r>
              <w:rPr>
                <w:rFonts w:cs="Times New Roman"/>
                <w:szCs w:val="24"/>
              </w:rPr>
              <w:br/>
            </w:r>
            <w:r w:rsidRPr="00765DCE">
              <w:rPr>
                <w:rFonts w:cs="Times New Roman"/>
                <w:szCs w:val="24"/>
              </w:rPr>
              <w:t xml:space="preserve">w zakresie przyłączenia jednostek wytwórczych do sieci (Dz. Urz. UE L 112/1 z 27.4.2016) - NC RfG, w art. 5 ust. 2 określa cztery kategorie (typy) modułów wytwarzania energii, tj. typ A, B, C i D oraz wartości graniczne progów mocy dla tych modułów. Na podstawie art. 5 ust. 3 powołanego rozporządzenia zostały opracowane przez OSP </w:t>
            </w:r>
            <w:r>
              <w:rPr>
                <w:rFonts w:cs="Times New Roman"/>
                <w:szCs w:val="24"/>
              </w:rPr>
              <w:br/>
            </w:r>
            <w:r w:rsidRPr="00765DCE">
              <w:rPr>
                <w:rFonts w:cs="Times New Roman"/>
                <w:szCs w:val="24"/>
              </w:rPr>
              <w:t xml:space="preserve">i zatwierdzone przez Prezesa URE dla obszaru </w:t>
            </w:r>
            <w:r w:rsidRPr="00765DCE">
              <w:rPr>
                <w:rFonts w:cs="Times New Roman"/>
                <w:szCs w:val="24"/>
              </w:rPr>
              <w:lastRenderedPageBreak/>
              <w:t xml:space="preserve">Rzeczypospolitej Polskiej progi mocy maksymalnych dla ww. modułów wytwarzania energii typu B, C i D. </w:t>
            </w:r>
          </w:p>
          <w:p w14:paraId="53D8878B" w14:textId="77777777" w:rsidR="00116289" w:rsidRPr="00765DCE" w:rsidRDefault="00116289" w:rsidP="00116289">
            <w:pPr>
              <w:pStyle w:val="Default"/>
              <w:jc w:val="both"/>
            </w:pPr>
            <w:r w:rsidRPr="00765DCE">
              <w:t xml:space="preserve">Podział modułów wytwarzania energii: </w:t>
            </w:r>
          </w:p>
          <w:p w14:paraId="34D4B2D1" w14:textId="77777777" w:rsidR="00116289" w:rsidRPr="00765DCE" w:rsidRDefault="00116289" w:rsidP="009319F1">
            <w:pPr>
              <w:pStyle w:val="Default"/>
              <w:ind w:left="210" w:hanging="283"/>
              <w:jc w:val="both"/>
            </w:pPr>
            <w:r w:rsidRPr="00765DCE">
              <w:t>a) moduł wytwarzania energii typu A –moduł wytwarzania energii przyłączony do sieci</w:t>
            </w:r>
            <w:r>
              <w:t xml:space="preserve"> </w:t>
            </w:r>
            <w:r w:rsidRPr="00765DCE">
              <w:t xml:space="preserve">o napięciu niższym niż </w:t>
            </w:r>
            <w:r>
              <w:br/>
            </w:r>
            <w:r w:rsidRPr="00765DCE">
              <w:t xml:space="preserve">110 kV oraz mocy maksymalnej nie mniejszej niż </w:t>
            </w:r>
            <w:r>
              <w:br/>
            </w:r>
            <w:r w:rsidRPr="00765DCE">
              <w:t>0,8 kW</w:t>
            </w:r>
            <w:r>
              <w:t xml:space="preserve"> </w:t>
            </w:r>
            <w:r w:rsidRPr="00765DCE">
              <w:t xml:space="preserve">i mniejszej niż 200 kW, </w:t>
            </w:r>
          </w:p>
          <w:p w14:paraId="5EDCD52A" w14:textId="77777777" w:rsidR="00116289" w:rsidRPr="00765DCE" w:rsidRDefault="00116289" w:rsidP="009319F1">
            <w:pPr>
              <w:pStyle w:val="Default"/>
              <w:ind w:left="210" w:hanging="283"/>
              <w:jc w:val="both"/>
            </w:pPr>
            <w:r w:rsidRPr="00765DCE">
              <w:t>b) moduł wytwarzania energii typu B –moduł wytwarzania energii przyłączony do sieci</w:t>
            </w:r>
            <w:r>
              <w:t xml:space="preserve"> </w:t>
            </w:r>
            <w:r w:rsidRPr="00765DCE">
              <w:t xml:space="preserve">o napięciu niższym niż </w:t>
            </w:r>
            <w:r>
              <w:br/>
            </w:r>
            <w:r w:rsidRPr="00765DCE">
              <w:t xml:space="preserve">110 kV oraz mocy maksymalnej nie mniejszej niż </w:t>
            </w:r>
            <w:r>
              <w:br/>
            </w:r>
            <w:r w:rsidRPr="00765DCE">
              <w:t>200 kW</w:t>
            </w:r>
            <w:r>
              <w:t xml:space="preserve"> </w:t>
            </w:r>
            <w:r w:rsidRPr="00765DCE">
              <w:t xml:space="preserve">i mniejszej niż 10 MW, </w:t>
            </w:r>
          </w:p>
          <w:p w14:paraId="58EA92E9" w14:textId="77777777" w:rsidR="001A39EA" w:rsidRDefault="00116289" w:rsidP="001A39EA">
            <w:pPr>
              <w:pStyle w:val="Default"/>
              <w:ind w:left="210" w:hanging="278"/>
              <w:jc w:val="both"/>
            </w:pPr>
            <w:r w:rsidRPr="00765DCE">
              <w:t>c) moduł wytwarzania energii typu C –moduł wytwarzania energii przyłączony do sieci</w:t>
            </w:r>
            <w:r>
              <w:t xml:space="preserve"> </w:t>
            </w:r>
            <w:r w:rsidRPr="00765DCE">
              <w:t xml:space="preserve">o napięciu niższym niż </w:t>
            </w:r>
            <w:r>
              <w:br/>
            </w:r>
            <w:r w:rsidRPr="00765DCE">
              <w:t xml:space="preserve">110 kV oraz mocy maksymalnej nie mniejszej niż </w:t>
            </w:r>
            <w:r>
              <w:br/>
            </w:r>
            <w:r w:rsidRPr="00765DCE">
              <w:t>10 MW</w:t>
            </w:r>
            <w:r>
              <w:t xml:space="preserve"> </w:t>
            </w:r>
            <w:r w:rsidRPr="00765DCE">
              <w:t xml:space="preserve">i mniejszej niż 75 MW, </w:t>
            </w:r>
          </w:p>
          <w:p w14:paraId="3A12C8A4" w14:textId="77777777" w:rsidR="009B0D5E" w:rsidRPr="009F21BD" w:rsidRDefault="00116289" w:rsidP="001A39EA">
            <w:pPr>
              <w:pStyle w:val="Default"/>
              <w:ind w:left="210" w:hanging="278"/>
              <w:jc w:val="both"/>
            </w:pPr>
            <w:r w:rsidRPr="00765DCE">
              <w:t>d) moduł wytwarzania energii typu D –moduł wytwarzania energii przyłączony do sieci</w:t>
            </w:r>
            <w:r w:rsidR="009319F1">
              <w:t xml:space="preserve"> </w:t>
            </w:r>
            <w:r w:rsidRPr="00765DCE">
              <w:t xml:space="preserve">o napięciu niższym niż </w:t>
            </w:r>
            <w:r w:rsidR="009319F1">
              <w:br/>
            </w:r>
            <w:r w:rsidRPr="00765DCE">
              <w:t>110 kV i mocy maksymalnej nie mniejszej niż 75 MW oraz wszystkie moduły wytwarzania energii, bez względu na ich moc maksymalną, jeśli napięcie w punkcie ich przyłączenia ma wartość co najmniej 110 kV.</w:t>
            </w:r>
          </w:p>
        </w:tc>
      </w:tr>
      <w:tr w:rsidR="0085307E" w:rsidRPr="009F21BD" w14:paraId="77B642E6" w14:textId="77777777" w:rsidTr="00A9381E">
        <w:tc>
          <w:tcPr>
            <w:tcW w:w="3261" w:type="dxa"/>
            <w:gridSpan w:val="2"/>
          </w:tcPr>
          <w:p w14:paraId="745EDD24" w14:textId="1BF55DCD" w:rsidR="0085307E" w:rsidRPr="009F21BD" w:rsidRDefault="0085307E" w:rsidP="00F5641B">
            <w:pPr>
              <w:spacing w:before="120"/>
              <w:ind w:left="-48"/>
              <w:rPr>
                <w:b/>
                <w:bCs/>
              </w:rPr>
            </w:pPr>
            <w:r w:rsidRPr="009F21BD">
              <w:rPr>
                <w:b/>
                <w:bCs/>
              </w:rPr>
              <w:lastRenderedPageBreak/>
              <w:t>Jednostka wytwórcza</w:t>
            </w:r>
            <w:r>
              <w:rPr>
                <w:b/>
                <w:bCs/>
              </w:rPr>
              <w:t xml:space="preserve"> centralnie dysponowana</w:t>
            </w:r>
          </w:p>
        </w:tc>
        <w:tc>
          <w:tcPr>
            <w:tcW w:w="6025" w:type="dxa"/>
          </w:tcPr>
          <w:p w14:paraId="2FF66B33" w14:textId="77777777" w:rsidR="0085307E" w:rsidRPr="0085307E" w:rsidRDefault="0085307E" w:rsidP="0085307E">
            <w:pPr>
              <w:spacing w:before="120"/>
              <w:ind w:left="-3" w:right="-142"/>
              <w:jc w:val="both"/>
              <w:rPr>
                <w:rFonts w:cs="Times New Roman"/>
                <w:szCs w:val="24"/>
              </w:rPr>
            </w:pPr>
            <w:r w:rsidRPr="0085307E">
              <w:rPr>
                <w:rFonts w:cs="Times New Roman"/>
                <w:szCs w:val="24"/>
              </w:rPr>
              <w:t>Jednostka wytwórcza:</w:t>
            </w:r>
          </w:p>
          <w:p w14:paraId="1B7B519B" w14:textId="77777777" w:rsidR="0085307E" w:rsidRPr="0085307E" w:rsidRDefault="0085307E" w:rsidP="0085307E">
            <w:pPr>
              <w:spacing w:before="120"/>
              <w:ind w:left="-3"/>
              <w:jc w:val="both"/>
              <w:rPr>
                <w:rFonts w:cs="Times New Roman"/>
                <w:szCs w:val="24"/>
              </w:rPr>
            </w:pPr>
            <w:r w:rsidRPr="0085307E">
              <w:rPr>
                <w:rFonts w:cs="Times New Roman"/>
                <w:szCs w:val="24"/>
              </w:rPr>
              <w:t>a) przyłączona do sieci przesyłowej elektroenergetycznej albo</w:t>
            </w:r>
          </w:p>
          <w:p w14:paraId="64F6651F" w14:textId="77777777" w:rsidR="0085307E" w:rsidRPr="0085307E" w:rsidRDefault="0085307E" w:rsidP="0085307E">
            <w:pPr>
              <w:spacing w:before="120"/>
              <w:ind w:left="280" w:hanging="280"/>
              <w:jc w:val="both"/>
              <w:rPr>
                <w:rFonts w:cs="Times New Roman"/>
                <w:szCs w:val="24"/>
              </w:rPr>
            </w:pPr>
            <w:r w:rsidRPr="0085307E">
              <w:rPr>
                <w:rFonts w:cs="Times New Roman"/>
                <w:szCs w:val="24"/>
              </w:rPr>
              <w:t>b) kondensacyjna o mocy osiągalnej równej lub wyższej niż 100 MW przyłączona do koordynowanej sieci 110 kV lub szczytowo-pompowa przyłączona do koordynowanej sieci 110 kV, albo</w:t>
            </w:r>
          </w:p>
          <w:p w14:paraId="7656B6F8" w14:textId="580AF13D" w:rsidR="0085307E" w:rsidRPr="00765DCE" w:rsidRDefault="0085307E" w:rsidP="00C85BA7">
            <w:pPr>
              <w:spacing w:before="120"/>
              <w:ind w:left="280" w:hanging="280"/>
              <w:jc w:val="both"/>
            </w:pPr>
            <w:r w:rsidRPr="0085307E">
              <w:rPr>
                <w:rFonts w:cs="Times New Roman"/>
                <w:szCs w:val="24"/>
              </w:rPr>
              <w:t>c) przyłączona do koordynowanej sieci 110 kV inną niż określona w lit. b, którą operator systemu przesyłowego elektroenergetycznego dysponuje na podstawie odrębnych umów zawartych z wytwórcą i operatorem systemu dystrybucyjnego elektroenergetycznego, do którego sieci ta jednostka wytwórcza jest przyłączona.</w:t>
            </w:r>
          </w:p>
        </w:tc>
      </w:tr>
      <w:tr w:rsidR="0078019D" w:rsidRPr="009F21BD" w14:paraId="00A95298" w14:textId="77777777" w:rsidTr="00A9381E">
        <w:tc>
          <w:tcPr>
            <w:tcW w:w="3261" w:type="dxa"/>
            <w:gridSpan w:val="2"/>
          </w:tcPr>
          <w:p w14:paraId="736B5A32" w14:textId="296A0987" w:rsidR="0078019D" w:rsidRPr="009F21BD" w:rsidRDefault="0078019D" w:rsidP="00F5641B">
            <w:pPr>
              <w:spacing w:before="120"/>
              <w:ind w:left="-48"/>
              <w:rPr>
                <w:b/>
                <w:bCs/>
              </w:rPr>
            </w:pPr>
            <w:r>
              <w:rPr>
                <w:b/>
                <w:bCs/>
              </w:rPr>
              <w:t>Kod EIC</w:t>
            </w:r>
          </w:p>
        </w:tc>
        <w:tc>
          <w:tcPr>
            <w:tcW w:w="6025" w:type="dxa"/>
          </w:tcPr>
          <w:p w14:paraId="787020DA" w14:textId="3495ECD4" w:rsidR="0078019D" w:rsidRPr="0085307E" w:rsidRDefault="0078019D" w:rsidP="0078019D">
            <w:pPr>
              <w:spacing w:before="120"/>
              <w:ind w:left="-3"/>
              <w:jc w:val="both"/>
              <w:rPr>
                <w:rFonts w:cs="Times New Roman"/>
                <w:szCs w:val="24"/>
              </w:rPr>
            </w:pPr>
            <w:r w:rsidRPr="0078019D">
              <w:rPr>
                <w:b/>
                <w:color w:val="000000" w:themeColor="text1"/>
                <w:w w:val="105"/>
              </w:rPr>
              <w:tab/>
            </w:r>
            <w:r w:rsidRPr="0078019D">
              <w:rPr>
                <w:color w:val="000000" w:themeColor="text1"/>
                <w:w w:val="105"/>
                <w:position w:val="1"/>
              </w:rPr>
              <w:t xml:space="preserve">Kod służący do identyfikacji podmiotów na europejskim rynku </w:t>
            </w:r>
            <w:r w:rsidRPr="0078019D">
              <w:rPr>
                <w:color w:val="000000" w:themeColor="text1"/>
                <w:w w:val="105"/>
              </w:rPr>
              <w:t>energii. Kody nadawane są przez Centralne Biuro Kodów EIC (ENTSO-E) i przez Lokalne Biura Kodów EIC w poszczególnych krajach.</w:t>
            </w:r>
            <w:r w:rsidRPr="0078019D">
              <w:rPr>
                <w:color w:val="000000" w:themeColor="text1"/>
                <w:spacing w:val="-14"/>
                <w:w w:val="105"/>
              </w:rPr>
              <w:t xml:space="preserve"> </w:t>
            </w:r>
            <w:r w:rsidRPr="0078019D">
              <w:rPr>
                <w:color w:val="000000" w:themeColor="text1"/>
                <w:w w:val="105"/>
              </w:rPr>
              <w:t>W</w:t>
            </w:r>
            <w:r w:rsidRPr="0078019D">
              <w:rPr>
                <w:color w:val="000000" w:themeColor="text1"/>
                <w:spacing w:val="-15"/>
                <w:w w:val="105"/>
              </w:rPr>
              <w:t xml:space="preserve"> </w:t>
            </w:r>
            <w:r w:rsidRPr="0078019D">
              <w:rPr>
                <w:color w:val="000000" w:themeColor="text1"/>
                <w:w w:val="105"/>
              </w:rPr>
              <w:t>Polsce</w:t>
            </w:r>
            <w:r w:rsidRPr="0078019D">
              <w:rPr>
                <w:color w:val="000000" w:themeColor="text1"/>
                <w:spacing w:val="-13"/>
                <w:w w:val="105"/>
              </w:rPr>
              <w:t xml:space="preserve"> </w:t>
            </w:r>
            <w:r w:rsidRPr="0078019D">
              <w:rPr>
                <w:color w:val="000000" w:themeColor="text1"/>
                <w:w w:val="105"/>
              </w:rPr>
              <w:t>Lokalne</w:t>
            </w:r>
            <w:r w:rsidRPr="0078019D">
              <w:rPr>
                <w:color w:val="000000" w:themeColor="text1"/>
                <w:spacing w:val="-15"/>
                <w:w w:val="105"/>
              </w:rPr>
              <w:t xml:space="preserve"> </w:t>
            </w:r>
            <w:r w:rsidRPr="0078019D">
              <w:rPr>
                <w:color w:val="000000" w:themeColor="text1"/>
                <w:w w:val="105"/>
              </w:rPr>
              <w:t>Biura</w:t>
            </w:r>
            <w:r w:rsidRPr="0078019D">
              <w:rPr>
                <w:color w:val="000000" w:themeColor="text1"/>
                <w:spacing w:val="-18"/>
                <w:w w:val="105"/>
              </w:rPr>
              <w:t xml:space="preserve"> </w:t>
            </w:r>
            <w:r w:rsidRPr="0078019D">
              <w:rPr>
                <w:color w:val="000000" w:themeColor="text1"/>
                <w:w w:val="105"/>
              </w:rPr>
              <w:t>Kodów</w:t>
            </w:r>
            <w:r w:rsidRPr="0078019D">
              <w:rPr>
                <w:color w:val="000000" w:themeColor="text1"/>
                <w:spacing w:val="-12"/>
                <w:w w:val="105"/>
              </w:rPr>
              <w:t xml:space="preserve"> </w:t>
            </w:r>
            <w:r w:rsidRPr="0078019D">
              <w:rPr>
                <w:color w:val="000000" w:themeColor="text1"/>
                <w:w w:val="105"/>
              </w:rPr>
              <w:t>EIC</w:t>
            </w:r>
            <w:r w:rsidRPr="0078019D">
              <w:rPr>
                <w:color w:val="000000" w:themeColor="text1"/>
                <w:spacing w:val="-11"/>
                <w:w w:val="105"/>
              </w:rPr>
              <w:t xml:space="preserve"> </w:t>
            </w:r>
            <w:r w:rsidRPr="0078019D">
              <w:rPr>
                <w:color w:val="000000" w:themeColor="text1"/>
                <w:w w:val="105"/>
              </w:rPr>
              <w:t>prowadzone</w:t>
            </w:r>
            <w:r w:rsidRPr="0078019D">
              <w:rPr>
                <w:color w:val="000000" w:themeColor="text1"/>
                <w:spacing w:val="-13"/>
                <w:w w:val="105"/>
              </w:rPr>
              <w:t xml:space="preserve"> </w:t>
            </w:r>
            <w:r w:rsidRPr="0078019D">
              <w:rPr>
                <w:color w:val="000000" w:themeColor="text1"/>
                <w:w w:val="105"/>
              </w:rPr>
              <w:t>są</w:t>
            </w:r>
            <w:r w:rsidRPr="0078019D">
              <w:rPr>
                <w:color w:val="000000" w:themeColor="text1"/>
                <w:spacing w:val="-15"/>
                <w:w w:val="105"/>
              </w:rPr>
              <w:t xml:space="preserve"> </w:t>
            </w:r>
            <w:r w:rsidRPr="0078019D">
              <w:rPr>
                <w:color w:val="000000" w:themeColor="text1"/>
                <w:w w:val="105"/>
              </w:rPr>
              <w:t>przez Polskie</w:t>
            </w:r>
            <w:r w:rsidRPr="0078019D">
              <w:rPr>
                <w:color w:val="000000" w:themeColor="text1"/>
                <w:spacing w:val="-22"/>
                <w:w w:val="105"/>
              </w:rPr>
              <w:t xml:space="preserve"> </w:t>
            </w:r>
            <w:r w:rsidRPr="0078019D">
              <w:rPr>
                <w:color w:val="000000" w:themeColor="text1"/>
                <w:w w:val="105"/>
              </w:rPr>
              <w:t>Sieci</w:t>
            </w:r>
            <w:r w:rsidRPr="0078019D">
              <w:rPr>
                <w:color w:val="000000" w:themeColor="text1"/>
                <w:spacing w:val="-17"/>
                <w:w w:val="105"/>
              </w:rPr>
              <w:t xml:space="preserve"> </w:t>
            </w:r>
            <w:r w:rsidRPr="0078019D">
              <w:rPr>
                <w:color w:val="000000" w:themeColor="text1"/>
                <w:w w:val="105"/>
              </w:rPr>
              <w:t>Elektroenergetyczne</w:t>
            </w:r>
            <w:r w:rsidRPr="0078019D">
              <w:rPr>
                <w:color w:val="000000" w:themeColor="text1"/>
                <w:spacing w:val="-27"/>
                <w:w w:val="105"/>
              </w:rPr>
              <w:t xml:space="preserve"> </w:t>
            </w:r>
            <w:r w:rsidRPr="0078019D">
              <w:rPr>
                <w:color w:val="000000" w:themeColor="text1"/>
                <w:w w:val="105"/>
              </w:rPr>
              <w:t>S.A.</w:t>
            </w:r>
            <w:r w:rsidRPr="0078019D">
              <w:rPr>
                <w:color w:val="000000" w:themeColor="text1"/>
                <w:spacing w:val="-26"/>
                <w:w w:val="105"/>
              </w:rPr>
              <w:t xml:space="preserve"> </w:t>
            </w:r>
            <w:r w:rsidRPr="0078019D">
              <w:rPr>
                <w:color w:val="000000" w:themeColor="text1"/>
                <w:w w:val="105"/>
              </w:rPr>
              <w:t>(numer</w:t>
            </w:r>
            <w:r w:rsidRPr="0078019D">
              <w:rPr>
                <w:color w:val="000000" w:themeColor="text1"/>
                <w:spacing w:val="-16"/>
                <w:w w:val="105"/>
              </w:rPr>
              <w:t xml:space="preserve"> </w:t>
            </w:r>
            <w:r w:rsidRPr="0078019D">
              <w:rPr>
                <w:color w:val="000000" w:themeColor="text1"/>
                <w:w w:val="105"/>
              </w:rPr>
              <w:t>identyfikacyjny</w:t>
            </w:r>
            <w:r w:rsidRPr="0078019D">
              <w:rPr>
                <w:color w:val="000000" w:themeColor="text1"/>
                <w:spacing w:val="-20"/>
                <w:w w:val="105"/>
              </w:rPr>
              <w:t xml:space="preserve"> </w:t>
            </w:r>
            <w:r w:rsidRPr="0078019D">
              <w:rPr>
                <w:color w:val="000000" w:themeColor="text1"/>
                <w:w w:val="105"/>
              </w:rPr>
              <w:t>19) oraz Operatora Gazociągów Przesyłowych GAZ-SYSTEM S.A. (numer identyfikacyjny</w:t>
            </w:r>
            <w:r w:rsidRPr="0078019D">
              <w:rPr>
                <w:color w:val="000000" w:themeColor="text1"/>
                <w:spacing w:val="10"/>
                <w:w w:val="105"/>
              </w:rPr>
              <w:t xml:space="preserve"> </w:t>
            </w:r>
            <w:r w:rsidRPr="0078019D">
              <w:rPr>
                <w:color w:val="000000" w:themeColor="text1"/>
                <w:w w:val="105"/>
              </w:rPr>
              <w:t>53</w:t>
            </w:r>
            <w:r>
              <w:rPr>
                <w:color w:val="000000" w:themeColor="text1"/>
                <w:w w:val="105"/>
              </w:rPr>
              <w:t>)</w:t>
            </w:r>
          </w:p>
        </w:tc>
      </w:tr>
      <w:tr w:rsidR="009B0D5E" w:rsidRPr="009F21BD" w14:paraId="43440705" w14:textId="77777777" w:rsidTr="00A9381E">
        <w:tc>
          <w:tcPr>
            <w:tcW w:w="3261" w:type="dxa"/>
            <w:gridSpan w:val="2"/>
          </w:tcPr>
          <w:p w14:paraId="3219F4C3" w14:textId="77777777" w:rsidR="009B0D5E" w:rsidRPr="009F21BD" w:rsidRDefault="009B0D5E" w:rsidP="00F5641B">
            <w:pPr>
              <w:spacing w:before="120"/>
              <w:ind w:left="-48"/>
              <w:rPr>
                <w:b/>
                <w:bCs/>
              </w:rPr>
            </w:pPr>
            <w:r w:rsidRPr="009F21BD">
              <w:rPr>
                <w:b/>
                <w:bCs/>
              </w:rPr>
              <w:t>Krajowy system elektroenergetyczny (KSE)</w:t>
            </w:r>
          </w:p>
        </w:tc>
        <w:tc>
          <w:tcPr>
            <w:tcW w:w="6025" w:type="dxa"/>
          </w:tcPr>
          <w:p w14:paraId="28CFB448" w14:textId="77777777" w:rsidR="009B0D5E" w:rsidRPr="009F21BD" w:rsidRDefault="009B0D5E" w:rsidP="00F5641B">
            <w:pPr>
              <w:spacing w:before="120"/>
              <w:jc w:val="both"/>
            </w:pPr>
            <w:r w:rsidRPr="009F21BD">
              <w:t>System elektroenergetyczny na terenie Polski.</w:t>
            </w:r>
          </w:p>
        </w:tc>
      </w:tr>
      <w:tr w:rsidR="00AD3A52" w:rsidRPr="009F21BD" w14:paraId="52260940" w14:textId="77777777" w:rsidTr="00A9381E">
        <w:tc>
          <w:tcPr>
            <w:tcW w:w="3261" w:type="dxa"/>
            <w:gridSpan w:val="2"/>
          </w:tcPr>
          <w:p w14:paraId="62F958F6" w14:textId="64CA1E21" w:rsidR="00AD3A52" w:rsidRPr="009F21BD" w:rsidRDefault="00AD3A52" w:rsidP="00F5641B">
            <w:pPr>
              <w:spacing w:before="120"/>
              <w:ind w:left="-48"/>
              <w:rPr>
                <w:b/>
                <w:bCs/>
              </w:rPr>
            </w:pPr>
            <w:r>
              <w:rPr>
                <w:rFonts w:cs="Times New Roman"/>
                <w:b/>
                <w:bCs/>
                <w:color w:val="000000"/>
                <w:szCs w:val="24"/>
              </w:rPr>
              <w:t>Licznik konwencjonalny</w:t>
            </w:r>
          </w:p>
        </w:tc>
        <w:tc>
          <w:tcPr>
            <w:tcW w:w="6025" w:type="dxa"/>
          </w:tcPr>
          <w:p w14:paraId="12D6B68D" w14:textId="27D04164" w:rsidR="00AD3A52" w:rsidRPr="009F21BD" w:rsidRDefault="00AD3A52" w:rsidP="00F5641B">
            <w:pPr>
              <w:spacing w:before="120"/>
              <w:jc w:val="both"/>
            </w:pPr>
            <w:r>
              <w:rPr>
                <w:rFonts w:cs="Times New Roman"/>
                <w:color w:val="000000"/>
                <w:szCs w:val="24"/>
              </w:rPr>
              <w:t xml:space="preserve">Przyrząd pomiarowy w rozumieniu art. 4 pkt 5 ustawy </w:t>
            </w:r>
            <w:r>
              <w:rPr>
                <w:rFonts w:cs="Times New Roman"/>
                <w:color w:val="000000"/>
                <w:szCs w:val="24"/>
              </w:rPr>
              <w:br/>
              <w:t>z dnia 11 maja 2001 r. - Prawo o miarach (Dz. U. z</w:t>
            </w:r>
            <w:r>
              <w:rPr>
                <w:rFonts w:cs="Times New Roman"/>
                <w:color w:val="000000"/>
                <w:spacing w:val="-33"/>
                <w:szCs w:val="24"/>
              </w:rPr>
              <w:t xml:space="preserve"> </w:t>
            </w:r>
            <w:r>
              <w:rPr>
                <w:rFonts w:cs="Times New Roman"/>
                <w:color w:val="000000"/>
                <w:szCs w:val="24"/>
              </w:rPr>
              <w:t xml:space="preserve">2021 </w:t>
            </w:r>
            <w:r>
              <w:rPr>
                <w:rFonts w:cs="Times New Roman"/>
                <w:color w:val="000000"/>
                <w:w w:val="105"/>
                <w:szCs w:val="24"/>
              </w:rPr>
              <w:t xml:space="preserve">r. poz. 2068), służący do pomiaru energii elektrycznej </w:t>
            </w:r>
            <w:r>
              <w:rPr>
                <w:rFonts w:cs="Times New Roman"/>
                <w:color w:val="000000"/>
                <w:w w:val="105"/>
                <w:szCs w:val="24"/>
              </w:rPr>
              <w:br/>
            </w:r>
            <w:r>
              <w:rPr>
                <w:rFonts w:cs="Times New Roman"/>
                <w:color w:val="000000"/>
                <w:w w:val="105"/>
                <w:szCs w:val="24"/>
              </w:rPr>
              <w:lastRenderedPageBreak/>
              <w:t>i rozliczeń za tą</w:t>
            </w:r>
            <w:r>
              <w:rPr>
                <w:rFonts w:cs="Times New Roman"/>
                <w:i/>
                <w:color w:val="000000"/>
                <w:w w:val="105"/>
                <w:szCs w:val="24"/>
              </w:rPr>
              <w:t xml:space="preserve"> </w:t>
            </w:r>
            <w:r>
              <w:rPr>
                <w:rFonts w:cs="Times New Roman"/>
                <w:color w:val="000000"/>
                <w:w w:val="105"/>
                <w:szCs w:val="24"/>
              </w:rPr>
              <w:t>energię, niewyposażony w funkcję komunikacji z systemem zdalnego</w:t>
            </w:r>
            <w:r>
              <w:rPr>
                <w:rFonts w:cs="Times New Roman"/>
                <w:color w:val="000000"/>
                <w:spacing w:val="-19"/>
                <w:w w:val="105"/>
                <w:szCs w:val="24"/>
              </w:rPr>
              <w:t xml:space="preserve"> </w:t>
            </w:r>
            <w:r>
              <w:rPr>
                <w:rFonts w:cs="Times New Roman"/>
                <w:color w:val="000000"/>
                <w:w w:val="105"/>
                <w:szCs w:val="24"/>
              </w:rPr>
              <w:t>odczytu.</w:t>
            </w:r>
          </w:p>
        </w:tc>
      </w:tr>
      <w:tr w:rsidR="00126F46" w:rsidRPr="009F21BD" w14:paraId="5A3F3A23" w14:textId="77777777" w:rsidTr="00A9381E">
        <w:tc>
          <w:tcPr>
            <w:tcW w:w="3261" w:type="dxa"/>
            <w:gridSpan w:val="2"/>
          </w:tcPr>
          <w:p w14:paraId="2EC8C989" w14:textId="4F72A55E" w:rsidR="00126F46" w:rsidRDefault="00126F46" w:rsidP="00FC1EAB">
            <w:pPr>
              <w:spacing w:before="1" w:line="292" w:lineRule="auto"/>
              <w:ind w:right="150" w:firstLine="4"/>
              <w:rPr>
                <w:rFonts w:cs="Times New Roman"/>
                <w:b/>
                <w:bCs/>
                <w:color w:val="000000"/>
                <w:szCs w:val="24"/>
              </w:rPr>
            </w:pPr>
            <w:r>
              <w:rPr>
                <w:rFonts w:cs="Times New Roman"/>
                <w:b/>
                <w:color w:val="000000"/>
                <w:w w:val="105"/>
                <w:szCs w:val="24"/>
              </w:rPr>
              <w:lastRenderedPageBreak/>
              <w:t xml:space="preserve">Licznik </w:t>
            </w:r>
            <w:r>
              <w:rPr>
                <w:rFonts w:cs="Times New Roman"/>
                <w:color w:val="000000"/>
                <w:w w:val="105"/>
                <w:szCs w:val="24"/>
              </w:rPr>
              <w:t xml:space="preserve">/ </w:t>
            </w:r>
            <w:r>
              <w:rPr>
                <w:rFonts w:cs="Times New Roman"/>
                <w:b/>
                <w:color w:val="000000"/>
                <w:w w:val="105"/>
                <w:szCs w:val="24"/>
              </w:rPr>
              <w:t>Licznik energii</w:t>
            </w:r>
            <w:r>
              <w:rPr>
                <w:rFonts w:cs="Times New Roman"/>
                <w:b/>
                <w:color w:val="000000"/>
                <w:spacing w:val="-22"/>
                <w:w w:val="105"/>
                <w:szCs w:val="24"/>
              </w:rPr>
              <w:t xml:space="preserve"> </w:t>
            </w:r>
            <w:r>
              <w:rPr>
                <w:rFonts w:cs="Times New Roman"/>
                <w:b/>
                <w:color w:val="000000"/>
                <w:w w:val="105"/>
                <w:szCs w:val="24"/>
              </w:rPr>
              <w:t>elektrycznej</w:t>
            </w:r>
          </w:p>
        </w:tc>
        <w:tc>
          <w:tcPr>
            <w:tcW w:w="6025" w:type="dxa"/>
          </w:tcPr>
          <w:p w14:paraId="67E86A34" w14:textId="6DAD681D" w:rsidR="00126F46" w:rsidRDefault="00126F46" w:rsidP="00F5641B">
            <w:pPr>
              <w:spacing w:before="120"/>
              <w:jc w:val="both"/>
              <w:rPr>
                <w:rFonts w:cs="Times New Roman"/>
                <w:color w:val="000000"/>
                <w:szCs w:val="24"/>
              </w:rPr>
            </w:pPr>
            <w:r>
              <w:rPr>
                <w:rFonts w:cs="Times New Roman"/>
                <w:color w:val="000000"/>
                <w:w w:val="105"/>
                <w:szCs w:val="24"/>
              </w:rPr>
              <w:t>Licznik zdalnego odczytu oraz licznik konwencjonalny.</w:t>
            </w:r>
          </w:p>
        </w:tc>
      </w:tr>
      <w:tr w:rsidR="009B0D5E" w:rsidRPr="009F21BD" w14:paraId="2D0D88F2" w14:textId="77777777" w:rsidTr="00A9381E">
        <w:tc>
          <w:tcPr>
            <w:tcW w:w="3261" w:type="dxa"/>
            <w:gridSpan w:val="2"/>
          </w:tcPr>
          <w:p w14:paraId="23CE34FE" w14:textId="77777777" w:rsidR="009B0D5E" w:rsidRPr="009F21BD" w:rsidRDefault="009B0D5E" w:rsidP="00F5641B">
            <w:pPr>
              <w:spacing w:before="120"/>
              <w:ind w:left="-48"/>
              <w:rPr>
                <w:b/>
                <w:bCs/>
              </w:rPr>
            </w:pPr>
            <w:r>
              <w:rPr>
                <w:b/>
                <w:bCs/>
              </w:rPr>
              <w:t>Licznik zdalnego odczytu</w:t>
            </w:r>
          </w:p>
        </w:tc>
        <w:tc>
          <w:tcPr>
            <w:tcW w:w="6025" w:type="dxa"/>
          </w:tcPr>
          <w:p w14:paraId="38D3B683" w14:textId="015750F7" w:rsidR="009B0D5E" w:rsidRPr="009F21BD" w:rsidRDefault="00F47BB9" w:rsidP="00ED0F36">
            <w:pPr>
              <w:pStyle w:val="Tekstpodstawowy"/>
              <w:tabs>
                <w:tab w:val="clear" w:pos="4536"/>
              </w:tabs>
              <w:spacing w:before="91" w:line="240" w:lineRule="auto"/>
              <w:ind w:right="70" w:firstLine="5"/>
            </w:pPr>
            <w:r>
              <w:t xml:space="preserve">Przyrząd pomiarowy w rozumieniu art. 4 pkt 5 ustawy  </w:t>
            </w:r>
            <w:r>
              <w:br/>
              <w:t>z dnia 11 maja 2001 r. - Prawo o miarach (Dz. U. z</w:t>
            </w:r>
            <w:r>
              <w:rPr>
                <w:spacing w:val="-7"/>
              </w:rPr>
              <w:t xml:space="preserve"> </w:t>
            </w:r>
            <w:r>
              <w:t>2021</w:t>
            </w:r>
            <w:r>
              <w:rPr>
                <w:lang w:val="pl-PL"/>
              </w:rPr>
              <w:t xml:space="preserve"> </w:t>
            </w:r>
            <w:r>
              <w:t xml:space="preserve">r.  poz. 2068), służący do pomiaru energii elektrycznej </w:t>
            </w:r>
            <w:r>
              <w:br/>
              <w:t>i rozliczeń za tę energię, wyposażony w funkcję komunikacji z systemem zdalnego</w:t>
            </w:r>
            <w:r>
              <w:rPr>
                <w:spacing w:val="42"/>
              </w:rPr>
              <w:t xml:space="preserve"> </w:t>
            </w:r>
            <w:r>
              <w:t>odczytu.</w:t>
            </w:r>
          </w:p>
        </w:tc>
      </w:tr>
      <w:tr w:rsidR="009B0D5E" w:rsidRPr="009F21BD" w14:paraId="1F643E38" w14:textId="77777777" w:rsidTr="00A9381E">
        <w:tc>
          <w:tcPr>
            <w:tcW w:w="3261" w:type="dxa"/>
            <w:gridSpan w:val="2"/>
          </w:tcPr>
          <w:p w14:paraId="7B4B7F15" w14:textId="77777777" w:rsidR="009B0D5E" w:rsidRPr="009F21BD" w:rsidRDefault="009B0D5E" w:rsidP="00F5641B">
            <w:pPr>
              <w:spacing w:before="120"/>
              <w:ind w:left="-48"/>
              <w:rPr>
                <w:b/>
                <w:bCs/>
              </w:rPr>
            </w:pPr>
            <w:r w:rsidRPr="009F21BD">
              <w:rPr>
                <w:b/>
                <w:bCs/>
              </w:rPr>
              <w:t>Linia bezpośrednia</w:t>
            </w:r>
          </w:p>
        </w:tc>
        <w:tc>
          <w:tcPr>
            <w:tcW w:w="6025" w:type="dxa"/>
          </w:tcPr>
          <w:p w14:paraId="1A573A4C" w14:textId="77777777" w:rsidR="009B0D5E" w:rsidRPr="009F21BD" w:rsidRDefault="009B0D5E" w:rsidP="00F5641B">
            <w:pPr>
              <w:spacing w:before="120"/>
              <w:jc w:val="both"/>
            </w:pPr>
            <w:r w:rsidRPr="009F21BD">
              <w:t>Linia elektroenergetyczna łącząca wydzieloną jednostkę wytarzania energii elektrycznej bezpośrednio z odbiorcą lub linia elektroenergetyczna łącząca jednostkę wytwarzania energii elektrycznej przedsiębiorstwa</w:t>
            </w:r>
            <w:r>
              <w:t xml:space="preserve"> </w:t>
            </w:r>
            <w:r w:rsidRPr="009F21BD">
              <w:t>z instalacjami należącymi do tego przedsiębiorstwa albo instalacjami należącymi do przedsiębiorstwa od niego zależnych.</w:t>
            </w:r>
          </w:p>
        </w:tc>
      </w:tr>
      <w:tr w:rsidR="00912988" w:rsidRPr="009F21BD" w14:paraId="3A6D9236" w14:textId="77777777" w:rsidTr="00A9381E">
        <w:tc>
          <w:tcPr>
            <w:tcW w:w="3261" w:type="dxa"/>
            <w:gridSpan w:val="2"/>
          </w:tcPr>
          <w:p w14:paraId="63B39E31" w14:textId="77777777" w:rsidR="00912988" w:rsidRPr="009F21BD" w:rsidRDefault="00912988" w:rsidP="00F5641B">
            <w:pPr>
              <w:spacing w:before="120"/>
              <w:ind w:left="-48"/>
              <w:rPr>
                <w:b/>
                <w:bCs/>
              </w:rPr>
            </w:pPr>
            <w:r w:rsidRPr="003B5EA2">
              <w:rPr>
                <w:rFonts w:eastAsia="Times New Roman" w:cs="Times New Roman"/>
                <w:b/>
                <w:color w:val="000000"/>
                <w:szCs w:val="24"/>
              </w:rPr>
              <w:t>Magazyn energii elektrycznej</w:t>
            </w:r>
          </w:p>
        </w:tc>
        <w:tc>
          <w:tcPr>
            <w:tcW w:w="6025" w:type="dxa"/>
          </w:tcPr>
          <w:p w14:paraId="7CC8B250" w14:textId="530DCAFF" w:rsidR="00912988" w:rsidRPr="009F21BD" w:rsidRDefault="007E2CD5" w:rsidP="00F5641B">
            <w:pPr>
              <w:spacing w:before="120"/>
              <w:jc w:val="both"/>
            </w:pPr>
            <w:r>
              <w:rPr>
                <w:color w:val="000000"/>
              </w:rPr>
              <w:t>Instalacja umożliwiająca magazynowanie energii elektrycznej</w:t>
            </w:r>
            <w:r>
              <w:rPr>
                <w:color w:val="000000"/>
              </w:rPr>
              <w:tab/>
              <w:t>i wprowadzenie jej do sieci elektroenergetycznej.</w:t>
            </w:r>
          </w:p>
        </w:tc>
      </w:tr>
      <w:tr w:rsidR="003235FC" w:rsidRPr="009F21BD" w14:paraId="50BD08B6" w14:textId="77777777" w:rsidTr="00A9381E">
        <w:tc>
          <w:tcPr>
            <w:tcW w:w="3261" w:type="dxa"/>
            <w:gridSpan w:val="2"/>
          </w:tcPr>
          <w:p w14:paraId="48C6955C" w14:textId="655B3F36" w:rsidR="003235FC" w:rsidRPr="003B5EA2" w:rsidRDefault="003235FC" w:rsidP="003235FC">
            <w:pPr>
              <w:spacing w:before="151" w:line="288" w:lineRule="auto"/>
              <w:ind w:right="150" w:firstLine="4"/>
              <w:rPr>
                <w:rFonts w:eastAsia="Times New Roman" w:cs="Times New Roman"/>
                <w:b/>
                <w:color w:val="000000"/>
                <w:szCs w:val="24"/>
              </w:rPr>
            </w:pPr>
            <w:r>
              <w:rPr>
                <w:rFonts w:cs="Times New Roman"/>
                <w:b/>
                <w:color w:val="000000"/>
                <w:w w:val="105"/>
                <w:szCs w:val="24"/>
              </w:rPr>
              <w:t>Magazynowanie energii</w:t>
            </w:r>
            <w:r>
              <w:rPr>
                <w:rFonts w:cs="Times New Roman"/>
                <w:b/>
                <w:color w:val="000000"/>
                <w:spacing w:val="-22"/>
                <w:w w:val="105"/>
                <w:szCs w:val="24"/>
              </w:rPr>
              <w:t xml:space="preserve"> </w:t>
            </w:r>
            <w:r>
              <w:rPr>
                <w:rFonts w:cs="Times New Roman"/>
                <w:b/>
                <w:color w:val="000000"/>
                <w:w w:val="105"/>
                <w:szCs w:val="24"/>
              </w:rPr>
              <w:t>elektrycznej</w:t>
            </w:r>
          </w:p>
        </w:tc>
        <w:tc>
          <w:tcPr>
            <w:tcW w:w="6025" w:type="dxa"/>
          </w:tcPr>
          <w:p w14:paraId="055CB5F4" w14:textId="67C43116" w:rsidR="003235FC" w:rsidRDefault="003235FC" w:rsidP="003235FC">
            <w:pPr>
              <w:spacing w:before="1"/>
              <w:ind w:firstLine="4"/>
              <w:jc w:val="both"/>
              <w:rPr>
                <w:color w:val="000000"/>
              </w:rPr>
            </w:pPr>
            <w:r>
              <w:rPr>
                <w:rFonts w:cs="Times New Roman"/>
                <w:color w:val="000000"/>
                <w:w w:val="105"/>
                <w:szCs w:val="24"/>
              </w:rPr>
              <w:t xml:space="preserve">Przetworzenie energii elektrycznej pobranej z sieci elektroenergetycznej lub wytworzonej przez jednostkę wytwórczą przyłączoną do sieci elektroenergetycznej </w:t>
            </w:r>
            <w:r>
              <w:rPr>
                <w:rFonts w:cs="Times New Roman"/>
                <w:color w:val="000000"/>
                <w:w w:val="105"/>
                <w:szCs w:val="24"/>
              </w:rPr>
              <w:br/>
              <w:t>i współpracującą z tą siecią do innej postaci energii, przechowanie tej energii, a następnie ponowne jej przetworzenie na energię</w:t>
            </w:r>
            <w:r>
              <w:rPr>
                <w:rFonts w:cs="Times New Roman"/>
                <w:color w:val="000000"/>
                <w:spacing w:val="-34"/>
                <w:w w:val="105"/>
                <w:szCs w:val="24"/>
              </w:rPr>
              <w:t xml:space="preserve"> </w:t>
            </w:r>
            <w:r>
              <w:rPr>
                <w:rFonts w:cs="Times New Roman"/>
                <w:color w:val="000000"/>
                <w:w w:val="105"/>
                <w:szCs w:val="24"/>
              </w:rPr>
              <w:t>elektryczną.</w:t>
            </w:r>
          </w:p>
        </w:tc>
      </w:tr>
      <w:tr w:rsidR="00114DBD" w:rsidRPr="009F21BD" w14:paraId="1CB272EF" w14:textId="77777777" w:rsidTr="00A9381E">
        <w:tc>
          <w:tcPr>
            <w:tcW w:w="3261" w:type="dxa"/>
            <w:gridSpan w:val="2"/>
          </w:tcPr>
          <w:p w14:paraId="3EE199BB" w14:textId="5CCE1C69" w:rsidR="00114DBD" w:rsidRPr="003B5EA2" w:rsidRDefault="00114DBD" w:rsidP="003D0E5E">
            <w:pPr>
              <w:pStyle w:val="Default"/>
              <w:ind w:right="2"/>
              <w:rPr>
                <w:rFonts w:eastAsia="Times New Roman"/>
                <w:b/>
              </w:rPr>
            </w:pPr>
            <w:r w:rsidRPr="00C6236A">
              <w:rPr>
                <w:b/>
                <w:bCs/>
              </w:rPr>
              <w:t>Maksymalna moc dyspozycyjna netto</w:t>
            </w:r>
          </w:p>
        </w:tc>
        <w:tc>
          <w:tcPr>
            <w:tcW w:w="6025" w:type="dxa"/>
          </w:tcPr>
          <w:p w14:paraId="6FD36ABB" w14:textId="77777777" w:rsidR="00114DBD" w:rsidRPr="003B5EA2" w:rsidRDefault="00114DBD" w:rsidP="00F5641B">
            <w:pPr>
              <w:spacing w:before="120"/>
              <w:jc w:val="both"/>
              <w:rPr>
                <w:rFonts w:eastAsia="Times New Roman" w:cs="Times New Roman"/>
                <w:bCs/>
                <w:color w:val="000000"/>
                <w:szCs w:val="24"/>
              </w:rPr>
            </w:pPr>
            <w:r w:rsidRPr="00C6236A">
              <w:rPr>
                <w:rFonts w:cs="Times New Roman"/>
                <w:szCs w:val="24"/>
              </w:rPr>
              <w:t>Moc osiągalna netto pomniejszona o planowane lub nieplanowane ubytki mocy.</w:t>
            </w:r>
          </w:p>
        </w:tc>
      </w:tr>
      <w:tr w:rsidR="009B0D5E" w:rsidRPr="009F21BD" w14:paraId="7EC6DBFB" w14:textId="77777777" w:rsidTr="00A9381E">
        <w:tc>
          <w:tcPr>
            <w:tcW w:w="3261" w:type="dxa"/>
            <w:gridSpan w:val="2"/>
            <w:shd w:val="clear" w:color="auto" w:fill="auto"/>
          </w:tcPr>
          <w:p w14:paraId="6C5BBAE2" w14:textId="77777777" w:rsidR="009B0D5E" w:rsidRPr="009F21BD" w:rsidRDefault="009B0D5E" w:rsidP="00F5641B">
            <w:pPr>
              <w:spacing w:before="120"/>
              <w:ind w:left="-48"/>
              <w:rPr>
                <w:b/>
                <w:bCs/>
              </w:rPr>
            </w:pPr>
            <w:r w:rsidRPr="009F21BD">
              <w:rPr>
                <w:b/>
                <w:bCs/>
              </w:rPr>
              <w:t>Mała instalacja</w:t>
            </w:r>
          </w:p>
        </w:tc>
        <w:tc>
          <w:tcPr>
            <w:tcW w:w="6025" w:type="dxa"/>
            <w:shd w:val="clear" w:color="auto" w:fill="auto"/>
          </w:tcPr>
          <w:p w14:paraId="161D5808" w14:textId="7B2E77F3" w:rsidR="009B0D5E" w:rsidRPr="009F21BD" w:rsidRDefault="004F37B0" w:rsidP="00B532A8">
            <w:pPr>
              <w:pStyle w:val="Tekstpodstawowy"/>
              <w:spacing w:before="162" w:line="240" w:lineRule="auto"/>
            </w:pPr>
            <w:r>
              <w:t xml:space="preserve">Instalacja odnawialnego źródła energii o łącznej mocy zainstalowanej elektrycznej większej niż 50 kW i nie większej niż 1 MW, przyłączoną do sieci elektroenergetycznej </w:t>
            </w:r>
            <w:r w:rsidR="00B532A8">
              <w:br/>
            </w:r>
            <w:r>
              <w:t>o napięciu znamionowym niższym niż</w:t>
            </w:r>
            <w:r>
              <w:rPr>
                <w:spacing w:val="-19"/>
              </w:rPr>
              <w:t xml:space="preserve"> </w:t>
            </w:r>
            <w:r>
              <w:t>110</w:t>
            </w:r>
            <w:r>
              <w:rPr>
                <w:spacing w:val="-15"/>
              </w:rPr>
              <w:t xml:space="preserve"> </w:t>
            </w:r>
            <w:r>
              <w:t>kV</w:t>
            </w:r>
            <w:r>
              <w:rPr>
                <w:spacing w:val="-9"/>
              </w:rPr>
              <w:t xml:space="preserve"> </w:t>
            </w:r>
            <w:r>
              <w:t>albo</w:t>
            </w:r>
            <w:r>
              <w:rPr>
                <w:spacing w:val="-12"/>
              </w:rPr>
              <w:t xml:space="preserve"> </w:t>
            </w:r>
            <w:r>
              <w:t>o</w:t>
            </w:r>
            <w:r>
              <w:rPr>
                <w:spacing w:val="-14"/>
              </w:rPr>
              <w:t xml:space="preserve"> </w:t>
            </w:r>
            <w:r>
              <w:t>mocy</w:t>
            </w:r>
            <w:r>
              <w:rPr>
                <w:spacing w:val="-4"/>
              </w:rPr>
              <w:t xml:space="preserve"> </w:t>
            </w:r>
            <w:r>
              <w:t>osiągalnej</w:t>
            </w:r>
            <w:r>
              <w:rPr>
                <w:spacing w:val="-4"/>
              </w:rPr>
              <w:t xml:space="preserve"> </w:t>
            </w:r>
            <w:r>
              <w:t>cieplnej</w:t>
            </w:r>
            <w:r>
              <w:rPr>
                <w:spacing w:val="-2"/>
              </w:rPr>
              <w:t xml:space="preserve"> </w:t>
            </w:r>
            <w:r>
              <w:t>w</w:t>
            </w:r>
            <w:r>
              <w:rPr>
                <w:spacing w:val="4"/>
              </w:rPr>
              <w:t xml:space="preserve"> </w:t>
            </w:r>
            <w:r>
              <w:t xml:space="preserve">skojarzeniu większej niż 150 kW </w:t>
            </w:r>
            <w:r w:rsidR="00B532A8">
              <w:br/>
            </w:r>
            <w:r>
              <w:t>i mniejszej niż 3 MW, w której łączna moc zainstalowana elektryczna jest większa niż 50 kW i nie większa niż 1</w:t>
            </w:r>
            <w:r>
              <w:rPr>
                <w:spacing w:val="15"/>
              </w:rPr>
              <w:t xml:space="preserve"> </w:t>
            </w:r>
            <w:r>
              <w:t>MW.</w:t>
            </w:r>
          </w:p>
        </w:tc>
      </w:tr>
      <w:tr w:rsidR="009B0D5E" w:rsidRPr="009F21BD" w14:paraId="270DDCC5" w14:textId="77777777" w:rsidTr="00A9381E">
        <w:tc>
          <w:tcPr>
            <w:tcW w:w="3261" w:type="dxa"/>
            <w:gridSpan w:val="2"/>
            <w:shd w:val="clear" w:color="auto" w:fill="auto"/>
          </w:tcPr>
          <w:p w14:paraId="2DF22B6A" w14:textId="5080A9AE" w:rsidR="009B0D5E" w:rsidRPr="009F21BD" w:rsidRDefault="009B0D5E" w:rsidP="00F5641B">
            <w:pPr>
              <w:spacing w:before="120"/>
              <w:ind w:left="-48"/>
              <w:rPr>
                <w:b/>
                <w:bCs/>
              </w:rPr>
            </w:pPr>
            <w:r w:rsidRPr="009F21BD">
              <w:rPr>
                <w:b/>
                <w:bCs/>
              </w:rPr>
              <w:t>Miejsce dostarczania</w:t>
            </w:r>
          </w:p>
        </w:tc>
        <w:tc>
          <w:tcPr>
            <w:tcW w:w="6025" w:type="dxa"/>
            <w:shd w:val="clear" w:color="auto" w:fill="auto"/>
          </w:tcPr>
          <w:p w14:paraId="3E784578" w14:textId="2E95BE72" w:rsidR="009B0D5E" w:rsidRPr="009F21BD" w:rsidRDefault="009B0D5E" w:rsidP="00F5641B">
            <w:pPr>
              <w:spacing w:before="120"/>
              <w:jc w:val="both"/>
            </w:pPr>
            <w:r w:rsidRPr="009F21BD">
              <w:t xml:space="preserve">Punkt w sieci, do którego przedsiębiorstwo energetyczne dostarcza energię elektryczną, określony w umowie </w:t>
            </w:r>
            <w:r w:rsidRPr="009F21BD">
              <w:br/>
              <w:t>o przyłączenie do sieci, albo w umowie o świadczeniu usług</w:t>
            </w:r>
            <w:r w:rsidR="00051D29">
              <w:t xml:space="preserve"> </w:t>
            </w:r>
            <w:r w:rsidRPr="009F21BD">
              <w:t>dystrybucji</w:t>
            </w:r>
            <w:r w:rsidR="00051D29">
              <w:t xml:space="preserve"> lub </w:t>
            </w:r>
            <w:r w:rsidRPr="009F21BD">
              <w:t>w umowie sprzedaży energii elektrycznej, albo w umowie kompleksowej, będący jednocześnie miejscem jej odbioru.</w:t>
            </w:r>
          </w:p>
        </w:tc>
      </w:tr>
      <w:tr w:rsidR="009B0D5E" w:rsidRPr="009F21BD" w14:paraId="6D82099C" w14:textId="77777777" w:rsidTr="00A9381E">
        <w:tc>
          <w:tcPr>
            <w:tcW w:w="3261" w:type="dxa"/>
            <w:gridSpan w:val="2"/>
          </w:tcPr>
          <w:p w14:paraId="59DB32AE" w14:textId="77777777" w:rsidR="009B0D5E" w:rsidRPr="009F21BD" w:rsidRDefault="009B0D5E" w:rsidP="00F5641B">
            <w:pPr>
              <w:spacing w:before="120"/>
              <w:ind w:left="-48"/>
              <w:rPr>
                <w:b/>
                <w:bCs/>
              </w:rPr>
            </w:pPr>
            <w:r w:rsidRPr="009F21BD">
              <w:rPr>
                <w:b/>
                <w:bCs/>
              </w:rPr>
              <w:t>Miejsce Dostarczania Energii Elektrycznej Rynku Bilansującego (MB)</w:t>
            </w:r>
          </w:p>
        </w:tc>
        <w:tc>
          <w:tcPr>
            <w:tcW w:w="6025" w:type="dxa"/>
          </w:tcPr>
          <w:p w14:paraId="49341121" w14:textId="77777777" w:rsidR="009B0D5E" w:rsidRPr="009F21BD" w:rsidRDefault="009B0D5E" w:rsidP="00F5641B">
            <w:pPr>
              <w:spacing w:before="120"/>
              <w:jc w:val="both"/>
            </w:pPr>
            <w:r w:rsidRPr="009F21BD">
              <w:t xml:space="preserve">Określany przez OSP punkt w sieci objętej obszarem Rynku Bilansującego reprezentujący pojedynczy węzeł albo grupę węzłów w sieci, lub umowny punkt „ponad siecią", </w:t>
            </w:r>
            <w:r w:rsidRPr="009F21BD">
              <w:br/>
              <w:t>w którym następuje przekazanie energii pomiędzy Uczestnikiem Rynku Bilansującego, a Rynkiem Bilansującym.</w:t>
            </w:r>
          </w:p>
        </w:tc>
      </w:tr>
      <w:tr w:rsidR="009B0D5E" w:rsidRPr="009F21BD" w14:paraId="6DA4A4E6" w14:textId="77777777" w:rsidTr="00A9381E">
        <w:tc>
          <w:tcPr>
            <w:tcW w:w="3261" w:type="dxa"/>
            <w:gridSpan w:val="2"/>
          </w:tcPr>
          <w:p w14:paraId="30B791B8" w14:textId="77777777" w:rsidR="009B0D5E" w:rsidRPr="009F21BD" w:rsidRDefault="009B0D5E" w:rsidP="00F5641B">
            <w:pPr>
              <w:spacing w:before="120"/>
              <w:rPr>
                <w:b/>
                <w:bCs/>
              </w:rPr>
            </w:pPr>
            <w:r w:rsidRPr="009F21BD">
              <w:rPr>
                <w:b/>
              </w:rPr>
              <w:lastRenderedPageBreak/>
              <w:t>Miejsce Dostarczania Energii Rynku Detalicznego (MDD)</w:t>
            </w:r>
          </w:p>
        </w:tc>
        <w:tc>
          <w:tcPr>
            <w:tcW w:w="6025" w:type="dxa"/>
          </w:tcPr>
          <w:p w14:paraId="0D5E16FD" w14:textId="77777777" w:rsidR="009B0D5E" w:rsidRPr="009F21BD" w:rsidRDefault="009B0D5E" w:rsidP="00F5641B">
            <w:pPr>
              <w:spacing w:before="120"/>
              <w:jc w:val="both"/>
            </w:pPr>
            <w:r w:rsidRPr="009F21BD">
              <w:t>Określony przez OSD punkt w sieci dystrybucyjnej poza obszarem rynku bilansującego, którym następuje przekazanie energii pomiędzy Sprzedawcą lub POB, a URD.</w:t>
            </w:r>
          </w:p>
        </w:tc>
      </w:tr>
      <w:tr w:rsidR="009B0D5E" w:rsidRPr="009F21BD" w14:paraId="6D414627" w14:textId="77777777" w:rsidTr="00A9381E">
        <w:tc>
          <w:tcPr>
            <w:tcW w:w="3261" w:type="dxa"/>
            <w:gridSpan w:val="2"/>
          </w:tcPr>
          <w:p w14:paraId="60570636" w14:textId="77777777" w:rsidR="009B0D5E" w:rsidRPr="009F21BD" w:rsidRDefault="009B0D5E" w:rsidP="00F5641B">
            <w:pPr>
              <w:spacing w:before="120"/>
              <w:ind w:left="-48"/>
              <w:rPr>
                <w:b/>
                <w:bCs/>
              </w:rPr>
            </w:pPr>
            <w:r w:rsidRPr="009F21BD">
              <w:rPr>
                <w:b/>
                <w:bCs/>
              </w:rPr>
              <w:t>Miejsce przyłączenia</w:t>
            </w:r>
          </w:p>
        </w:tc>
        <w:tc>
          <w:tcPr>
            <w:tcW w:w="6025" w:type="dxa"/>
          </w:tcPr>
          <w:p w14:paraId="05962CCC" w14:textId="77777777" w:rsidR="009B0D5E" w:rsidRPr="009F21BD" w:rsidRDefault="009B0D5E" w:rsidP="00F5641B">
            <w:pPr>
              <w:spacing w:before="120"/>
              <w:jc w:val="both"/>
            </w:pPr>
            <w:r w:rsidRPr="009F21BD">
              <w:t>Punkt w sieci, w którym przyłącze łączy się z siecią.</w:t>
            </w:r>
          </w:p>
        </w:tc>
      </w:tr>
      <w:tr w:rsidR="009B0D5E" w:rsidRPr="009F21BD" w14:paraId="5384AFD8" w14:textId="77777777" w:rsidTr="00A9381E">
        <w:tc>
          <w:tcPr>
            <w:tcW w:w="3261" w:type="dxa"/>
            <w:gridSpan w:val="2"/>
          </w:tcPr>
          <w:p w14:paraId="7C2D4146" w14:textId="77777777" w:rsidR="009B0D5E" w:rsidRPr="009F21BD" w:rsidRDefault="009B0D5E" w:rsidP="00F5641B">
            <w:pPr>
              <w:pStyle w:val="styl0"/>
              <w:spacing w:before="120"/>
              <w:rPr>
                <w:b/>
                <w:szCs w:val="24"/>
              </w:rPr>
            </w:pPr>
            <w:r w:rsidRPr="009F21BD">
              <w:rPr>
                <w:b/>
                <w:szCs w:val="24"/>
              </w:rPr>
              <w:t>Mikroinstalacja</w:t>
            </w:r>
          </w:p>
        </w:tc>
        <w:tc>
          <w:tcPr>
            <w:tcW w:w="6025" w:type="dxa"/>
          </w:tcPr>
          <w:p w14:paraId="6F2E050D" w14:textId="77777777" w:rsidR="009B0D5E" w:rsidRPr="009F21BD" w:rsidRDefault="003D40DC" w:rsidP="00F5641B">
            <w:pPr>
              <w:pStyle w:val="Default"/>
              <w:spacing w:before="120"/>
              <w:jc w:val="both"/>
              <w:rPr>
                <w:color w:val="auto"/>
              </w:rPr>
            </w:pPr>
            <w:r w:rsidRPr="003B5EA2">
              <w:rPr>
                <w:rFonts w:eastAsia="Times New Roman"/>
                <w:bCs/>
              </w:rPr>
              <w:t>Instalacja odnawialnego źródła energii o łącznej mocy zainstalowanej elektrycznej nie większej niż 50 kW, przyłączona do sieci elektroenergetycznej o napięciu znamionowym niższym niż 110 kV albo o mocy osiągalnej cieplnej w skojarzeniu nie większej niż 150 kW, w której łączna moc zainstalowana elektryczna jest nie większa niż 50 kW.</w:t>
            </w:r>
          </w:p>
        </w:tc>
      </w:tr>
      <w:tr w:rsidR="00B642CA" w:rsidRPr="009F21BD" w14:paraId="11B3E972" w14:textId="77777777" w:rsidTr="00A9381E">
        <w:tc>
          <w:tcPr>
            <w:tcW w:w="3261" w:type="dxa"/>
            <w:gridSpan w:val="2"/>
          </w:tcPr>
          <w:p w14:paraId="4990923F" w14:textId="77777777" w:rsidR="00B642CA" w:rsidRPr="00C6236A" w:rsidRDefault="00B642CA" w:rsidP="00B642CA">
            <w:pPr>
              <w:pStyle w:val="Default"/>
              <w:ind w:right="2"/>
              <w:jc w:val="both"/>
            </w:pPr>
            <w:r w:rsidRPr="00C6236A">
              <w:rPr>
                <w:b/>
                <w:bCs/>
              </w:rPr>
              <w:t>Minimalna moc dyspozycyjna netto</w:t>
            </w:r>
          </w:p>
          <w:p w14:paraId="3E1324F5" w14:textId="77777777" w:rsidR="00B642CA" w:rsidRPr="009F21BD" w:rsidRDefault="00B642CA" w:rsidP="00B642CA">
            <w:pPr>
              <w:pStyle w:val="styl0"/>
              <w:spacing w:before="120"/>
              <w:rPr>
                <w:b/>
                <w:szCs w:val="24"/>
              </w:rPr>
            </w:pPr>
          </w:p>
        </w:tc>
        <w:tc>
          <w:tcPr>
            <w:tcW w:w="6025" w:type="dxa"/>
          </w:tcPr>
          <w:p w14:paraId="7F7DA1C4" w14:textId="4A475639" w:rsidR="00B642CA" w:rsidRPr="003B5EA2" w:rsidRDefault="00B642CA" w:rsidP="00B642CA">
            <w:pPr>
              <w:pStyle w:val="Default"/>
              <w:spacing w:before="120"/>
              <w:jc w:val="both"/>
              <w:rPr>
                <w:rFonts w:eastAsia="Times New Roman"/>
                <w:bCs/>
              </w:rPr>
            </w:pPr>
            <w:r w:rsidRPr="00C6236A">
              <w:t xml:space="preserve">Moc minimum technicznego netto powiększona </w:t>
            </w:r>
            <w:r w:rsidRPr="00C6236A">
              <w:br/>
              <w:t xml:space="preserve">o planowane lub nieplanowane ubytki mocy. </w:t>
            </w:r>
          </w:p>
        </w:tc>
      </w:tr>
      <w:tr w:rsidR="00B642CA" w:rsidRPr="009F21BD" w14:paraId="438FAAC7" w14:textId="77777777" w:rsidTr="00A9381E">
        <w:tc>
          <w:tcPr>
            <w:tcW w:w="3261" w:type="dxa"/>
            <w:gridSpan w:val="2"/>
          </w:tcPr>
          <w:p w14:paraId="245ACF81" w14:textId="77777777" w:rsidR="00B642CA" w:rsidRPr="009F21BD" w:rsidRDefault="00B642CA" w:rsidP="00B642CA">
            <w:pPr>
              <w:pStyle w:val="styl0"/>
              <w:spacing w:before="120"/>
              <w:rPr>
                <w:b/>
              </w:rPr>
            </w:pPr>
            <w:r w:rsidRPr="009F21BD">
              <w:rPr>
                <w:b/>
              </w:rPr>
              <w:t>Moc bezpieczna</w:t>
            </w:r>
          </w:p>
        </w:tc>
        <w:tc>
          <w:tcPr>
            <w:tcW w:w="6025" w:type="dxa"/>
          </w:tcPr>
          <w:p w14:paraId="4AD76021" w14:textId="77777777" w:rsidR="00B642CA" w:rsidRPr="009F21BD" w:rsidRDefault="00B642CA" w:rsidP="00B642CA">
            <w:pPr>
              <w:pStyle w:val="styl0"/>
              <w:spacing w:before="120"/>
              <w:ind w:left="-70"/>
              <w:rPr>
                <w:szCs w:val="24"/>
              </w:rPr>
            </w:pPr>
            <w:r w:rsidRPr="009F21BD">
              <w:rPr>
                <w:szCs w:val="24"/>
              </w:rPr>
              <w:t>Moc czynna określona przez odbiorcę, przy której wprowadzane ograniczenia w dostarczaniu i poborze energii elektrycznej nie powodują zagrożenia bezpieczeństwa osób, uszkodzenia lub zniszczenia obiektów technologicznych.</w:t>
            </w:r>
          </w:p>
        </w:tc>
      </w:tr>
      <w:tr w:rsidR="00B642CA" w:rsidRPr="009F21BD" w14:paraId="47C8D3FA" w14:textId="77777777" w:rsidTr="00A9381E">
        <w:tc>
          <w:tcPr>
            <w:tcW w:w="3261" w:type="dxa"/>
            <w:gridSpan w:val="2"/>
          </w:tcPr>
          <w:p w14:paraId="7997777F" w14:textId="77777777" w:rsidR="00B642CA" w:rsidRPr="009F21BD" w:rsidRDefault="00B642CA" w:rsidP="00B642CA">
            <w:pPr>
              <w:spacing w:before="120"/>
              <w:ind w:left="-48"/>
              <w:rPr>
                <w:b/>
                <w:bCs/>
              </w:rPr>
            </w:pPr>
            <w:r w:rsidRPr="009F21BD">
              <w:rPr>
                <w:b/>
                <w:bCs/>
              </w:rPr>
              <w:t>Moc dyspozycyjna</w:t>
            </w:r>
          </w:p>
        </w:tc>
        <w:tc>
          <w:tcPr>
            <w:tcW w:w="6025" w:type="dxa"/>
            <w:shd w:val="clear" w:color="auto" w:fill="auto"/>
          </w:tcPr>
          <w:p w14:paraId="42D02FDC" w14:textId="479B35E8" w:rsidR="00B642CA" w:rsidRPr="009F21BD" w:rsidRDefault="00B642CA" w:rsidP="00B642CA">
            <w:pPr>
              <w:spacing w:before="120"/>
              <w:ind w:right="-142"/>
              <w:jc w:val="both"/>
            </w:pPr>
            <w:r w:rsidRPr="009E1CAE">
              <w:rPr>
                <w:rFonts w:cs="Times New Roman"/>
                <w:szCs w:val="24"/>
              </w:rPr>
              <w:t>Moc osiągalna jednostki wytwórczej albo magazynu energii elektrycznej pomniejszona o ubytki mocy</w:t>
            </w:r>
            <w:r>
              <w:rPr>
                <w:rFonts w:ascii="Arial" w:hAnsi="Arial"/>
                <w:sz w:val="22"/>
                <w:szCs w:val="22"/>
              </w:rPr>
              <w:t>.</w:t>
            </w:r>
          </w:p>
        </w:tc>
      </w:tr>
      <w:tr w:rsidR="00B642CA" w:rsidRPr="009F21BD" w14:paraId="7DC4DE0F" w14:textId="77777777" w:rsidTr="00A9381E">
        <w:tc>
          <w:tcPr>
            <w:tcW w:w="3261" w:type="dxa"/>
            <w:gridSpan w:val="2"/>
          </w:tcPr>
          <w:p w14:paraId="7E78FB7A" w14:textId="77777777" w:rsidR="00B642CA" w:rsidRPr="009F21BD" w:rsidRDefault="00B642CA" w:rsidP="00B642CA">
            <w:pPr>
              <w:spacing w:before="120"/>
              <w:ind w:left="-48"/>
              <w:rPr>
                <w:b/>
                <w:bCs/>
              </w:rPr>
            </w:pPr>
            <w:r w:rsidRPr="009F21BD">
              <w:rPr>
                <w:b/>
                <w:bCs/>
              </w:rPr>
              <w:t>Moc osiągalna</w:t>
            </w:r>
          </w:p>
        </w:tc>
        <w:tc>
          <w:tcPr>
            <w:tcW w:w="6025" w:type="dxa"/>
          </w:tcPr>
          <w:p w14:paraId="0254797A" w14:textId="07FF87C1" w:rsidR="00B642CA" w:rsidRPr="00AF22A9" w:rsidRDefault="00B642CA" w:rsidP="00B642CA">
            <w:pPr>
              <w:pStyle w:val="Default"/>
              <w:spacing w:before="120"/>
              <w:jc w:val="both"/>
              <w:rPr>
                <w:color w:val="auto"/>
              </w:rPr>
            </w:pPr>
            <w:r w:rsidRPr="00AF22A9">
              <w:t>Maksymalna moc czynna, przy której jednostka wytwórcza albo magazyn energii elektrycznej może pracować bez uszczerbku dla trwałości tej jednostki, magazynu przy parametrach nominalnych, potwierdzona testami.</w:t>
            </w:r>
          </w:p>
        </w:tc>
      </w:tr>
      <w:tr w:rsidR="00B642CA" w:rsidRPr="009F21BD" w14:paraId="7A38550F" w14:textId="77777777" w:rsidTr="00A9381E">
        <w:tc>
          <w:tcPr>
            <w:tcW w:w="3261" w:type="dxa"/>
            <w:gridSpan w:val="2"/>
          </w:tcPr>
          <w:p w14:paraId="0487F41E" w14:textId="77777777" w:rsidR="00B642CA" w:rsidRPr="009F21BD" w:rsidRDefault="00B642CA" w:rsidP="00B642CA">
            <w:pPr>
              <w:spacing w:before="120"/>
              <w:ind w:left="-48"/>
              <w:rPr>
                <w:b/>
                <w:bCs/>
              </w:rPr>
            </w:pPr>
            <w:r w:rsidRPr="009F21BD">
              <w:rPr>
                <w:b/>
                <w:bCs/>
              </w:rPr>
              <w:t>Moc przyłączeniowa</w:t>
            </w:r>
          </w:p>
        </w:tc>
        <w:tc>
          <w:tcPr>
            <w:tcW w:w="6025" w:type="dxa"/>
          </w:tcPr>
          <w:p w14:paraId="6EACE775" w14:textId="48502E3B" w:rsidR="00B642CA" w:rsidRPr="009F21BD" w:rsidRDefault="00B642CA" w:rsidP="00B642CA">
            <w:pPr>
              <w:spacing w:before="120"/>
              <w:jc w:val="both"/>
            </w:pPr>
            <w:r w:rsidRPr="009F21BD">
              <w:t xml:space="preserve">Moc czynna planowana do pobierania lub wprowadzania do sieci, określona w umowie o przyłączenie </w:t>
            </w:r>
            <w:r w:rsidR="00A85183">
              <w:t xml:space="preserve">do sieci </w:t>
            </w:r>
            <w:r w:rsidRPr="009F21BD">
              <w:t xml:space="preserve">jako wartość maksymalna </w:t>
            </w:r>
            <w:r w:rsidR="00A85183">
              <w:t xml:space="preserve">wyznaczana </w:t>
            </w:r>
            <w:r w:rsidRPr="009F21BD">
              <w:t>ze średnich wartości tej mocy w okres</w:t>
            </w:r>
            <w:r w:rsidR="00A85183">
              <w:t>ach piętnastominutowych</w:t>
            </w:r>
            <w:r w:rsidRPr="009F21BD">
              <w:t>, służąca do zaprojektowania przyłącza.</w:t>
            </w:r>
          </w:p>
        </w:tc>
      </w:tr>
      <w:tr w:rsidR="00B642CA" w:rsidRPr="009F21BD" w14:paraId="77CB19C6" w14:textId="77777777" w:rsidTr="00A9381E">
        <w:tc>
          <w:tcPr>
            <w:tcW w:w="3261" w:type="dxa"/>
            <w:gridSpan w:val="2"/>
          </w:tcPr>
          <w:p w14:paraId="5E240D78" w14:textId="77777777" w:rsidR="00B642CA" w:rsidRPr="009F21BD" w:rsidRDefault="00B642CA" w:rsidP="00B642CA">
            <w:pPr>
              <w:spacing w:before="120"/>
              <w:ind w:left="-48"/>
              <w:rPr>
                <w:b/>
                <w:bCs/>
              </w:rPr>
            </w:pPr>
            <w:r w:rsidRPr="009F21BD">
              <w:rPr>
                <w:b/>
                <w:bCs/>
              </w:rPr>
              <w:t>Moc umowna</w:t>
            </w:r>
          </w:p>
        </w:tc>
        <w:tc>
          <w:tcPr>
            <w:tcW w:w="6025" w:type="dxa"/>
            <w:shd w:val="clear" w:color="auto" w:fill="auto"/>
          </w:tcPr>
          <w:p w14:paraId="64822E49" w14:textId="4974812C" w:rsidR="00B642CA" w:rsidRPr="00C1282E" w:rsidRDefault="00B642CA" w:rsidP="00C1282E">
            <w:pPr>
              <w:tabs>
                <w:tab w:val="left" w:pos="1843"/>
              </w:tabs>
              <w:spacing w:before="120"/>
              <w:jc w:val="both"/>
              <w:rPr>
                <w:rFonts w:cs="Times New Roman"/>
                <w:color w:val="000000" w:themeColor="text1"/>
                <w:szCs w:val="24"/>
              </w:rPr>
            </w:pPr>
            <w:r w:rsidRPr="00C1282E">
              <w:rPr>
                <w:rFonts w:cs="Times New Roman"/>
                <w:color w:val="000000" w:themeColor="text1"/>
                <w:szCs w:val="24"/>
              </w:rPr>
              <w:t xml:space="preserve">Moc czynna pobierana lub wprowadzana do sieci, określona </w:t>
            </w:r>
            <w:r w:rsidRPr="00C1282E">
              <w:rPr>
                <w:rFonts w:cs="Times New Roman"/>
                <w:color w:val="000000" w:themeColor="text1"/>
                <w:szCs w:val="24"/>
              </w:rPr>
              <w:br/>
              <w:t>w:</w:t>
            </w:r>
          </w:p>
          <w:p w14:paraId="0A84D0EF" w14:textId="5CF6E500" w:rsidR="007D4345" w:rsidRPr="00C1282E" w:rsidRDefault="00B642CA">
            <w:pPr>
              <w:pStyle w:val="Akapitzlist"/>
              <w:widowControl w:val="0"/>
              <w:numPr>
                <w:ilvl w:val="0"/>
                <w:numId w:val="356"/>
              </w:numPr>
              <w:tabs>
                <w:tab w:val="left" w:pos="720"/>
                <w:tab w:val="left" w:pos="1701"/>
                <w:tab w:val="left" w:pos="4115"/>
              </w:tabs>
              <w:autoSpaceDE w:val="0"/>
              <w:autoSpaceDN w:val="0"/>
              <w:spacing w:before="2" w:line="249" w:lineRule="auto"/>
              <w:ind w:hanging="341"/>
              <w:jc w:val="both"/>
              <w:rPr>
                <w:color w:val="000000" w:themeColor="text1"/>
                <w:szCs w:val="24"/>
              </w:rPr>
            </w:pPr>
            <w:r w:rsidRPr="00C1282E">
              <w:rPr>
                <w:rFonts w:cs="Times New Roman"/>
                <w:color w:val="000000" w:themeColor="text1"/>
                <w:szCs w:val="24"/>
              </w:rPr>
              <w:tab/>
            </w:r>
            <w:r w:rsidR="007D4345" w:rsidRPr="00C1282E">
              <w:rPr>
                <w:color w:val="000000" w:themeColor="text1"/>
                <w:w w:val="105"/>
                <w:szCs w:val="24"/>
              </w:rPr>
              <w:t xml:space="preserve">w umowie o świadczenie usług przesyłania lub dystrybucji energii elektrycznej lub w umowie sprzedaży energii elektrycznej albo w umowie kompleksowej jako wartość nie </w:t>
            </w:r>
            <w:r w:rsidR="00C1282E">
              <w:rPr>
                <w:color w:val="000000" w:themeColor="text1"/>
                <w:w w:val="105"/>
                <w:szCs w:val="24"/>
              </w:rPr>
              <w:t>mniejszą</w:t>
            </w:r>
            <w:r w:rsidR="007D4345" w:rsidRPr="00C1282E">
              <w:rPr>
                <w:color w:val="000000" w:themeColor="text1"/>
                <w:w w:val="105"/>
                <w:szCs w:val="24"/>
              </w:rPr>
              <w:t xml:space="preserve"> niż wyznaczoną jako wartość maksymalną ze średniej wartości    mocy     w    okresie     piętnastu     minut, z</w:t>
            </w:r>
            <w:r w:rsidR="007D4345" w:rsidRPr="00C1282E">
              <w:rPr>
                <w:color w:val="000000" w:themeColor="text1"/>
                <w:w w:val="105"/>
                <w:szCs w:val="24"/>
              </w:rPr>
              <w:tab/>
              <w:t>uwzględnieniem</w:t>
            </w:r>
            <w:r w:rsidR="007D4345" w:rsidRPr="00C1282E">
              <w:rPr>
                <w:color w:val="000000" w:themeColor="text1"/>
                <w:w w:val="105"/>
                <w:szCs w:val="24"/>
              </w:rPr>
              <w:tab/>
            </w:r>
            <w:r w:rsidR="007D4345" w:rsidRPr="00C1282E">
              <w:rPr>
                <w:color w:val="000000" w:themeColor="text1"/>
                <w:spacing w:val="-1"/>
                <w:w w:val="105"/>
                <w:szCs w:val="24"/>
              </w:rPr>
              <w:t>współczynników</w:t>
            </w:r>
            <w:r w:rsidR="002E5DB7">
              <w:rPr>
                <w:color w:val="000000" w:themeColor="text1"/>
                <w:spacing w:val="-1"/>
                <w:w w:val="105"/>
                <w:szCs w:val="24"/>
              </w:rPr>
              <w:t xml:space="preserve"> </w:t>
            </w:r>
            <w:r w:rsidR="007D4345" w:rsidRPr="00C1282E">
              <w:rPr>
                <w:color w:val="000000" w:themeColor="text1"/>
                <w:w w:val="105"/>
                <w:szCs w:val="24"/>
              </w:rPr>
              <w:t>odzwierciedlających specyfikę układu zasilania odbiorcy,</w:t>
            </w:r>
            <w:r w:rsidR="007D4345" w:rsidRPr="00C1282E">
              <w:rPr>
                <w:color w:val="000000" w:themeColor="text1"/>
                <w:spacing w:val="10"/>
                <w:w w:val="105"/>
                <w:szCs w:val="24"/>
              </w:rPr>
              <w:t xml:space="preserve"> </w:t>
            </w:r>
            <w:r w:rsidR="007D4345" w:rsidRPr="00C1282E">
              <w:rPr>
                <w:color w:val="000000" w:themeColor="text1"/>
                <w:w w:val="105"/>
                <w:szCs w:val="24"/>
              </w:rPr>
              <w:t>albo</w:t>
            </w:r>
          </w:p>
          <w:p w14:paraId="24500637" w14:textId="214E9582" w:rsidR="007D4345" w:rsidRPr="00C1282E" w:rsidRDefault="007D4345">
            <w:pPr>
              <w:pStyle w:val="Akapitzlist"/>
              <w:widowControl w:val="0"/>
              <w:numPr>
                <w:ilvl w:val="0"/>
                <w:numId w:val="356"/>
              </w:numPr>
              <w:tabs>
                <w:tab w:val="left" w:pos="720"/>
              </w:tabs>
              <w:autoSpaceDE w:val="0"/>
              <w:autoSpaceDN w:val="0"/>
              <w:spacing w:before="11" w:line="252" w:lineRule="auto"/>
              <w:ind w:left="717" w:hanging="337"/>
              <w:jc w:val="both"/>
              <w:rPr>
                <w:color w:val="000000" w:themeColor="text1"/>
                <w:szCs w:val="24"/>
              </w:rPr>
            </w:pPr>
            <w:r w:rsidRPr="00C1282E">
              <w:rPr>
                <w:color w:val="000000" w:themeColor="text1"/>
                <w:w w:val="105"/>
                <w:szCs w:val="24"/>
              </w:rPr>
              <w:t xml:space="preserve">w umowie o świadczenie usług przesyłania energii elektrycznej zawieranej między operatorem systemu przesyłowego elektroenergetycznego </w:t>
            </w:r>
            <w:r w:rsidR="005F638B">
              <w:rPr>
                <w:color w:val="000000" w:themeColor="text1"/>
                <w:w w:val="105"/>
                <w:szCs w:val="24"/>
              </w:rPr>
              <w:br/>
            </w:r>
            <w:r w:rsidRPr="00C1282E">
              <w:rPr>
                <w:color w:val="000000" w:themeColor="text1"/>
                <w:w w:val="105"/>
                <w:szCs w:val="24"/>
              </w:rPr>
              <w:t xml:space="preserve">a operatorem systemu dystrybucyjnego elektroenergetycznego posiadającym co najmniej </w:t>
            </w:r>
            <w:r w:rsidRPr="00C1282E">
              <w:rPr>
                <w:color w:val="000000" w:themeColor="text1"/>
                <w:w w:val="105"/>
                <w:szCs w:val="24"/>
              </w:rPr>
              <w:lastRenderedPageBreak/>
              <w:t>dwa sieciowe miejsca dostarczania energii elektrycznej połączone siecią tego operatora, jako średnią z maksymalnych łącznych mocy średniogodzinnych pobieranych przez danego operatora systemu dystrybucyjnego elektroenergetycznego w sieciowych miejscach dostarczania energii elekt rycznej , wyznaczoną</w:t>
            </w:r>
            <w:r w:rsidRPr="00C1282E">
              <w:rPr>
                <w:color w:val="000000" w:themeColor="text1"/>
                <w:spacing w:val="-15"/>
                <w:w w:val="105"/>
                <w:szCs w:val="24"/>
              </w:rPr>
              <w:t xml:space="preserve"> </w:t>
            </w:r>
            <w:r w:rsidRPr="00C1282E">
              <w:rPr>
                <w:color w:val="000000" w:themeColor="text1"/>
                <w:w w:val="105"/>
                <w:szCs w:val="24"/>
              </w:rPr>
              <w:t>na podstawie wskazań układów pomiarowo-rozliczeniowych albo</w:t>
            </w:r>
          </w:p>
          <w:p w14:paraId="66B7D8D8" w14:textId="7AF0AD53" w:rsidR="007D4345" w:rsidRPr="00C1282E" w:rsidRDefault="007D4345">
            <w:pPr>
              <w:pStyle w:val="Akapitzlist"/>
              <w:widowControl w:val="0"/>
              <w:numPr>
                <w:ilvl w:val="0"/>
                <w:numId w:val="357"/>
              </w:numPr>
              <w:tabs>
                <w:tab w:val="left" w:pos="3887"/>
                <w:tab w:val="left" w:pos="6755"/>
              </w:tabs>
              <w:autoSpaceDE w:val="0"/>
              <w:autoSpaceDN w:val="0"/>
              <w:spacing w:before="7" w:line="252" w:lineRule="auto"/>
              <w:ind w:left="705" w:hanging="425"/>
              <w:jc w:val="both"/>
              <w:rPr>
                <w:color w:val="000000" w:themeColor="text1"/>
                <w:szCs w:val="24"/>
              </w:rPr>
            </w:pPr>
            <w:r w:rsidRPr="00C1282E">
              <w:rPr>
                <w:color w:val="000000" w:themeColor="text1"/>
                <w:w w:val="105"/>
                <w:szCs w:val="24"/>
              </w:rPr>
              <w:t>w umowie o świadczenie usług dystrybucji energii elektrycznej, zawieranej między operatorami</w:t>
            </w:r>
            <w:r w:rsidRPr="00C1282E">
              <w:rPr>
                <w:color w:val="000000" w:themeColor="text1"/>
                <w:spacing w:val="-33"/>
                <w:w w:val="105"/>
                <w:szCs w:val="24"/>
              </w:rPr>
              <w:t xml:space="preserve"> </w:t>
            </w:r>
            <w:r w:rsidRPr="00C1282E">
              <w:rPr>
                <w:color w:val="000000" w:themeColor="text1"/>
                <w:w w:val="105"/>
                <w:szCs w:val="24"/>
              </w:rPr>
              <w:t>systemu dystrybucyjnego</w:t>
            </w:r>
            <w:r w:rsidR="00C1282E" w:rsidRPr="00C1282E">
              <w:rPr>
                <w:color w:val="000000" w:themeColor="text1"/>
                <w:w w:val="105"/>
                <w:szCs w:val="24"/>
              </w:rPr>
              <w:t xml:space="preserve"> e</w:t>
            </w:r>
            <w:r w:rsidRPr="00C1282E">
              <w:rPr>
                <w:color w:val="000000" w:themeColor="text1"/>
                <w:spacing w:val="-1"/>
                <w:w w:val="105"/>
                <w:szCs w:val="24"/>
              </w:rPr>
              <w:t xml:space="preserve">lektroenergetycznego </w:t>
            </w:r>
            <w:r w:rsidRPr="00C1282E">
              <w:rPr>
                <w:color w:val="000000" w:themeColor="text1"/>
                <w:w w:val="105"/>
                <w:szCs w:val="24"/>
              </w:rPr>
              <w:t>posiadającymi co najmniej dwa sieciowe miejsca dostarczania energii elektrycznej połączone siecią tego operatora jako średnią z maksymalnych łącznych   mocy   średniogodzinnych   pobieranych w miejscach połączeń sieci operatorów systemów dystrybucyjnych, wyznaczoną na podstawie wskazań układów</w:t>
            </w:r>
            <w:r w:rsidRPr="00C1282E">
              <w:rPr>
                <w:color w:val="000000" w:themeColor="text1"/>
                <w:spacing w:val="11"/>
                <w:w w:val="105"/>
                <w:szCs w:val="24"/>
              </w:rPr>
              <w:t xml:space="preserve"> </w:t>
            </w:r>
            <w:r w:rsidRPr="00C1282E">
              <w:rPr>
                <w:color w:val="000000" w:themeColor="text1"/>
                <w:w w:val="105"/>
                <w:szCs w:val="24"/>
              </w:rPr>
              <w:t>pomiarowo-rozliczeniowych.</w:t>
            </w:r>
          </w:p>
          <w:p w14:paraId="45FF8CD8" w14:textId="6DC9745E" w:rsidR="00B642CA" w:rsidRPr="00C1282E" w:rsidRDefault="00B642CA">
            <w:pPr>
              <w:numPr>
                <w:ilvl w:val="0"/>
                <w:numId w:val="169"/>
              </w:numPr>
              <w:tabs>
                <w:tab w:val="clear" w:pos="1440"/>
                <w:tab w:val="num" w:pos="256"/>
              </w:tabs>
              <w:autoSpaceDE w:val="0"/>
              <w:autoSpaceDN w:val="0"/>
              <w:adjustRightInd w:val="0"/>
              <w:spacing w:before="120"/>
              <w:ind w:left="0" w:hanging="256"/>
              <w:jc w:val="both"/>
              <w:rPr>
                <w:rFonts w:cs="Times New Roman"/>
                <w:color w:val="000000" w:themeColor="text1"/>
                <w:szCs w:val="24"/>
              </w:rPr>
            </w:pPr>
          </w:p>
        </w:tc>
      </w:tr>
      <w:tr w:rsidR="00D936F4" w:rsidRPr="009F21BD" w14:paraId="4F867B2D" w14:textId="77777777" w:rsidTr="00A9381E">
        <w:tc>
          <w:tcPr>
            <w:tcW w:w="3261" w:type="dxa"/>
            <w:gridSpan w:val="2"/>
          </w:tcPr>
          <w:p w14:paraId="5A10781F" w14:textId="77777777" w:rsidR="00D936F4" w:rsidRDefault="00D936F4" w:rsidP="00D936F4">
            <w:pPr>
              <w:spacing w:line="288" w:lineRule="auto"/>
              <w:ind w:right="-12" w:firstLine="4"/>
              <w:rPr>
                <w:rFonts w:cs="Times New Roman"/>
                <w:b/>
                <w:color w:val="000000"/>
                <w:szCs w:val="24"/>
              </w:rPr>
            </w:pPr>
            <w:r>
              <w:rPr>
                <w:rFonts w:cs="Times New Roman"/>
                <w:b/>
                <w:color w:val="000000"/>
                <w:w w:val="105"/>
                <w:szCs w:val="24"/>
              </w:rPr>
              <w:lastRenderedPageBreak/>
              <w:t>Moc zainstalowana elektryczna</w:t>
            </w:r>
            <w:r>
              <w:rPr>
                <w:rFonts w:cs="Times New Roman"/>
                <w:b/>
                <w:color w:val="000000"/>
                <w:spacing w:val="-19"/>
                <w:w w:val="105"/>
                <w:szCs w:val="24"/>
              </w:rPr>
              <w:t xml:space="preserve"> </w:t>
            </w:r>
            <w:r>
              <w:rPr>
                <w:rFonts w:cs="Times New Roman"/>
                <w:b/>
                <w:color w:val="000000"/>
                <w:w w:val="105"/>
                <w:szCs w:val="24"/>
              </w:rPr>
              <w:t>instalacji odnawialnego źródła energii</w:t>
            </w:r>
          </w:p>
          <w:p w14:paraId="11FD3580" w14:textId="77777777" w:rsidR="00D936F4" w:rsidRPr="009F21BD" w:rsidRDefault="00D936F4" w:rsidP="00B642CA">
            <w:pPr>
              <w:spacing w:before="120"/>
              <w:ind w:left="-48"/>
              <w:rPr>
                <w:b/>
                <w:bCs/>
              </w:rPr>
            </w:pPr>
          </w:p>
        </w:tc>
        <w:tc>
          <w:tcPr>
            <w:tcW w:w="6025" w:type="dxa"/>
            <w:shd w:val="clear" w:color="auto" w:fill="auto"/>
          </w:tcPr>
          <w:p w14:paraId="03A4F79C" w14:textId="77777777" w:rsidR="00D936F4" w:rsidRDefault="00D936F4" w:rsidP="00D936F4">
            <w:pPr>
              <w:jc w:val="both"/>
              <w:rPr>
                <w:rFonts w:cs="Times New Roman"/>
                <w:color w:val="000000"/>
                <w:szCs w:val="24"/>
              </w:rPr>
            </w:pPr>
            <w:r>
              <w:rPr>
                <w:rFonts w:cs="Times New Roman"/>
                <w:color w:val="000000"/>
                <w:w w:val="105"/>
                <w:szCs w:val="24"/>
              </w:rPr>
              <w:t>Łączna moc znamionowa czynna:</w:t>
            </w:r>
          </w:p>
          <w:p w14:paraId="6ABBDF41" w14:textId="77777777" w:rsidR="00D936F4" w:rsidRDefault="00D936F4">
            <w:pPr>
              <w:pStyle w:val="Akapitzlist"/>
              <w:widowControl w:val="0"/>
              <w:numPr>
                <w:ilvl w:val="0"/>
                <w:numId w:val="299"/>
              </w:numPr>
              <w:autoSpaceDE w:val="0"/>
              <w:autoSpaceDN w:val="0"/>
              <w:spacing w:before="50" w:line="252" w:lineRule="auto"/>
              <w:ind w:left="501" w:hanging="310"/>
              <w:jc w:val="both"/>
              <w:rPr>
                <w:rFonts w:cs="Times New Roman"/>
                <w:color w:val="000000"/>
                <w:szCs w:val="24"/>
              </w:rPr>
            </w:pPr>
            <w:r>
              <w:rPr>
                <w:rFonts w:cs="Times New Roman"/>
                <w:color w:val="000000"/>
                <w:w w:val="105"/>
                <w:szCs w:val="24"/>
              </w:rPr>
              <w:t>zespołu urządzeń służących do wytwarzania energii elektrycznej - zespołu prądotwórczego, podana przez producenta na tabliczce znamionowej, a w</w:t>
            </w:r>
            <w:r>
              <w:rPr>
                <w:rFonts w:cs="Times New Roman"/>
                <w:color w:val="000000"/>
                <w:spacing w:val="-39"/>
                <w:w w:val="105"/>
                <w:szCs w:val="24"/>
              </w:rPr>
              <w:t xml:space="preserve"> </w:t>
            </w:r>
            <w:r>
              <w:rPr>
                <w:rFonts w:cs="Times New Roman"/>
                <w:color w:val="000000"/>
                <w:w w:val="105"/>
                <w:szCs w:val="24"/>
              </w:rPr>
              <w:t>przypadku jej braku, moc znamionowa czynna tego zespołu określona przez jednostkę posiadającą akredytację Polskiego Centrum Akredytacji - w przypadku instalacji odnawialnego źródła energii wykorzystującej do wytwarzania energii elektrycznej biogaz lub biogaz</w:t>
            </w:r>
            <w:r>
              <w:rPr>
                <w:rFonts w:cs="Times New Roman"/>
                <w:color w:val="000000"/>
                <w:spacing w:val="34"/>
                <w:w w:val="105"/>
                <w:szCs w:val="24"/>
              </w:rPr>
              <w:t xml:space="preserve"> </w:t>
            </w:r>
            <w:r>
              <w:rPr>
                <w:rFonts w:cs="Times New Roman"/>
                <w:color w:val="000000"/>
                <w:w w:val="105"/>
                <w:szCs w:val="24"/>
              </w:rPr>
              <w:t>rolniczy,</w:t>
            </w:r>
          </w:p>
          <w:p w14:paraId="39FA39C1" w14:textId="4470BAAC" w:rsidR="00D936F4" w:rsidRPr="00FF3B62" w:rsidRDefault="00D936F4">
            <w:pPr>
              <w:pStyle w:val="Akapitzlist"/>
              <w:numPr>
                <w:ilvl w:val="0"/>
                <w:numId w:val="299"/>
              </w:numPr>
              <w:tabs>
                <w:tab w:val="left" w:pos="1843"/>
              </w:tabs>
              <w:spacing w:before="120"/>
              <w:jc w:val="both"/>
              <w:rPr>
                <w:rFonts w:cs="Times New Roman"/>
                <w:szCs w:val="24"/>
              </w:rPr>
            </w:pPr>
            <w:r w:rsidRPr="00FF3B62">
              <w:rPr>
                <w:rFonts w:cs="Times New Roman"/>
                <w:color w:val="000000"/>
                <w:w w:val="105"/>
                <w:szCs w:val="24"/>
              </w:rPr>
              <w:t>generatora, modułu fotowoltaicznego lub ogniwa paliwowego podana przez producenta na tabliczce znamionowej - w przypadku instalacji innej niż wskazana w lit.</w:t>
            </w:r>
            <w:r w:rsidRPr="00FF3B62">
              <w:rPr>
                <w:rFonts w:cs="Times New Roman"/>
                <w:color w:val="000000"/>
                <w:spacing w:val="15"/>
                <w:w w:val="105"/>
                <w:szCs w:val="24"/>
              </w:rPr>
              <w:t xml:space="preserve"> </w:t>
            </w:r>
            <w:r w:rsidRPr="00FF3B62">
              <w:rPr>
                <w:rFonts w:cs="Times New Roman"/>
                <w:color w:val="000000"/>
                <w:w w:val="105"/>
                <w:szCs w:val="24"/>
              </w:rPr>
              <w:t>a).</w:t>
            </w:r>
          </w:p>
        </w:tc>
      </w:tr>
      <w:tr w:rsidR="00B642CA" w:rsidRPr="009F21BD" w14:paraId="36E517D1" w14:textId="77777777" w:rsidTr="00A9381E">
        <w:tc>
          <w:tcPr>
            <w:tcW w:w="3261" w:type="dxa"/>
            <w:gridSpan w:val="2"/>
          </w:tcPr>
          <w:p w14:paraId="45A8C2EE" w14:textId="77777777" w:rsidR="00B642CA" w:rsidRPr="009F21BD" w:rsidRDefault="00B642CA" w:rsidP="00B642CA">
            <w:pPr>
              <w:pStyle w:val="styl0"/>
              <w:spacing w:before="120"/>
              <w:rPr>
                <w:b/>
                <w:szCs w:val="24"/>
              </w:rPr>
            </w:pPr>
            <w:r w:rsidRPr="009F21BD">
              <w:rPr>
                <w:b/>
                <w:szCs w:val="24"/>
              </w:rPr>
              <w:t>Napięcie znamionowe</w:t>
            </w:r>
          </w:p>
        </w:tc>
        <w:tc>
          <w:tcPr>
            <w:tcW w:w="6025" w:type="dxa"/>
          </w:tcPr>
          <w:p w14:paraId="764B03FE" w14:textId="77777777" w:rsidR="00B642CA" w:rsidRPr="009F21BD" w:rsidRDefault="00B642CA" w:rsidP="00B642CA">
            <w:pPr>
              <w:pStyle w:val="Default"/>
              <w:spacing w:before="120"/>
              <w:jc w:val="both"/>
              <w:rPr>
                <w:color w:val="auto"/>
              </w:rPr>
            </w:pPr>
            <w:r w:rsidRPr="009F21BD">
              <w:rPr>
                <w:color w:val="auto"/>
              </w:rPr>
              <w:t xml:space="preserve">Wartość skuteczna napięcia określająca i identyfikująca sieć elektroenergetyczną. </w:t>
            </w:r>
          </w:p>
        </w:tc>
      </w:tr>
      <w:tr w:rsidR="00B642CA" w:rsidRPr="009F21BD" w14:paraId="5C4BAA62" w14:textId="77777777" w:rsidTr="00A9381E">
        <w:tc>
          <w:tcPr>
            <w:tcW w:w="3261" w:type="dxa"/>
            <w:gridSpan w:val="2"/>
          </w:tcPr>
          <w:p w14:paraId="0DCF802D" w14:textId="77777777" w:rsidR="00B642CA" w:rsidRPr="009F21BD" w:rsidRDefault="00B642CA" w:rsidP="00B642CA">
            <w:pPr>
              <w:pStyle w:val="styl0"/>
              <w:spacing w:before="120"/>
              <w:rPr>
                <w:b/>
              </w:rPr>
            </w:pPr>
            <w:r w:rsidRPr="009F21BD">
              <w:rPr>
                <w:b/>
              </w:rPr>
              <w:t>Nielegalne pobieranie energii</w:t>
            </w:r>
          </w:p>
        </w:tc>
        <w:tc>
          <w:tcPr>
            <w:tcW w:w="6025" w:type="dxa"/>
          </w:tcPr>
          <w:p w14:paraId="6C74EA41" w14:textId="77777777" w:rsidR="00B642CA" w:rsidRPr="009F21BD" w:rsidRDefault="00B642CA" w:rsidP="00B642CA">
            <w:pPr>
              <w:pStyle w:val="styl0"/>
              <w:spacing w:before="120"/>
              <w:rPr>
                <w:szCs w:val="24"/>
              </w:rPr>
            </w:pPr>
            <w:r w:rsidRPr="009F21BD">
              <w:rPr>
                <w:szCs w:val="24"/>
              </w:rPr>
              <w:t>Pobieranie energii elektrycznej bez zawarcia umowy, z całkowitym albo częściowym pominięciem układu pomiarowo-rozliczeniowego lub poprzez ingerencję w ten układ mającą wpływ na zafałszowanie pomiarów dokonywanych przez układ pomiarowo-rozliczeniowy.</w:t>
            </w:r>
          </w:p>
        </w:tc>
      </w:tr>
      <w:tr w:rsidR="00B642CA" w:rsidRPr="009F21BD" w14:paraId="75CB1294" w14:textId="77777777" w:rsidTr="00A9381E">
        <w:tc>
          <w:tcPr>
            <w:tcW w:w="3261" w:type="dxa"/>
            <w:gridSpan w:val="2"/>
          </w:tcPr>
          <w:p w14:paraId="5DD46BA9" w14:textId="77777777" w:rsidR="00B642CA" w:rsidRPr="009F21BD" w:rsidRDefault="00B642CA" w:rsidP="00B642CA">
            <w:pPr>
              <w:pStyle w:val="styl0"/>
              <w:spacing w:before="120"/>
              <w:rPr>
                <w:b/>
              </w:rPr>
            </w:pPr>
            <w:r w:rsidRPr="009F21BD">
              <w:rPr>
                <w:b/>
              </w:rPr>
              <w:t>Niskie napięcie</w:t>
            </w:r>
          </w:p>
        </w:tc>
        <w:tc>
          <w:tcPr>
            <w:tcW w:w="6025" w:type="dxa"/>
          </w:tcPr>
          <w:p w14:paraId="3933081D" w14:textId="77777777" w:rsidR="00B642CA" w:rsidRPr="009F21BD" w:rsidRDefault="00B642CA" w:rsidP="00B642CA">
            <w:pPr>
              <w:pStyle w:val="styl0"/>
              <w:spacing w:before="120"/>
              <w:rPr>
                <w:szCs w:val="24"/>
              </w:rPr>
            </w:pPr>
            <w:r w:rsidRPr="009F21BD">
              <w:rPr>
                <w:szCs w:val="24"/>
              </w:rPr>
              <w:t>Napięcie nie wyższe niż 1 kV.</w:t>
            </w:r>
          </w:p>
        </w:tc>
      </w:tr>
      <w:tr w:rsidR="00B642CA" w:rsidRPr="009F21BD" w14:paraId="35E4EA21" w14:textId="77777777" w:rsidTr="00A9381E">
        <w:tc>
          <w:tcPr>
            <w:tcW w:w="3261" w:type="dxa"/>
            <w:gridSpan w:val="2"/>
          </w:tcPr>
          <w:p w14:paraId="0A94B400" w14:textId="77777777" w:rsidR="00B642CA" w:rsidRPr="009F21BD" w:rsidRDefault="00B642CA" w:rsidP="00B642CA">
            <w:pPr>
              <w:pStyle w:val="styl0"/>
              <w:spacing w:before="120"/>
              <w:jc w:val="left"/>
              <w:rPr>
                <w:b/>
              </w:rPr>
            </w:pPr>
            <w:r w:rsidRPr="009F21BD">
              <w:rPr>
                <w:b/>
              </w:rPr>
              <w:t>Normalny układ pracy sieci</w:t>
            </w:r>
          </w:p>
        </w:tc>
        <w:tc>
          <w:tcPr>
            <w:tcW w:w="6025" w:type="dxa"/>
          </w:tcPr>
          <w:p w14:paraId="05CA1DC6" w14:textId="77777777" w:rsidR="00B642CA" w:rsidRPr="009F21BD" w:rsidRDefault="00B642CA" w:rsidP="00B642CA">
            <w:pPr>
              <w:pStyle w:val="styl0"/>
              <w:spacing w:before="120"/>
              <w:rPr>
                <w:szCs w:val="24"/>
              </w:rPr>
            </w:pPr>
            <w:r w:rsidRPr="009F21BD">
              <w:rPr>
                <w:szCs w:val="24"/>
              </w:rPr>
              <w:t xml:space="preserve">Układ pracy sieci i przyłączonych źródeł wytwórczych, zapewniający najkorzystniejsze warunki techniczne i ekonomiczne transportu energii elektrycznej oraz spełnienie </w:t>
            </w:r>
            <w:r w:rsidRPr="009F21BD">
              <w:rPr>
                <w:szCs w:val="24"/>
              </w:rPr>
              <w:lastRenderedPageBreak/>
              <w:t>kryteriów niezawodności pracy sieci i jakości energii elektrycznej dostarczanej użytkownikom sieci.</w:t>
            </w:r>
          </w:p>
        </w:tc>
      </w:tr>
      <w:tr w:rsidR="00085EC5" w:rsidRPr="009F21BD" w14:paraId="713F6ACC" w14:textId="77777777" w:rsidTr="00A9381E">
        <w:tc>
          <w:tcPr>
            <w:tcW w:w="3261" w:type="dxa"/>
            <w:gridSpan w:val="2"/>
          </w:tcPr>
          <w:p w14:paraId="2EAD7295" w14:textId="77777777" w:rsidR="00085EC5" w:rsidRDefault="00085EC5" w:rsidP="00085EC5">
            <w:pPr>
              <w:rPr>
                <w:rFonts w:cs="Times New Roman"/>
                <w:b/>
                <w:color w:val="000000"/>
                <w:szCs w:val="24"/>
              </w:rPr>
            </w:pPr>
            <w:r>
              <w:rPr>
                <w:rFonts w:cs="Times New Roman"/>
                <w:b/>
                <w:color w:val="000000"/>
                <w:w w:val="105"/>
                <w:szCs w:val="24"/>
              </w:rPr>
              <w:lastRenderedPageBreak/>
              <w:t>Obiekt</w:t>
            </w:r>
          </w:p>
          <w:p w14:paraId="34B8F2A1" w14:textId="77777777" w:rsidR="00085EC5" w:rsidRPr="009F21BD" w:rsidRDefault="00085EC5" w:rsidP="00085EC5">
            <w:pPr>
              <w:pStyle w:val="styl0"/>
              <w:spacing w:before="120"/>
              <w:jc w:val="left"/>
              <w:rPr>
                <w:b/>
              </w:rPr>
            </w:pPr>
          </w:p>
        </w:tc>
        <w:tc>
          <w:tcPr>
            <w:tcW w:w="6025" w:type="dxa"/>
          </w:tcPr>
          <w:p w14:paraId="3640DBDC" w14:textId="346A742A" w:rsidR="00085EC5" w:rsidRPr="009F21BD" w:rsidRDefault="00085EC5" w:rsidP="00085EC5">
            <w:pPr>
              <w:pStyle w:val="styl0"/>
              <w:spacing w:before="120"/>
              <w:rPr>
                <w:szCs w:val="24"/>
              </w:rPr>
            </w:pPr>
            <w:r>
              <w:rPr>
                <w:color w:val="000000"/>
                <w:w w:val="105"/>
                <w:szCs w:val="24"/>
              </w:rPr>
              <w:t>Budynek</w:t>
            </w:r>
            <w:r>
              <w:rPr>
                <w:color w:val="000000"/>
                <w:spacing w:val="-2"/>
                <w:w w:val="105"/>
                <w:szCs w:val="24"/>
              </w:rPr>
              <w:t xml:space="preserve"> </w:t>
            </w:r>
            <w:r>
              <w:rPr>
                <w:color w:val="000000"/>
                <w:w w:val="105"/>
                <w:szCs w:val="24"/>
              </w:rPr>
              <w:t>lub</w:t>
            </w:r>
            <w:r>
              <w:rPr>
                <w:color w:val="000000"/>
                <w:spacing w:val="-14"/>
                <w:w w:val="105"/>
                <w:szCs w:val="24"/>
              </w:rPr>
              <w:t xml:space="preserve"> </w:t>
            </w:r>
            <w:r>
              <w:rPr>
                <w:color w:val="000000"/>
                <w:w w:val="105"/>
                <w:szCs w:val="24"/>
              </w:rPr>
              <w:t>budowla</w:t>
            </w:r>
            <w:r>
              <w:rPr>
                <w:color w:val="000000"/>
                <w:spacing w:val="-11"/>
                <w:w w:val="105"/>
                <w:szCs w:val="24"/>
              </w:rPr>
              <w:t xml:space="preserve"> </w:t>
            </w:r>
            <w:r>
              <w:rPr>
                <w:color w:val="000000"/>
                <w:w w:val="105"/>
                <w:szCs w:val="24"/>
              </w:rPr>
              <w:t>w</w:t>
            </w:r>
            <w:r>
              <w:rPr>
                <w:color w:val="000000"/>
                <w:spacing w:val="-15"/>
                <w:w w:val="105"/>
                <w:szCs w:val="24"/>
              </w:rPr>
              <w:t xml:space="preserve"> </w:t>
            </w:r>
            <w:r>
              <w:rPr>
                <w:color w:val="000000"/>
                <w:w w:val="105"/>
                <w:szCs w:val="24"/>
              </w:rPr>
              <w:t>rozumieniu</w:t>
            </w:r>
            <w:r>
              <w:rPr>
                <w:color w:val="000000"/>
                <w:spacing w:val="6"/>
                <w:w w:val="105"/>
                <w:szCs w:val="24"/>
              </w:rPr>
              <w:t xml:space="preserve"> </w:t>
            </w:r>
            <w:r>
              <w:rPr>
                <w:color w:val="000000"/>
                <w:w w:val="105"/>
                <w:szCs w:val="24"/>
              </w:rPr>
              <w:t>ustawy</w:t>
            </w:r>
            <w:r>
              <w:rPr>
                <w:color w:val="000000"/>
                <w:spacing w:val="-13"/>
                <w:w w:val="105"/>
                <w:szCs w:val="24"/>
              </w:rPr>
              <w:t xml:space="preserve"> </w:t>
            </w:r>
            <w:r>
              <w:rPr>
                <w:color w:val="000000"/>
                <w:w w:val="105"/>
                <w:szCs w:val="24"/>
              </w:rPr>
              <w:t>z</w:t>
            </w:r>
            <w:r>
              <w:rPr>
                <w:color w:val="000000"/>
                <w:spacing w:val="-21"/>
                <w:w w:val="105"/>
                <w:szCs w:val="24"/>
              </w:rPr>
              <w:t xml:space="preserve"> </w:t>
            </w:r>
            <w:r>
              <w:rPr>
                <w:color w:val="000000"/>
                <w:w w:val="105"/>
                <w:szCs w:val="24"/>
              </w:rPr>
              <w:t>dnia</w:t>
            </w:r>
            <w:r>
              <w:rPr>
                <w:color w:val="000000"/>
                <w:spacing w:val="-10"/>
                <w:w w:val="105"/>
                <w:szCs w:val="24"/>
              </w:rPr>
              <w:t xml:space="preserve"> </w:t>
            </w:r>
            <w:r>
              <w:rPr>
                <w:color w:val="000000"/>
                <w:w w:val="105"/>
                <w:szCs w:val="24"/>
              </w:rPr>
              <w:t>7</w:t>
            </w:r>
            <w:r>
              <w:rPr>
                <w:color w:val="000000"/>
                <w:spacing w:val="-20"/>
                <w:w w:val="105"/>
                <w:szCs w:val="24"/>
              </w:rPr>
              <w:t xml:space="preserve"> </w:t>
            </w:r>
            <w:r>
              <w:rPr>
                <w:color w:val="000000"/>
                <w:w w:val="105"/>
                <w:szCs w:val="24"/>
              </w:rPr>
              <w:t xml:space="preserve">lipca 1994 r. -Prawo budowlane  (Dz. U. z 2021  r. poz. 2351, </w:t>
            </w:r>
            <w:r>
              <w:rPr>
                <w:color w:val="000000"/>
                <w:w w:val="105"/>
                <w:szCs w:val="24"/>
              </w:rPr>
              <w:br/>
              <w:t xml:space="preserve">z późn. zm.), a także ich wyodrębnioną część albo zespół budynków lub budowli, które mieszczą się pod jednym adresem lub w jednej lokalizacji, wraz z urządzeniami połączonymi ze sobą siecią lub instalacją odbiorczą przyłączoną do sieci elektroenergetycznej - w celu dostarczania energii elektrycznej na podstawie umowy sprzedaży i umowy o świadczenie usług dystrybucji energii    elektrycznej    albo    umowy    kompleksowej, </w:t>
            </w:r>
            <w:r>
              <w:rPr>
                <w:color w:val="000000"/>
                <w:w w:val="105"/>
                <w:szCs w:val="24"/>
              </w:rPr>
              <w:br/>
              <w:t>o których mowa odpowiednio w art. 5 ust. 1 i 3 Ustawy, zawartych z tym samym odbiorcą, przy wykorzystaniu jednego lub więcej przyłączy tworzących kompletny układ</w:t>
            </w:r>
            <w:r>
              <w:rPr>
                <w:color w:val="000000"/>
                <w:spacing w:val="9"/>
                <w:w w:val="105"/>
                <w:szCs w:val="24"/>
              </w:rPr>
              <w:t xml:space="preserve"> </w:t>
            </w:r>
            <w:r>
              <w:rPr>
                <w:color w:val="000000"/>
                <w:w w:val="105"/>
                <w:szCs w:val="24"/>
              </w:rPr>
              <w:t>zasilania.</w:t>
            </w:r>
            <w:r>
              <w:rPr>
                <w:color w:val="000000"/>
                <w:szCs w:val="24"/>
              </w:rPr>
              <w:tab/>
            </w:r>
          </w:p>
        </w:tc>
      </w:tr>
      <w:tr w:rsidR="005D26CA" w:rsidRPr="009F21BD" w14:paraId="2FD93774" w14:textId="77777777" w:rsidTr="00A9381E">
        <w:tc>
          <w:tcPr>
            <w:tcW w:w="3261" w:type="dxa"/>
            <w:gridSpan w:val="2"/>
          </w:tcPr>
          <w:p w14:paraId="0052E2C0" w14:textId="58D6FF24" w:rsidR="005D26CA" w:rsidRDefault="005D26CA" w:rsidP="00085EC5">
            <w:pPr>
              <w:rPr>
                <w:rFonts w:cs="Times New Roman"/>
                <w:b/>
                <w:color w:val="000000"/>
                <w:w w:val="105"/>
                <w:szCs w:val="24"/>
              </w:rPr>
            </w:pPr>
            <w:r>
              <w:rPr>
                <w:rFonts w:cs="Times New Roman"/>
                <w:b/>
                <w:color w:val="000000"/>
                <w:w w:val="105"/>
                <w:szCs w:val="24"/>
              </w:rPr>
              <w:t>Obiekt pomiarowy</w:t>
            </w:r>
          </w:p>
        </w:tc>
        <w:tc>
          <w:tcPr>
            <w:tcW w:w="6025" w:type="dxa"/>
          </w:tcPr>
          <w:p w14:paraId="06D18B4A" w14:textId="47953AA7" w:rsidR="005D26CA" w:rsidRDefault="005D26CA" w:rsidP="00AC69A6">
            <w:pPr>
              <w:pStyle w:val="styl0"/>
              <w:rPr>
                <w:color w:val="000000"/>
                <w:w w:val="105"/>
                <w:szCs w:val="24"/>
              </w:rPr>
            </w:pPr>
            <w:r>
              <w:rPr>
                <w:color w:val="000000"/>
                <w:w w:val="105"/>
                <w:szCs w:val="24"/>
              </w:rPr>
              <w:t xml:space="preserve">Zbiór fizyczny lub wirtualny obejmujący co najmniej jeden PP. </w:t>
            </w:r>
          </w:p>
        </w:tc>
      </w:tr>
      <w:tr w:rsidR="00085EC5" w:rsidRPr="009F21BD" w14:paraId="72CA3A4B" w14:textId="77777777" w:rsidTr="00A9381E">
        <w:tc>
          <w:tcPr>
            <w:tcW w:w="3261" w:type="dxa"/>
            <w:gridSpan w:val="2"/>
          </w:tcPr>
          <w:p w14:paraId="29F6CC7B" w14:textId="77777777" w:rsidR="00085EC5" w:rsidRPr="009F21BD" w:rsidRDefault="00085EC5" w:rsidP="00085EC5">
            <w:pPr>
              <w:pStyle w:val="styl0"/>
              <w:spacing w:before="120"/>
              <w:jc w:val="left"/>
              <w:rPr>
                <w:b/>
              </w:rPr>
            </w:pPr>
            <w:r w:rsidRPr="009F21BD">
              <w:rPr>
                <w:b/>
              </w:rPr>
              <w:t>Obrót energią elektryczną</w:t>
            </w:r>
          </w:p>
        </w:tc>
        <w:tc>
          <w:tcPr>
            <w:tcW w:w="6025" w:type="dxa"/>
          </w:tcPr>
          <w:p w14:paraId="7C0F5203" w14:textId="77777777" w:rsidR="00085EC5" w:rsidRPr="009F21BD" w:rsidRDefault="00085EC5" w:rsidP="00085EC5">
            <w:pPr>
              <w:pStyle w:val="styl0"/>
              <w:spacing w:before="120"/>
              <w:rPr>
                <w:szCs w:val="24"/>
              </w:rPr>
            </w:pPr>
            <w:r w:rsidRPr="009F21BD">
              <w:rPr>
                <w:szCs w:val="24"/>
              </w:rPr>
              <w:t>Działalność gospodarcza polegająca na handlu hurtowym albo detalicznym energią elektryczną.</w:t>
            </w:r>
          </w:p>
        </w:tc>
      </w:tr>
      <w:tr w:rsidR="00085EC5" w:rsidRPr="009F21BD" w14:paraId="0730C7B8" w14:textId="77777777" w:rsidTr="00A9381E">
        <w:tc>
          <w:tcPr>
            <w:tcW w:w="3261" w:type="dxa"/>
            <w:gridSpan w:val="2"/>
          </w:tcPr>
          <w:p w14:paraId="532B3D2A" w14:textId="77777777" w:rsidR="00085EC5" w:rsidRPr="009F21BD" w:rsidRDefault="00085EC5" w:rsidP="00085EC5">
            <w:pPr>
              <w:spacing w:before="120"/>
              <w:rPr>
                <w:b/>
              </w:rPr>
            </w:pPr>
            <w:r w:rsidRPr="009F21BD">
              <w:rPr>
                <w:b/>
              </w:rPr>
              <w:t>Obszar OSD</w:t>
            </w:r>
          </w:p>
        </w:tc>
        <w:tc>
          <w:tcPr>
            <w:tcW w:w="6025" w:type="dxa"/>
          </w:tcPr>
          <w:p w14:paraId="3CD66015" w14:textId="77777777" w:rsidR="00085EC5" w:rsidRPr="009F21BD" w:rsidRDefault="00085EC5" w:rsidP="00085EC5">
            <w:pPr>
              <w:spacing w:before="120"/>
              <w:jc w:val="both"/>
            </w:pPr>
            <w:r w:rsidRPr="009F21BD">
              <w:t>Posiadana przez OSD sieć elektroenergetyczna na obszarze określonym w koncesji na dystrybucję energii elektrycznej OSD, za której ruch i eksploatację odpowiada OSD.</w:t>
            </w:r>
          </w:p>
        </w:tc>
      </w:tr>
      <w:tr w:rsidR="00085EC5" w:rsidRPr="009F21BD" w14:paraId="632008AA" w14:textId="77777777" w:rsidTr="00A9381E">
        <w:tc>
          <w:tcPr>
            <w:tcW w:w="3261" w:type="dxa"/>
            <w:gridSpan w:val="2"/>
          </w:tcPr>
          <w:p w14:paraId="756A9942" w14:textId="77777777" w:rsidR="00085EC5" w:rsidRPr="009F21BD" w:rsidRDefault="00085EC5" w:rsidP="00085EC5">
            <w:pPr>
              <w:spacing w:before="120"/>
              <w:rPr>
                <w:b/>
              </w:rPr>
            </w:pPr>
            <w:r w:rsidRPr="009F21BD">
              <w:rPr>
                <w:b/>
                <w:bCs/>
              </w:rPr>
              <w:t>Obszar rynku bilansującego</w:t>
            </w:r>
          </w:p>
        </w:tc>
        <w:tc>
          <w:tcPr>
            <w:tcW w:w="6025" w:type="dxa"/>
          </w:tcPr>
          <w:p w14:paraId="15867AC1" w14:textId="77777777" w:rsidR="00085EC5" w:rsidRPr="009F21BD" w:rsidRDefault="00085EC5" w:rsidP="00085EC5">
            <w:pPr>
              <w:spacing w:before="120"/>
              <w:jc w:val="both"/>
            </w:pPr>
            <w:r w:rsidRPr="009F21BD">
              <w:t>Część systemu elektroenergetycznego, w której jest prowadzony hurtowy obrót energią elektryczną oraz w ramach której OSP równoważy bieżące zapotrzebowanie na energię elektryczną z dostawami tej energii w krajowym systemie elektroenergetycznym oraz zarządza ograniczeniami systemowymi i prowadzi wynikające z tego rozliczenia z podmiotami uczestniczącymi w rynku bilansującym.</w:t>
            </w:r>
          </w:p>
        </w:tc>
      </w:tr>
      <w:tr w:rsidR="00085EC5" w:rsidRPr="009F21BD" w14:paraId="65D06A00" w14:textId="77777777" w:rsidTr="00A9381E">
        <w:tc>
          <w:tcPr>
            <w:tcW w:w="3261" w:type="dxa"/>
            <w:gridSpan w:val="2"/>
          </w:tcPr>
          <w:p w14:paraId="5EF957B2" w14:textId="77777777" w:rsidR="00085EC5" w:rsidRPr="009F21BD" w:rsidRDefault="00085EC5" w:rsidP="00085EC5">
            <w:pPr>
              <w:spacing w:before="120"/>
              <w:ind w:left="-48"/>
              <w:rPr>
                <w:b/>
                <w:bCs/>
              </w:rPr>
            </w:pPr>
            <w:r w:rsidRPr="009F21BD">
              <w:rPr>
                <w:b/>
                <w:bCs/>
              </w:rPr>
              <w:t>Odbiorca</w:t>
            </w:r>
          </w:p>
        </w:tc>
        <w:tc>
          <w:tcPr>
            <w:tcW w:w="6025" w:type="dxa"/>
          </w:tcPr>
          <w:p w14:paraId="1EA61DC2" w14:textId="77777777" w:rsidR="00085EC5" w:rsidRPr="009F21BD" w:rsidRDefault="00085EC5" w:rsidP="00085EC5">
            <w:pPr>
              <w:spacing w:before="120"/>
              <w:jc w:val="both"/>
            </w:pPr>
            <w:r w:rsidRPr="009F21BD">
              <w:t xml:space="preserve">Każdy, kto otrzymuje lub pobiera energię elektryczną </w:t>
            </w:r>
            <w:r w:rsidRPr="009F21BD">
              <w:br/>
              <w:t>na podstawie umowy z przedsiębiorstwem energetycznym.</w:t>
            </w:r>
          </w:p>
        </w:tc>
      </w:tr>
      <w:tr w:rsidR="00085EC5" w:rsidRPr="009F21BD" w14:paraId="3AA67F91" w14:textId="77777777" w:rsidTr="00A9381E">
        <w:tc>
          <w:tcPr>
            <w:tcW w:w="3261" w:type="dxa"/>
            <w:gridSpan w:val="2"/>
          </w:tcPr>
          <w:p w14:paraId="077F69A1" w14:textId="77777777" w:rsidR="00085EC5" w:rsidRPr="009F21BD" w:rsidRDefault="00085EC5" w:rsidP="00085EC5">
            <w:pPr>
              <w:spacing w:before="120"/>
              <w:ind w:left="-48"/>
              <w:rPr>
                <w:b/>
                <w:bCs/>
              </w:rPr>
            </w:pPr>
            <w:r w:rsidRPr="009F21BD">
              <w:rPr>
                <w:b/>
                <w:bCs/>
              </w:rPr>
              <w:t>Odbiorca grafikowy</w:t>
            </w:r>
          </w:p>
        </w:tc>
        <w:tc>
          <w:tcPr>
            <w:tcW w:w="6025" w:type="dxa"/>
          </w:tcPr>
          <w:p w14:paraId="3E0400FB" w14:textId="77777777" w:rsidR="00085EC5" w:rsidRPr="009F21BD" w:rsidRDefault="00085EC5" w:rsidP="00085EC5">
            <w:pPr>
              <w:spacing w:before="120"/>
              <w:jc w:val="both"/>
            </w:pPr>
            <w:r w:rsidRPr="009F21BD">
              <w:t xml:space="preserve">Odbiorca uprawniony do prawa wyboru sprzedawcy </w:t>
            </w:r>
            <w:r w:rsidRPr="009F21BD">
              <w:br/>
              <w:t>i korzystający z tego prawa, rozliczany godzinowo posiadający układy pomiarowo-rozliczeniowe z możliwością rejestracji rzeczywistych godzinowych wartości poboru energii elektrycznej.</w:t>
            </w:r>
          </w:p>
        </w:tc>
      </w:tr>
      <w:tr w:rsidR="00085EC5" w:rsidRPr="009F21BD" w14:paraId="6257F5D5" w14:textId="77777777" w:rsidTr="00A9381E">
        <w:tc>
          <w:tcPr>
            <w:tcW w:w="3261" w:type="dxa"/>
            <w:gridSpan w:val="2"/>
          </w:tcPr>
          <w:p w14:paraId="2078A41C" w14:textId="77777777" w:rsidR="00085EC5" w:rsidRPr="009F21BD" w:rsidRDefault="00085EC5" w:rsidP="00085EC5">
            <w:pPr>
              <w:spacing w:before="120"/>
              <w:ind w:left="-48"/>
              <w:rPr>
                <w:b/>
                <w:bCs/>
              </w:rPr>
            </w:pPr>
            <w:r w:rsidRPr="009F21BD">
              <w:rPr>
                <w:b/>
                <w:bCs/>
              </w:rPr>
              <w:t>Odbiorca końcowy</w:t>
            </w:r>
          </w:p>
        </w:tc>
        <w:tc>
          <w:tcPr>
            <w:tcW w:w="6025" w:type="dxa"/>
          </w:tcPr>
          <w:p w14:paraId="4F3C961F" w14:textId="66FBB12F" w:rsidR="00085EC5" w:rsidRPr="009E308D" w:rsidRDefault="00085EC5" w:rsidP="00085EC5">
            <w:pPr>
              <w:pStyle w:val="Tekstpodstawowy"/>
              <w:spacing w:line="240" w:lineRule="auto"/>
              <w:ind w:right="-72" w:firstLine="5"/>
              <w:rPr>
                <w:color w:val="auto"/>
                <w:lang w:val="pl-PL"/>
              </w:rPr>
            </w:pPr>
            <w:r>
              <w:t>Odbiorca dokonujący zakupu energii elektrycznej na własny użytek; do własnego użytku nie zalicza się energii elektrycznej zakupionej w celu jej magazynowania lub zużycia na potrzeby wytwarzania, przesyłania lub dystrybucji energii elektrycznej</w:t>
            </w:r>
            <w:r>
              <w:rPr>
                <w:lang w:val="pl-PL"/>
              </w:rPr>
              <w:t>.</w:t>
            </w:r>
          </w:p>
        </w:tc>
      </w:tr>
      <w:tr w:rsidR="00085EC5" w:rsidRPr="009F21BD" w14:paraId="14251971" w14:textId="77777777" w:rsidTr="00A9381E">
        <w:tc>
          <w:tcPr>
            <w:tcW w:w="3261" w:type="dxa"/>
            <w:gridSpan w:val="2"/>
          </w:tcPr>
          <w:p w14:paraId="637ECCA9" w14:textId="77777777" w:rsidR="00085EC5" w:rsidRPr="009F21BD" w:rsidRDefault="00085EC5" w:rsidP="00085EC5">
            <w:pPr>
              <w:spacing w:before="120"/>
              <w:ind w:left="-48"/>
              <w:rPr>
                <w:b/>
                <w:bCs/>
              </w:rPr>
            </w:pPr>
            <w:r w:rsidRPr="009F21BD">
              <w:rPr>
                <w:b/>
                <w:bCs/>
              </w:rPr>
              <w:t>Odbiorca profilowy</w:t>
            </w:r>
          </w:p>
        </w:tc>
        <w:tc>
          <w:tcPr>
            <w:tcW w:w="6025" w:type="dxa"/>
          </w:tcPr>
          <w:p w14:paraId="127E58E6" w14:textId="77777777" w:rsidR="00085EC5" w:rsidRPr="009F21BD" w:rsidRDefault="00085EC5" w:rsidP="00085EC5">
            <w:pPr>
              <w:spacing w:before="120"/>
              <w:jc w:val="both"/>
            </w:pPr>
            <w:r w:rsidRPr="009F21BD">
              <w:t xml:space="preserve">Odbiorca uprawniony do prawa wyboru sprzedawcy </w:t>
            </w:r>
            <w:r w:rsidRPr="009F21BD">
              <w:br/>
              <w:t xml:space="preserve">i korzystający z tego prawa, rozliczany za pomocą profili, przyłączony bezpośrednio do sieci dystrybucyjnej </w:t>
            </w:r>
            <w:r w:rsidRPr="009F21BD">
              <w:br/>
              <w:t xml:space="preserve">o napięciu znamionowym nie wyższym niż 1 kV oraz mocy umownej poniżej 40 kW lub prądzie znamionowym </w:t>
            </w:r>
            <w:r w:rsidRPr="009F21BD">
              <w:lastRenderedPageBreak/>
              <w:t>zabezpieczenia przedlicznikowego w torze prądowym nie większym niż 63A.</w:t>
            </w:r>
          </w:p>
        </w:tc>
      </w:tr>
      <w:tr w:rsidR="00085EC5" w:rsidRPr="009F21BD" w14:paraId="57B510E0" w14:textId="77777777" w:rsidTr="00A9381E">
        <w:tc>
          <w:tcPr>
            <w:tcW w:w="3261" w:type="dxa"/>
            <w:gridSpan w:val="2"/>
            <w:shd w:val="clear" w:color="auto" w:fill="auto"/>
          </w:tcPr>
          <w:p w14:paraId="6E4DCC21" w14:textId="77777777" w:rsidR="00085EC5" w:rsidRPr="00501077" w:rsidRDefault="00085EC5" w:rsidP="00085EC5">
            <w:pPr>
              <w:spacing w:before="120"/>
              <w:ind w:left="-48"/>
              <w:rPr>
                <w:b/>
                <w:bCs/>
              </w:rPr>
            </w:pPr>
            <w:r w:rsidRPr="00501077">
              <w:rPr>
                <w:b/>
              </w:rPr>
              <w:lastRenderedPageBreak/>
              <w:t>Odbiorca w ORed</w:t>
            </w:r>
          </w:p>
        </w:tc>
        <w:tc>
          <w:tcPr>
            <w:tcW w:w="6025" w:type="dxa"/>
            <w:shd w:val="clear" w:color="auto" w:fill="auto"/>
          </w:tcPr>
          <w:p w14:paraId="399D0427" w14:textId="77777777" w:rsidR="00085EC5" w:rsidRPr="009F21BD" w:rsidRDefault="00085EC5" w:rsidP="00085EC5">
            <w:pPr>
              <w:spacing w:before="120"/>
              <w:jc w:val="both"/>
            </w:pPr>
            <w:r>
              <w:t>P</w:t>
            </w:r>
            <w:r w:rsidRPr="009E31B7">
              <w:t xml:space="preserve">odmiot będący stroną umowy o świadczenie usług przesyłania lub umowy regulującej zasady świadczenia usług </w:t>
            </w:r>
            <w:r w:rsidRPr="000964F8">
              <w:t>dystrybucji w danym ORed.</w:t>
            </w:r>
          </w:p>
        </w:tc>
      </w:tr>
      <w:tr w:rsidR="00726F31" w:rsidRPr="009F21BD" w14:paraId="614A2B29" w14:textId="77777777" w:rsidTr="00A9381E">
        <w:tc>
          <w:tcPr>
            <w:tcW w:w="3261" w:type="dxa"/>
            <w:gridSpan w:val="2"/>
            <w:shd w:val="clear" w:color="auto" w:fill="auto"/>
          </w:tcPr>
          <w:p w14:paraId="013053C3" w14:textId="77777777" w:rsidR="00726F31" w:rsidRDefault="00726F31" w:rsidP="00301B31">
            <w:pPr>
              <w:spacing w:before="95" w:line="288" w:lineRule="auto"/>
              <w:ind w:right="99"/>
              <w:rPr>
                <w:rFonts w:cs="Times New Roman"/>
                <w:b/>
                <w:color w:val="000000"/>
                <w:szCs w:val="24"/>
              </w:rPr>
            </w:pPr>
            <w:r>
              <w:rPr>
                <w:rFonts w:cs="Times New Roman"/>
                <w:b/>
                <w:color w:val="000000"/>
                <w:w w:val="105"/>
                <w:szCs w:val="24"/>
              </w:rPr>
              <w:t xml:space="preserve">Odbiorca wrażliwy </w:t>
            </w:r>
            <w:r>
              <w:rPr>
                <w:rFonts w:cs="Times New Roman"/>
                <w:b/>
                <w:color w:val="000000"/>
                <w:szCs w:val="24"/>
              </w:rPr>
              <w:t>energii</w:t>
            </w:r>
            <w:r>
              <w:rPr>
                <w:rFonts w:cs="Times New Roman"/>
                <w:b/>
                <w:color w:val="000000"/>
                <w:spacing w:val="54"/>
                <w:szCs w:val="24"/>
              </w:rPr>
              <w:t xml:space="preserve"> </w:t>
            </w:r>
            <w:r>
              <w:rPr>
                <w:rFonts w:cs="Times New Roman"/>
                <w:b/>
                <w:color w:val="000000"/>
                <w:szCs w:val="24"/>
              </w:rPr>
              <w:t>elektrycznej</w:t>
            </w:r>
          </w:p>
          <w:p w14:paraId="293295FD" w14:textId="77777777" w:rsidR="00726F31" w:rsidRPr="00501077" w:rsidRDefault="00726F31" w:rsidP="00085EC5">
            <w:pPr>
              <w:spacing w:before="120"/>
              <w:ind w:left="-48"/>
              <w:rPr>
                <w:b/>
              </w:rPr>
            </w:pPr>
          </w:p>
        </w:tc>
        <w:tc>
          <w:tcPr>
            <w:tcW w:w="6025" w:type="dxa"/>
            <w:shd w:val="clear" w:color="auto" w:fill="auto"/>
          </w:tcPr>
          <w:p w14:paraId="14B0E4E7" w14:textId="4E23B2E4" w:rsidR="00726F31" w:rsidRDefault="00726F31" w:rsidP="00726F31">
            <w:pPr>
              <w:tabs>
                <w:tab w:val="left" w:pos="5881"/>
              </w:tabs>
              <w:spacing w:before="91"/>
              <w:ind w:left="76" w:hanging="2"/>
              <w:jc w:val="both"/>
            </w:pPr>
            <w:r>
              <w:rPr>
                <w:rFonts w:cs="Times New Roman"/>
                <w:color w:val="000000"/>
                <w:w w:val="105"/>
                <w:szCs w:val="24"/>
              </w:rPr>
              <w:t xml:space="preserve">Osoba, której przyznano dodatek mieszkaniowy </w:t>
            </w:r>
            <w:r>
              <w:rPr>
                <w:rFonts w:cs="Times New Roman"/>
                <w:color w:val="000000"/>
                <w:w w:val="105"/>
                <w:szCs w:val="24"/>
              </w:rPr>
              <w:br/>
              <w:t>w rozumieniu art. 2 ust. 1 ustawy z dnia 21 czerwca</w:t>
            </w:r>
            <w:r>
              <w:rPr>
                <w:rFonts w:cs="Times New Roman"/>
                <w:color w:val="000000"/>
                <w:spacing w:val="-9"/>
                <w:w w:val="105"/>
                <w:szCs w:val="24"/>
              </w:rPr>
              <w:t xml:space="preserve"> </w:t>
            </w:r>
            <w:r>
              <w:rPr>
                <w:rFonts w:cs="Times New Roman"/>
                <w:color w:val="000000"/>
                <w:w w:val="105"/>
                <w:szCs w:val="24"/>
              </w:rPr>
              <w:t>2001 r. o dodatkach mieszkaniowych (Dz. U. z 2021 r. poz. 2021 r.),</w:t>
            </w:r>
            <w:r>
              <w:rPr>
                <w:rFonts w:cs="Times New Roman"/>
                <w:color w:val="000000"/>
                <w:spacing w:val="-19"/>
                <w:w w:val="105"/>
                <w:szCs w:val="24"/>
              </w:rPr>
              <w:t xml:space="preserve"> </w:t>
            </w:r>
            <w:r>
              <w:rPr>
                <w:rFonts w:cs="Times New Roman"/>
                <w:color w:val="000000"/>
                <w:w w:val="105"/>
                <w:szCs w:val="24"/>
              </w:rPr>
              <w:t>która</w:t>
            </w:r>
            <w:r>
              <w:rPr>
                <w:rFonts w:cs="Times New Roman"/>
                <w:color w:val="000000"/>
                <w:spacing w:val="-19"/>
                <w:w w:val="105"/>
                <w:szCs w:val="24"/>
              </w:rPr>
              <w:t xml:space="preserve"> </w:t>
            </w:r>
            <w:r>
              <w:rPr>
                <w:rFonts w:cs="Times New Roman"/>
                <w:color w:val="000000"/>
                <w:w w:val="105"/>
                <w:szCs w:val="24"/>
              </w:rPr>
              <w:t>jest</w:t>
            </w:r>
            <w:r>
              <w:rPr>
                <w:rFonts w:cs="Times New Roman"/>
                <w:color w:val="000000"/>
                <w:spacing w:val="-15"/>
                <w:w w:val="105"/>
                <w:szCs w:val="24"/>
              </w:rPr>
              <w:t xml:space="preserve"> </w:t>
            </w:r>
            <w:r>
              <w:rPr>
                <w:rFonts w:cs="Times New Roman"/>
                <w:color w:val="000000"/>
                <w:w w:val="105"/>
                <w:szCs w:val="24"/>
              </w:rPr>
              <w:t>stroną</w:t>
            </w:r>
            <w:r>
              <w:rPr>
                <w:rFonts w:cs="Times New Roman"/>
                <w:color w:val="000000"/>
                <w:spacing w:val="-4"/>
                <w:w w:val="105"/>
                <w:szCs w:val="24"/>
              </w:rPr>
              <w:t xml:space="preserve"> </w:t>
            </w:r>
            <w:r>
              <w:rPr>
                <w:rFonts w:cs="Times New Roman"/>
                <w:color w:val="000000"/>
                <w:w w:val="105"/>
                <w:szCs w:val="24"/>
              </w:rPr>
              <w:t>umowy</w:t>
            </w:r>
            <w:r>
              <w:rPr>
                <w:rFonts w:cs="Times New Roman"/>
                <w:color w:val="000000"/>
                <w:spacing w:val="-6"/>
                <w:w w:val="105"/>
                <w:szCs w:val="24"/>
              </w:rPr>
              <w:t xml:space="preserve"> </w:t>
            </w:r>
            <w:r>
              <w:rPr>
                <w:rFonts w:cs="Times New Roman"/>
                <w:color w:val="000000"/>
                <w:w w:val="105"/>
                <w:szCs w:val="24"/>
              </w:rPr>
              <w:t>kompleksowej</w:t>
            </w:r>
            <w:r>
              <w:rPr>
                <w:rFonts w:cs="Times New Roman"/>
                <w:color w:val="000000"/>
                <w:spacing w:val="-1"/>
                <w:w w:val="105"/>
                <w:szCs w:val="24"/>
              </w:rPr>
              <w:t xml:space="preserve"> </w:t>
            </w:r>
            <w:r>
              <w:rPr>
                <w:rFonts w:cs="Times New Roman"/>
                <w:color w:val="000000"/>
                <w:w w:val="105"/>
                <w:szCs w:val="24"/>
              </w:rPr>
              <w:t>lub</w:t>
            </w:r>
            <w:r>
              <w:rPr>
                <w:rFonts w:cs="Times New Roman"/>
                <w:color w:val="000000"/>
                <w:spacing w:val="-16"/>
                <w:w w:val="105"/>
                <w:szCs w:val="24"/>
              </w:rPr>
              <w:t xml:space="preserve"> </w:t>
            </w:r>
            <w:r>
              <w:rPr>
                <w:rFonts w:cs="Times New Roman"/>
                <w:color w:val="000000"/>
                <w:w w:val="105"/>
                <w:szCs w:val="24"/>
              </w:rPr>
              <w:t xml:space="preserve">umowy sprzedaży energii elektrycznej </w:t>
            </w:r>
            <w:r>
              <w:rPr>
                <w:rFonts w:cs="Times New Roman"/>
                <w:color w:val="000000"/>
                <w:szCs w:val="24"/>
              </w:rPr>
              <w:t xml:space="preserve">zawartej </w:t>
            </w:r>
            <w:r>
              <w:rPr>
                <w:rFonts w:cs="Times New Roman"/>
                <w:color w:val="000000"/>
                <w:szCs w:val="24"/>
              </w:rPr>
              <w:br/>
            </w:r>
            <w:r>
              <w:rPr>
                <w:rFonts w:cs="Times New Roman"/>
                <w:color w:val="000000"/>
                <w:w w:val="105"/>
                <w:szCs w:val="24"/>
              </w:rPr>
              <w:t xml:space="preserve">z przedsiębiorstwem energetycznym i zamieszkuje </w:t>
            </w:r>
            <w:r>
              <w:rPr>
                <w:rFonts w:cs="Times New Roman"/>
                <w:color w:val="000000"/>
                <w:w w:val="105"/>
                <w:szCs w:val="24"/>
              </w:rPr>
              <w:br/>
              <w:t xml:space="preserve">w miejscu dostarczania energii </w:t>
            </w:r>
            <w:r>
              <w:rPr>
                <w:rFonts w:cs="Times New Roman"/>
                <w:color w:val="000000"/>
                <w:spacing w:val="2"/>
                <w:w w:val="105"/>
                <w:szCs w:val="24"/>
              </w:rPr>
              <w:t>ele</w:t>
            </w:r>
            <w:r>
              <w:rPr>
                <w:rFonts w:cs="Times New Roman"/>
                <w:color w:val="000000"/>
                <w:w w:val="105"/>
                <w:szCs w:val="24"/>
              </w:rPr>
              <w:t>ktrycznej.</w:t>
            </w:r>
          </w:p>
        </w:tc>
      </w:tr>
      <w:tr w:rsidR="00085EC5" w:rsidRPr="009F21BD" w14:paraId="5BFE3075" w14:textId="77777777" w:rsidTr="00A9381E">
        <w:tc>
          <w:tcPr>
            <w:tcW w:w="3261" w:type="dxa"/>
            <w:gridSpan w:val="2"/>
          </w:tcPr>
          <w:p w14:paraId="585550DE" w14:textId="77777777" w:rsidR="00085EC5" w:rsidRPr="009F21BD" w:rsidRDefault="00085EC5" w:rsidP="00085EC5">
            <w:pPr>
              <w:pStyle w:val="styl0"/>
              <w:spacing w:before="120"/>
              <w:rPr>
                <w:b/>
                <w:szCs w:val="24"/>
              </w:rPr>
            </w:pPr>
            <w:r w:rsidRPr="009F21BD">
              <w:rPr>
                <w:b/>
                <w:szCs w:val="24"/>
              </w:rPr>
              <w:t>Odłączenie od sieci</w:t>
            </w:r>
          </w:p>
        </w:tc>
        <w:tc>
          <w:tcPr>
            <w:tcW w:w="6025" w:type="dxa"/>
          </w:tcPr>
          <w:p w14:paraId="5C0C3947" w14:textId="77777777" w:rsidR="00085EC5" w:rsidRPr="009F21BD" w:rsidRDefault="00085EC5" w:rsidP="00085EC5">
            <w:pPr>
              <w:pStyle w:val="Default"/>
              <w:spacing w:before="120"/>
              <w:jc w:val="both"/>
              <w:rPr>
                <w:color w:val="auto"/>
              </w:rPr>
            </w:pPr>
            <w:r w:rsidRPr="009F21BD">
              <w:rPr>
                <w:color w:val="auto"/>
              </w:rPr>
              <w:t xml:space="preserve">Trwałe rozdzielenie urządzeń, instalacji lub sieci podmiotu przyłączonego do sieci dystrybucyjnej, obejmujące m.in. trwały demontaż elementów przyłącza. </w:t>
            </w:r>
          </w:p>
        </w:tc>
      </w:tr>
      <w:tr w:rsidR="00085EC5" w:rsidRPr="009F21BD" w14:paraId="2D93B2E3" w14:textId="77777777" w:rsidTr="00A9381E">
        <w:tc>
          <w:tcPr>
            <w:tcW w:w="3261" w:type="dxa"/>
            <w:gridSpan w:val="2"/>
            <w:shd w:val="clear" w:color="auto" w:fill="auto"/>
          </w:tcPr>
          <w:p w14:paraId="4195E646" w14:textId="77777777" w:rsidR="00085EC5" w:rsidRPr="009F21BD" w:rsidRDefault="00085EC5" w:rsidP="00085EC5">
            <w:pPr>
              <w:pStyle w:val="styl0"/>
              <w:spacing w:before="120"/>
              <w:rPr>
                <w:b/>
                <w:szCs w:val="24"/>
              </w:rPr>
            </w:pPr>
            <w:r w:rsidRPr="009F21BD">
              <w:rPr>
                <w:b/>
                <w:szCs w:val="24"/>
              </w:rPr>
              <w:t>Odnawialne źródło energii</w:t>
            </w:r>
          </w:p>
        </w:tc>
        <w:tc>
          <w:tcPr>
            <w:tcW w:w="6025" w:type="dxa"/>
            <w:shd w:val="clear" w:color="auto" w:fill="auto"/>
          </w:tcPr>
          <w:p w14:paraId="2EAFE93E" w14:textId="77777777" w:rsidR="00085EC5" w:rsidRPr="009F21BD" w:rsidRDefault="00085EC5" w:rsidP="00085EC5">
            <w:pPr>
              <w:autoSpaceDE w:val="0"/>
              <w:autoSpaceDN w:val="0"/>
              <w:adjustRightInd w:val="0"/>
              <w:spacing w:before="120"/>
              <w:jc w:val="both"/>
            </w:pPr>
            <w:r w:rsidRPr="009F21BD">
              <w:t>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p>
        </w:tc>
      </w:tr>
      <w:tr w:rsidR="00085EC5" w:rsidRPr="009F21BD" w14:paraId="2599D597" w14:textId="77777777" w:rsidTr="00A9381E">
        <w:tc>
          <w:tcPr>
            <w:tcW w:w="3261" w:type="dxa"/>
            <w:gridSpan w:val="2"/>
          </w:tcPr>
          <w:p w14:paraId="16426D42" w14:textId="77777777" w:rsidR="00085EC5" w:rsidRPr="009F21BD" w:rsidRDefault="00085EC5" w:rsidP="00085EC5">
            <w:pPr>
              <w:spacing w:before="120"/>
              <w:rPr>
                <w:b/>
              </w:rPr>
            </w:pPr>
            <w:r w:rsidRPr="009F21BD">
              <w:rPr>
                <w:b/>
              </w:rPr>
              <w:t>Ograniczenia elektrowniane</w:t>
            </w:r>
          </w:p>
        </w:tc>
        <w:tc>
          <w:tcPr>
            <w:tcW w:w="6025" w:type="dxa"/>
          </w:tcPr>
          <w:p w14:paraId="0D6638B3" w14:textId="77777777" w:rsidR="00085EC5" w:rsidRPr="009F21BD" w:rsidRDefault="00085EC5" w:rsidP="00085EC5">
            <w:pPr>
              <w:spacing w:before="120"/>
              <w:jc w:val="both"/>
            </w:pPr>
            <w:r w:rsidRPr="009F21BD">
              <w:t>Ograniczenia wynikające z technicznych warunków pracy jednostek wytwórczych.</w:t>
            </w:r>
          </w:p>
        </w:tc>
      </w:tr>
      <w:tr w:rsidR="00085EC5" w:rsidRPr="00A9485E" w14:paraId="2FDD13FE" w14:textId="77777777" w:rsidTr="00A9381E">
        <w:tc>
          <w:tcPr>
            <w:tcW w:w="3261" w:type="dxa"/>
            <w:gridSpan w:val="2"/>
          </w:tcPr>
          <w:p w14:paraId="19A3BBED" w14:textId="77777777" w:rsidR="00085EC5" w:rsidRPr="009F21BD" w:rsidRDefault="00085EC5" w:rsidP="00085EC5">
            <w:pPr>
              <w:spacing w:before="120"/>
              <w:rPr>
                <w:b/>
              </w:rPr>
            </w:pPr>
            <w:r w:rsidRPr="009F21BD">
              <w:rPr>
                <w:b/>
              </w:rPr>
              <w:t>Ograniczenia sieciowe</w:t>
            </w:r>
          </w:p>
        </w:tc>
        <w:tc>
          <w:tcPr>
            <w:tcW w:w="6025" w:type="dxa"/>
          </w:tcPr>
          <w:p w14:paraId="396D442C" w14:textId="77777777" w:rsidR="00085EC5" w:rsidRPr="00A9485E" w:rsidRDefault="00085EC5" w:rsidP="00085EC5">
            <w:pPr>
              <w:pStyle w:val="Stylwyliczanie1"/>
              <w:rPr>
                <w:color w:val="auto"/>
                <w:lang w:val="pl-PL" w:eastAsia="pl-PL"/>
              </w:rPr>
            </w:pPr>
            <w:r w:rsidRPr="00A9485E">
              <w:rPr>
                <w:color w:val="auto"/>
                <w:lang w:val="pl-PL" w:eastAsia="pl-PL"/>
              </w:rPr>
              <w:t>Maksymalne dopuszczalne lub minimalnie niezbędne wytwarzanie mocy w danym węźle, lub w danym obszarze, lub maksymalny dopuszczalny przesył mocy przez dany przekrój sieciowy, z uwzględnieniem bieżących warunków eksploatacji KSE.</w:t>
            </w:r>
          </w:p>
        </w:tc>
      </w:tr>
      <w:tr w:rsidR="00085EC5" w:rsidRPr="00A9485E" w14:paraId="0B1D6BA0" w14:textId="77777777" w:rsidTr="00A9381E">
        <w:tc>
          <w:tcPr>
            <w:tcW w:w="3261" w:type="dxa"/>
            <w:gridSpan w:val="2"/>
          </w:tcPr>
          <w:p w14:paraId="4C75BE6F" w14:textId="02969141" w:rsidR="00085EC5" w:rsidRPr="009F21BD" w:rsidRDefault="00085EC5" w:rsidP="00085EC5">
            <w:pPr>
              <w:spacing w:before="120"/>
              <w:rPr>
                <w:b/>
              </w:rPr>
            </w:pPr>
            <w:r>
              <w:rPr>
                <w:b/>
                <w:bCs/>
              </w:rPr>
              <w:t>Ogólnodostępna stacja ładowania</w:t>
            </w:r>
          </w:p>
        </w:tc>
        <w:tc>
          <w:tcPr>
            <w:tcW w:w="6025" w:type="dxa"/>
          </w:tcPr>
          <w:p w14:paraId="5C17762C" w14:textId="654F0E47" w:rsidR="00085EC5" w:rsidRPr="00A9485E" w:rsidRDefault="00085EC5" w:rsidP="00085EC5">
            <w:pPr>
              <w:pStyle w:val="Stylwyliczanie1"/>
              <w:rPr>
                <w:color w:val="auto"/>
                <w:lang w:val="pl-PL" w:eastAsia="pl-PL"/>
              </w:rPr>
            </w:pPr>
            <w:r w:rsidRPr="00091E62">
              <w:rPr>
                <w:szCs w:val="24"/>
              </w:rPr>
              <w:t>Stacja ładowania dostępna na zasadach równoprawnego traktowania dla każdego posiadacza pojazdu elektrycznego i pojazdu hybrydowego.</w:t>
            </w:r>
          </w:p>
        </w:tc>
      </w:tr>
      <w:tr w:rsidR="00085EC5" w:rsidRPr="004D0F8F" w14:paraId="0B024077" w14:textId="77777777" w:rsidTr="00A9381E">
        <w:tc>
          <w:tcPr>
            <w:tcW w:w="3261" w:type="dxa"/>
            <w:gridSpan w:val="2"/>
            <w:shd w:val="clear" w:color="auto" w:fill="auto"/>
          </w:tcPr>
          <w:p w14:paraId="4F54C01A" w14:textId="77777777" w:rsidR="00085EC5" w:rsidRPr="004D0F8F" w:rsidRDefault="00085EC5" w:rsidP="00085EC5">
            <w:pPr>
              <w:spacing w:before="120"/>
              <w:ind w:left="-48"/>
              <w:rPr>
                <w:b/>
                <w:bCs/>
              </w:rPr>
            </w:pPr>
            <w:r w:rsidRPr="00C0321A">
              <w:rPr>
                <w:b/>
                <w:bCs/>
              </w:rPr>
              <w:t>Okr</w:t>
            </w:r>
            <w:r w:rsidRPr="004D0F8F">
              <w:rPr>
                <w:b/>
                <w:bCs/>
              </w:rPr>
              <w:t>es rozliczeniowy usług dystrybucyjnych</w:t>
            </w:r>
          </w:p>
        </w:tc>
        <w:tc>
          <w:tcPr>
            <w:tcW w:w="6025" w:type="dxa"/>
            <w:shd w:val="clear" w:color="auto" w:fill="auto"/>
          </w:tcPr>
          <w:p w14:paraId="015A9491" w14:textId="77777777" w:rsidR="00085EC5" w:rsidRPr="004D0F8F" w:rsidRDefault="00085EC5" w:rsidP="00085EC5">
            <w:pPr>
              <w:pStyle w:val="Default"/>
              <w:spacing w:before="120"/>
              <w:jc w:val="both"/>
              <w:rPr>
                <w:color w:val="auto"/>
              </w:rPr>
            </w:pPr>
            <w:r w:rsidRPr="004D0F8F">
              <w:rPr>
                <w:color w:val="auto"/>
              </w:rPr>
              <w:t>Okres pomiędzy dwoma kolejnymi odczytami urządzeń do pomiaru mocy lub energii elektrycznej, dokonanymi przez OSD.</w:t>
            </w:r>
          </w:p>
        </w:tc>
      </w:tr>
      <w:tr w:rsidR="00085EC5" w:rsidRPr="009F21BD" w14:paraId="6634C146" w14:textId="77777777" w:rsidTr="00A9381E">
        <w:tc>
          <w:tcPr>
            <w:tcW w:w="3261" w:type="dxa"/>
            <w:gridSpan w:val="2"/>
          </w:tcPr>
          <w:p w14:paraId="706FDB23" w14:textId="77777777" w:rsidR="00085EC5" w:rsidRPr="009F21BD" w:rsidRDefault="00085EC5" w:rsidP="00085EC5">
            <w:pPr>
              <w:spacing w:before="120"/>
              <w:ind w:left="-48"/>
              <w:rPr>
                <w:b/>
                <w:bCs/>
              </w:rPr>
            </w:pPr>
            <w:r w:rsidRPr="009F21BD">
              <w:rPr>
                <w:b/>
                <w:bCs/>
              </w:rPr>
              <w:t>Operator</w:t>
            </w:r>
          </w:p>
        </w:tc>
        <w:tc>
          <w:tcPr>
            <w:tcW w:w="6025" w:type="dxa"/>
          </w:tcPr>
          <w:p w14:paraId="0E36C51E" w14:textId="77777777" w:rsidR="00085EC5" w:rsidRPr="009F21BD" w:rsidRDefault="00085EC5" w:rsidP="00085EC5">
            <w:pPr>
              <w:pStyle w:val="Default"/>
              <w:spacing w:before="120"/>
              <w:jc w:val="both"/>
              <w:rPr>
                <w:color w:val="auto"/>
              </w:rPr>
            </w:pPr>
            <w:r w:rsidRPr="009F21BD">
              <w:rPr>
                <w:color w:val="auto"/>
              </w:rPr>
              <w:t>Operator systemu przesyłowego lub operator systemu dystrybucyjnego.</w:t>
            </w:r>
          </w:p>
        </w:tc>
      </w:tr>
      <w:tr w:rsidR="00085EC5" w:rsidRPr="009F21BD" w14:paraId="399F46CC" w14:textId="77777777" w:rsidTr="00A9381E">
        <w:tc>
          <w:tcPr>
            <w:tcW w:w="3261" w:type="dxa"/>
            <w:gridSpan w:val="2"/>
          </w:tcPr>
          <w:p w14:paraId="10E78F2C" w14:textId="77777777" w:rsidR="00085EC5" w:rsidRPr="009F21BD" w:rsidRDefault="00085EC5" w:rsidP="00085EC5">
            <w:pPr>
              <w:spacing w:before="120"/>
              <w:ind w:left="-48"/>
              <w:rPr>
                <w:b/>
                <w:bCs/>
              </w:rPr>
            </w:pPr>
            <w:r w:rsidRPr="009F21BD">
              <w:rPr>
                <w:b/>
                <w:bCs/>
              </w:rPr>
              <w:t>Operator handlowy (OH)</w:t>
            </w:r>
          </w:p>
        </w:tc>
        <w:tc>
          <w:tcPr>
            <w:tcW w:w="6025" w:type="dxa"/>
          </w:tcPr>
          <w:p w14:paraId="1E6C3E50" w14:textId="77777777" w:rsidR="00085EC5" w:rsidRPr="009F21BD" w:rsidRDefault="00085EC5" w:rsidP="00085EC5">
            <w:pPr>
              <w:spacing w:before="120"/>
              <w:jc w:val="both"/>
            </w:pPr>
            <w:r w:rsidRPr="009F21BD">
              <w:t xml:space="preserve">Podmiot, który jest odpowiedzialny za dysponowanie Jednostką Grafikową Uczestnika Rynku Bilansującego </w:t>
            </w:r>
            <w:r w:rsidRPr="009F21BD">
              <w:br/>
              <w:t xml:space="preserve">w zakresie handlowym. </w:t>
            </w:r>
          </w:p>
        </w:tc>
      </w:tr>
      <w:tr w:rsidR="00085EC5" w:rsidRPr="009F21BD" w14:paraId="1053184D" w14:textId="77777777" w:rsidTr="00A9381E">
        <w:tc>
          <w:tcPr>
            <w:tcW w:w="3261" w:type="dxa"/>
            <w:gridSpan w:val="2"/>
          </w:tcPr>
          <w:p w14:paraId="2E6BE1BE" w14:textId="77777777" w:rsidR="00085EC5" w:rsidRPr="009F21BD" w:rsidRDefault="00085EC5" w:rsidP="00085EC5">
            <w:pPr>
              <w:spacing w:before="120"/>
              <w:ind w:left="-48"/>
              <w:rPr>
                <w:b/>
                <w:bCs/>
              </w:rPr>
            </w:pPr>
            <w:r w:rsidRPr="009F21BD">
              <w:rPr>
                <w:b/>
                <w:bCs/>
              </w:rPr>
              <w:t>Operator handlowo-techniczny (OHT)</w:t>
            </w:r>
          </w:p>
        </w:tc>
        <w:tc>
          <w:tcPr>
            <w:tcW w:w="6025" w:type="dxa"/>
          </w:tcPr>
          <w:p w14:paraId="7BC0037F" w14:textId="77777777" w:rsidR="00085EC5" w:rsidRPr="009F21BD" w:rsidRDefault="00085EC5" w:rsidP="00085EC5">
            <w:pPr>
              <w:spacing w:before="120"/>
              <w:jc w:val="both"/>
            </w:pPr>
            <w:r w:rsidRPr="009F21BD">
              <w:t xml:space="preserve">Podmiot, który jest odpowiedzialny za dysponowanie Jednostką Grafikową Uczestnika Rynku Bilansującego </w:t>
            </w:r>
            <w:r w:rsidRPr="009F21BD">
              <w:br/>
              <w:t>w zakresie handlowym i technicznym.</w:t>
            </w:r>
          </w:p>
        </w:tc>
      </w:tr>
      <w:tr w:rsidR="00DB212C" w:rsidRPr="009F21BD" w14:paraId="7F813E0B" w14:textId="77777777" w:rsidTr="00A9381E">
        <w:tc>
          <w:tcPr>
            <w:tcW w:w="3261" w:type="dxa"/>
            <w:gridSpan w:val="2"/>
          </w:tcPr>
          <w:p w14:paraId="6DDE0A42" w14:textId="2C6AF375" w:rsidR="00DB212C" w:rsidRPr="009F21BD" w:rsidRDefault="00DB212C" w:rsidP="00085EC5">
            <w:pPr>
              <w:spacing w:before="120"/>
              <w:ind w:left="-48"/>
              <w:rPr>
                <w:b/>
                <w:bCs/>
              </w:rPr>
            </w:pPr>
            <w:r>
              <w:rPr>
                <w:b/>
                <w:bCs/>
              </w:rPr>
              <w:t>Operator informacji rynku energii</w:t>
            </w:r>
          </w:p>
        </w:tc>
        <w:tc>
          <w:tcPr>
            <w:tcW w:w="6025" w:type="dxa"/>
          </w:tcPr>
          <w:p w14:paraId="7A3C89D9" w14:textId="36C436BC" w:rsidR="00DB212C" w:rsidRPr="009F21BD" w:rsidRDefault="00DB212C" w:rsidP="00085EC5">
            <w:pPr>
              <w:spacing w:before="120"/>
              <w:jc w:val="both"/>
            </w:pPr>
            <w:r>
              <w:t xml:space="preserve">Podmiot odpowiedzialny za zarządzanie i administrowanie Centralnym systemem informacji rynku energii oraz </w:t>
            </w:r>
            <w:r>
              <w:lastRenderedPageBreak/>
              <w:t>przetwarzanie zgromadzonych w nim informacji na potrzeby</w:t>
            </w:r>
            <w:r w:rsidR="008A4D40">
              <w:t xml:space="preserve"> realizacji procesów rynku energii.</w:t>
            </w:r>
            <w:r>
              <w:t xml:space="preserve"> </w:t>
            </w:r>
          </w:p>
        </w:tc>
      </w:tr>
      <w:tr w:rsidR="00085EC5" w:rsidRPr="009F21BD" w14:paraId="6BC4F4AC" w14:textId="77777777" w:rsidTr="00A9381E">
        <w:tc>
          <w:tcPr>
            <w:tcW w:w="3261" w:type="dxa"/>
            <w:gridSpan w:val="2"/>
          </w:tcPr>
          <w:p w14:paraId="68330832" w14:textId="421F375E" w:rsidR="00085EC5" w:rsidRPr="009F21BD" w:rsidRDefault="00085EC5" w:rsidP="00085EC5">
            <w:pPr>
              <w:spacing w:before="120"/>
              <w:ind w:left="-48"/>
              <w:rPr>
                <w:b/>
                <w:bCs/>
              </w:rPr>
            </w:pPr>
            <w:r>
              <w:rPr>
                <w:b/>
                <w:bCs/>
              </w:rPr>
              <w:lastRenderedPageBreak/>
              <w:t>Operator ogólnodostępnej stacji ładowania</w:t>
            </w:r>
          </w:p>
        </w:tc>
        <w:tc>
          <w:tcPr>
            <w:tcW w:w="6025" w:type="dxa"/>
          </w:tcPr>
          <w:p w14:paraId="08CE41F4" w14:textId="3C28CB3F" w:rsidR="00085EC5" w:rsidRPr="009F21BD" w:rsidRDefault="00085EC5" w:rsidP="00085EC5">
            <w:pPr>
              <w:spacing w:before="120"/>
              <w:ind w:right="-142"/>
              <w:jc w:val="both"/>
            </w:pPr>
            <w:r w:rsidRPr="005C00ED">
              <w:rPr>
                <w:rFonts w:cs="Times New Roman"/>
                <w:szCs w:val="24"/>
              </w:rPr>
              <w:t>Podmiot odpowiedzialny za budowę, zarządzanie, bezpieczeństwo funkcjonowania, eksploatację, konserwację i remonty ogólnodostępnej stacji ładowania.</w:t>
            </w:r>
          </w:p>
        </w:tc>
      </w:tr>
      <w:tr w:rsidR="00085EC5" w:rsidRPr="009F21BD" w14:paraId="393EC721" w14:textId="77777777" w:rsidTr="00A9381E">
        <w:tc>
          <w:tcPr>
            <w:tcW w:w="3261" w:type="dxa"/>
            <w:gridSpan w:val="2"/>
          </w:tcPr>
          <w:p w14:paraId="5ED7EA82" w14:textId="77777777" w:rsidR="00085EC5" w:rsidRPr="009F21BD" w:rsidRDefault="00085EC5" w:rsidP="00085EC5">
            <w:pPr>
              <w:spacing w:before="120"/>
              <w:ind w:left="-48"/>
              <w:rPr>
                <w:b/>
                <w:bCs/>
              </w:rPr>
            </w:pPr>
            <w:r w:rsidRPr="009F21BD">
              <w:rPr>
                <w:b/>
                <w:bCs/>
              </w:rPr>
              <w:t>Operator pomiarów</w:t>
            </w:r>
          </w:p>
        </w:tc>
        <w:tc>
          <w:tcPr>
            <w:tcW w:w="6025" w:type="dxa"/>
            <w:shd w:val="clear" w:color="auto" w:fill="auto"/>
          </w:tcPr>
          <w:p w14:paraId="1C4C6155" w14:textId="77777777" w:rsidR="00085EC5" w:rsidRPr="009F21BD" w:rsidRDefault="00085EC5" w:rsidP="00085EC5">
            <w:pPr>
              <w:spacing w:before="120"/>
              <w:jc w:val="both"/>
            </w:pPr>
            <w:r w:rsidRPr="009F21BD">
              <w:t xml:space="preserve">Podmiot odpowiedzialny za zbieranie, przetwarzanie </w:t>
            </w:r>
            <w:r w:rsidRPr="009F21BD">
              <w:br/>
              <w:t>i udostępnianie danych pomiarowych oraz pomiarowo-rozliczeniowych energii elektrycznej układów pomiarowo-rozliczeniowych i przekazywanie ich do OSP lub innego operatora prowadzącego procesy rozliczeń.</w:t>
            </w:r>
          </w:p>
        </w:tc>
      </w:tr>
      <w:tr w:rsidR="00085EC5" w:rsidRPr="009F21BD" w14:paraId="00627C22" w14:textId="77777777" w:rsidTr="00A9381E">
        <w:tc>
          <w:tcPr>
            <w:tcW w:w="3261" w:type="dxa"/>
            <w:gridSpan w:val="2"/>
          </w:tcPr>
          <w:p w14:paraId="386A213E" w14:textId="77777777" w:rsidR="00085EC5" w:rsidRPr="009F21BD" w:rsidRDefault="00085EC5" w:rsidP="00085EC5">
            <w:pPr>
              <w:spacing w:before="120"/>
              <w:ind w:left="-48"/>
              <w:rPr>
                <w:b/>
                <w:bCs/>
              </w:rPr>
            </w:pPr>
            <w:r>
              <w:rPr>
                <w:b/>
                <w:bCs/>
              </w:rPr>
              <w:t xml:space="preserve">Operator rozliczeń </w:t>
            </w:r>
          </w:p>
        </w:tc>
        <w:tc>
          <w:tcPr>
            <w:tcW w:w="6025" w:type="dxa"/>
            <w:shd w:val="clear" w:color="auto" w:fill="auto"/>
          </w:tcPr>
          <w:p w14:paraId="5A8A22B6" w14:textId="77777777" w:rsidR="00085EC5" w:rsidRPr="009F21BD" w:rsidRDefault="00085EC5" w:rsidP="00085EC5">
            <w:pPr>
              <w:spacing w:before="120"/>
              <w:jc w:val="both"/>
            </w:pPr>
            <w:r>
              <w:t xml:space="preserve">Podmiot, o którym mowa w art. 47 ustawy z dnia 29 czerwca 2007 r.  o zasadach pokrywania kosztów powstałych u wytwórców w związku z przedterminowym rozwiązaniem umów długoterminowych sprzedaży mocy </w:t>
            </w:r>
            <w:r>
              <w:br/>
              <w:t>i energii elektrycznej (Dz. U. z 2019 poz. 1874);</w:t>
            </w:r>
          </w:p>
        </w:tc>
      </w:tr>
      <w:tr w:rsidR="00085EC5" w:rsidRPr="009F21BD" w14:paraId="27F529A7" w14:textId="77777777" w:rsidTr="00A9381E">
        <w:tc>
          <w:tcPr>
            <w:tcW w:w="3261" w:type="dxa"/>
            <w:gridSpan w:val="2"/>
          </w:tcPr>
          <w:p w14:paraId="5D40D9ED" w14:textId="77777777" w:rsidR="00085EC5" w:rsidRPr="009F21BD" w:rsidRDefault="00085EC5" w:rsidP="00085EC5">
            <w:pPr>
              <w:spacing w:before="120"/>
              <w:ind w:left="-48"/>
              <w:rPr>
                <w:b/>
                <w:bCs/>
              </w:rPr>
            </w:pPr>
            <w:r w:rsidRPr="009F21BD">
              <w:rPr>
                <w:b/>
                <w:bCs/>
              </w:rPr>
              <w:t>Operator systemu dystrybucyjnego (OSDn)</w:t>
            </w:r>
          </w:p>
        </w:tc>
        <w:tc>
          <w:tcPr>
            <w:tcW w:w="6025" w:type="dxa"/>
          </w:tcPr>
          <w:p w14:paraId="1BF52E12" w14:textId="77777777" w:rsidR="00085EC5" w:rsidRPr="009F21BD" w:rsidRDefault="00085EC5" w:rsidP="00085EC5">
            <w:pPr>
              <w:spacing w:before="120"/>
              <w:jc w:val="both"/>
            </w:pPr>
            <w:r w:rsidRPr="009F21BD">
              <w:t xml:space="preserve">Przedsiębiorstwo energetyczne zajmujące się dystrybucją energii elektrycznej, odpowiedzialne za ruch sieciowy </w:t>
            </w:r>
            <w:r w:rsidRPr="009F21BD">
              <w:br/>
              <w:t>w systemie dystrybucyjnym, bieżące i długookresowe bezpieczeństwo funkcjonowania tego systemu, eksploatację, konserwację, remonty oraz niezbędną rozbudowę sieci dystrybucyjnej, w tym połączeń z innymi systemami elektroenergetycznymi, nie posiadające bezpośredniego połączenia z OSP, przyłączone do OSDp</w:t>
            </w:r>
          </w:p>
        </w:tc>
      </w:tr>
      <w:tr w:rsidR="00085EC5" w:rsidRPr="009F21BD" w14:paraId="3B66EC96" w14:textId="77777777" w:rsidTr="00A9381E">
        <w:tc>
          <w:tcPr>
            <w:tcW w:w="3261" w:type="dxa"/>
            <w:gridSpan w:val="2"/>
          </w:tcPr>
          <w:p w14:paraId="034BBF97" w14:textId="77777777" w:rsidR="00085EC5" w:rsidRPr="009F21BD" w:rsidRDefault="00085EC5" w:rsidP="00085EC5">
            <w:pPr>
              <w:spacing w:before="120"/>
              <w:ind w:left="-48"/>
              <w:rPr>
                <w:b/>
                <w:bCs/>
              </w:rPr>
            </w:pPr>
            <w:r w:rsidRPr="009F21BD">
              <w:rPr>
                <w:b/>
                <w:bCs/>
              </w:rPr>
              <w:t>Operator systemu dystrybucyjnego (OSDp)</w:t>
            </w:r>
          </w:p>
        </w:tc>
        <w:tc>
          <w:tcPr>
            <w:tcW w:w="6025" w:type="dxa"/>
          </w:tcPr>
          <w:p w14:paraId="0C01C81E" w14:textId="77777777" w:rsidR="00085EC5" w:rsidRPr="009F21BD" w:rsidRDefault="00085EC5" w:rsidP="00085EC5">
            <w:pPr>
              <w:spacing w:before="120"/>
              <w:jc w:val="both"/>
            </w:pPr>
            <w:r w:rsidRPr="009F21BD">
              <w:t>Operator systemu dystrybucyjnego, którego sieć dystrybucyjna jest połączona siecią innego operatora systemu dystrybucyjnego, a który jednocześnie posiada bezpośrednie połączenie z siecią przesyłową operatora systemu przesyłowego.</w:t>
            </w:r>
          </w:p>
        </w:tc>
      </w:tr>
      <w:tr w:rsidR="00085EC5" w:rsidRPr="009F21BD" w14:paraId="2901BC12" w14:textId="77777777" w:rsidTr="00A9381E">
        <w:tc>
          <w:tcPr>
            <w:tcW w:w="3261" w:type="dxa"/>
            <w:gridSpan w:val="2"/>
          </w:tcPr>
          <w:p w14:paraId="768EFE1C" w14:textId="77777777" w:rsidR="00085EC5" w:rsidRPr="009F21BD" w:rsidRDefault="00085EC5" w:rsidP="00085EC5">
            <w:pPr>
              <w:spacing w:before="120"/>
              <w:ind w:left="-48"/>
              <w:rPr>
                <w:b/>
                <w:bCs/>
              </w:rPr>
            </w:pPr>
            <w:r w:rsidRPr="009F21BD">
              <w:rPr>
                <w:b/>
                <w:bCs/>
              </w:rPr>
              <w:t>Operator systemu przesyłowego (OSP)</w:t>
            </w:r>
          </w:p>
        </w:tc>
        <w:tc>
          <w:tcPr>
            <w:tcW w:w="6025" w:type="dxa"/>
          </w:tcPr>
          <w:p w14:paraId="66B781F7" w14:textId="77777777" w:rsidR="00085EC5" w:rsidRPr="009F21BD" w:rsidRDefault="00085EC5" w:rsidP="00085EC5">
            <w:pPr>
              <w:spacing w:before="120"/>
              <w:jc w:val="both"/>
            </w:pPr>
            <w:r w:rsidRPr="009F21BD">
              <w:t xml:space="preserve">Przedsiębiorstwo energetyczne zajmujące się przesyłaniem energii elektrycznej, odpowiedzialne za ruch sieciowy </w:t>
            </w:r>
            <w:r w:rsidRPr="009F21BD">
              <w:br/>
              <w:t>w systemie przesyłowym, bieżące i długookresowe bezpieczeństwo funkcjonowania tego systemu, eksploatację, konserwację, remonty oraz niezbędną rozbudowę sieci przesyłowej, w tym połączeń z innymi systemami elektroenergetycznymi.</w:t>
            </w:r>
          </w:p>
        </w:tc>
      </w:tr>
      <w:tr w:rsidR="00085EC5" w:rsidRPr="009F21BD" w14:paraId="5D443481" w14:textId="77777777" w:rsidTr="00A9381E">
        <w:tc>
          <w:tcPr>
            <w:tcW w:w="3261" w:type="dxa"/>
            <w:gridSpan w:val="2"/>
          </w:tcPr>
          <w:p w14:paraId="4298C220" w14:textId="77777777" w:rsidR="00085EC5" w:rsidRPr="009F21BD" w:rsidRDefault="00085EC5" w:rsidP="00085EC5">
            <w:pPr>
              <w:spacing w:before="120"/>
              <w:ind w:left="-48"/>
              <w:rPr>
                <w:b/>
                <w:bCs/>
              </w:rPr>
            </w:pPr>
            <w:r w:rsidRPr="009F21BD">
              <w:rPr>
                <w:b/>
                <w:bCs/>
              </w:rPr>
              <w:t>Podmiot ubiegający się o przyłączenie do sieci (podmiot przyłączony do sieci)</w:t>
            </w:r>
          </w:p>
        </w:tc>
        <w:tc>
          <w:tcPr>
            <w:tcW w:w="6025" w:type="dxa"/>
          </w:tcPr>
          <w:p w14:paraId="795C1951" w14:textId="77777777" w:rsidR="00085EC5" w:rsidRPr="009F21BD" w:rsidRDefault="00085EC5" w:rsidP="00085EC5">
            <w:pPr>
              <w:spacing w:before="120"/>
              <w:jc w:val="both"/>
            </w:pPr>
            <w:r w:rsidRPr="009F21BD">
              <w:t>Podmiot ubiegający się o przyłączenie do sieci swoich urządzeń, instalacji lub sieci elektroenergetycznej (podmiot, którego urządzenia, instalacje i sieci są przyłączone do sieci elektroenergetycznej).</w:t>
            </w:r>
          </w:p>
        </w:tc>
      </w:tr>
      <w:tr w:rsidR="00D1613B" w:rsidRPr="009F21BD" w14:paraId="53610560" w14:textId="77777777" w:rsidTr="00A9381E">
        <w:tc>
          <w:tcPr>
            <w:tcW w:w="3261" w:type="dxa"/>
            <w:gridSpan w:val="2"/>
          </w:tcPr>
          <w:p w14:paraId="2D754CB2" w14:textId="61E6256C" w:rsidR="00D1613B" w:rsidRPr="009F21BD" w:rsidRDefault="00D1613B" w:rsidP="004E3CA8">
            <w:pPr>
              <w:ind w:left="-48"/>
              <w:rPr>
                <w:b/>
                <w:bCs/>
              </w:rPr>
            </w:pPr>
            <w:r>
              <w:rPr>
                <w:b/>
                <w:bCs/>
              </w:rPr>
              <w:t>Półpośredni układ pomiarowy</w:t>
            </w:r>
          </w:p>
        </w:tc>
        <w:tc>
          <w:tcPr>
            <w:tcW w:w="6025" w:type="dxa"/>
          </w:tcPr>
          <w:p w14:paraId="080C1A7E" w14:textId="67906506" w:rsidR="00D1613B" w:rsidRPr="009F21BD" w:rsidRDefault="00D1613B" w:rsidP="004E3CA8">
            <w:pPr>
              <w:pStyle w:val="Tekstpodstawowy"/>
              <w:spacing w:before="0" w:line="240" w:lineRule="auto"/>
              <w:ind w:firstLine="3"/>
            </w:pPr>
            <w:r w:rsidRPr="00D1613B">
              <w:rPr>
                <w:color w:val="000000" w:themeColor="text1"/>
                <w:w w:val="105"/>
              </w:rPr>
              <w:t>Licznik konwencjonalny lub licznik zdalnego odczytu wraz z przekładnikami prądowymi, służący do</w:t>
            </w:r>
            <w:r w:rsidRPr="00D1613B">
              <w:rPr>
                <w:color w:val="000000" w:themeColor="text1"/>
                <w:spacing w:val="-24"/>
                <w:w w:val="105"/>
              </w:rPr>
              <w:t xml:space="preserve"> </w:t>
            </w:r>
            <w:r w:rsidRPr="00D1613B">
              <w:rPr>
                <w:color w:val="000000" w:themeColor="text1"/>
                <w:w w:val="105"/>
              </w:rPr>
              <w:t>pomiarów energii elektrycznej lub pomiarów i rozliczeń za tę energię</w:t>
            </w:r>
            <w:r>
              <w:rPr>
                <w:color w:val="484848"/>
                <w:w w:val="105"/>
              </w:rPr>
              <w:t>.</w:t>
            </w:r>
          </w:p>
        </w:tc>
      </w:tr>
      <w:tr w:rsidR="002C500B" w:rsidRPr="009F21BD" w14:paraId="2AB5C974" w14:textId="77777777" w:rsidTr="00A9381E">
        <w:tc>
          <w:tcPr>
            <w:tcW w:w="3261" w:type="dxa"/>
            <w:gridSpan w:val="2"/>
          </w:tcPr>
          <w:p w14:paraId="338E7BDA" w14:textId="4A26B58D" w:rsidR="002C500B" w:rsidRPr="009F21BD" w:rsidRDefault="002C500B" w:rsidP="004E3CA8">
            <w:pPr>
              <w:ind w:left="-48"/>
              <w:rPr>
                <w:b/>
                <w:bCs/>
              </w:rPr>
            </w:pPr>
            <w:r>
              <w:rPr>
                <w:b/>
                <w:bCs/>
              </w:rPr>
              <w:t>Pośredni układ pomiarowy</w:t>
            </w:r>
          </w:p>
        </w:tc>
        <w:tc>
          <w:tcPr>
            <w:tcW w:w="6025" w:type="dxa"/>
          </w:tcPr>
          <w:p w14:paraId="7C3224AC" w14:textId="70453440" w:rsidR="002C500B" w:rsidRPr="009F21BD" w:rsidRDefault="004D7DAB" w:rsidP="004E3CA8">
            <w:pPr>
              <w:pStyle w:val="Tekstpodstawowy"/>
              <w:spacing w:before="0" w:line="240" w:lineRule="auto"/>
              <w:ind w:right="72" w:firstLine="1"/>
            </w:pPr>
            <w:r w:rsidRPr="004D7DAB">
              <w:rPr>
                <w:color w:val="000000" w:themeColor="text1"/>
                <w:w w:val="105"/>
              </w:rPr>
              <w:t xml:space="preserve">Licznik konwencjonalny lub licznik zdalnego odczytu wraz z przekładnikami prądowymi i napięciowymi, służący do pomiarów energii elektrycznej lub pomiarów </w:t>
            </w:r>
            <w:r>
              <w:rPr>
                <w:color w:val="000000" w:themeColor="text1"/>
                <w:w w:val="105"/>
              </w:rPr>
              <w:br/>
            </w:r>
            <w:r w:rsidRPr="004D7DAB">
              <w:rPr>
                <w:color w:val="000000" w:themeColor="text1"/>
                <w:w w:val="105"/>
              </w:rPr>
              <w:t>i rozliczeń za tę</w:t>
            </w:r>
            <w:r w:rsidRPr="004D7DAB">
              <w:rPr>
                <w:color w:val="000000" w:themeColor="text1"/>
                <w:spacing w:val="-35"/>
                <w:w w:val="105"/>
              </w:rPr>
              <w:t xml:space="preserve"> </w:t>
            </w:r>
            <w:r w:rsidRPr="004D7DAB">
              <w:rPr>
                <w:color w:val="000000" w:themeColor="text1"/>
                <w:w w:val="105"/>
              </w:rPr>
              <w:t>energię</w:t>
            </w:r>
            <w:r>
              <w:rPr>
                <w:color w:val="484848"/>
                <w:w w:val="105"/>
              </w:rPr>
              <w:t>.</w:t>
            </w:r>
          </w:p>
        </w:tc>
      </w:tr>
      <w:tr w:rsidR="00085EC5" w:rsidRPr="009F21BD" w14:paraId="780DE397" w14:textId="77777777" w:rsidTr="00A9381E">
        <w:tc>
          <w:tcPr>
            <w:tcW w:w="3261" w:type="dxa"/>
            <w:gridSpan w:val="2"/>
          </w:tcPr>
          <w:p w14:paraId="1C9F3147" w14:textId="77777777" w:rsidR="00085EC5" w:rsidRPr="009F21BD" w:rsidRDefault="00085EC5" w:rsidP="00085EC5">
            <w:pPr>
              <w:spacing w:before="120"/>
              <w:ind w:left="-48"/>
              <w:rPr>
                <w:b/>
                <w:bCs/>
              </w:rPr>
            </w:pPr>
            <w:r w:rsidRPr="009F21BD">
              <w:rPr>
                <w:b/>
                <w:bCs/>
              </w:rPr>
              <w:lastRenderedPageBreak/>
              <w:t>Procedura zmiany sprzedawcy</w:t>
            </w:r>
          </w:p>
        </w:tc>
        <w:tc>
          <w:tcPr>
            <w:tcW w:w="6025" w:type="dxa"/>
          </w:tcPr>
          <w:p w14:paraId="2232204D" w14:textId="77777777" w:rsidR="00085EC5" w:rsidRPr="009F21BD" w:rsidRDefault="00085EC5" w:rsidP="00085EC5">
            <w:pPr>
              <w:pStyle w:val="Default"/>
              <w:spacing w:before="120"/>
              <w:jc w:val="both"/>
              <w:rPr>
                <w:color w:val="auto"/>
              </w:rPr>
            </w:pPr>
            <w:r w:rsidRPr="009F21BD">
              <w:rPr>
                <w:color w:val="auto"/>
              </w:rPr>
              <w:t xml:space="preserve">Zbiór działań zapoczątkowany w dniu złożenia przez odbiorcę (lub sprzedawcę w imieniu odbiorcy) zgłoszenia zmiany sprzedawcy, który w konsekwencji podjętych przez OSD prac, doprowadza do zmiany sprzedawcy przez odbiorcę, lub w przypadku nie spełnienia warunków koniecznych do realizacji procedury, do przekazania odbiorcy oraz nowemu sprzedawcy informacji o przerwaniu procesu zmiany sprzedawcy wraz z podaniem przyczyn. </w:t>
            </w:r>
          </w:p>
        </w:tc>
      </w:tr>
      <w:tr w:rsidR="00085EC5" w:rsidRPr="009F21BD" w14:paraId="7BAF1778" w14:textId="77777777" w:rsidTr="00A9381E">
        <w:tc>
          <w:tcPr>
            <w:tcW w:w="3261" w:type="dxa"/>
            <w:gridSpan w:val="2"/>
          </w:tcPr>
          <w:p w14:paraId="47E10BD8" w14:textId="77777777" w:rsidR="00085EC5" w:rsidRPr="009F21BD" w:rsidRDefault="00085EC5" w:rsidP="00085EC5">
            <w:pPr>
              <w:spacing w:before="120"/>
              <w:ind w:left="-48"/>
              <w:rPr>
                <w:b/>
                <w:bCs/>
              </w:rPr>
            </w:pPr>
            <w:r w:rsidRPr="009F21BD">
              <w:rPr>
                <w:b/>
                <w:bCs/>
              </w:rPr>
              <w:t>Programy łączeniowe</w:t>
            </w:r>
          </w:p>
        </w:tc>
        <w:tc>
          <w:tcPr>
            <w:tcW w:w="6025" w:type="dxa"/>
          </w:tcPr>
          <w:p w14:paraId="1F903E34" w14:textId="77777777" w:rsidR="00085EC5" w:rsidRPr="009F21BD" w:rsidRDefault="00085EC5" w:rsidP="00085EC5">
            <w:pPr>
              <w:spacing w:before="120"/>
              <w:jc w:val="both"/>
            </w:pPr>
            <w:r w:rsidRPr="009F21BD">
              <w:t xml:space="preserve">Procedury i czynności związane z operacjami łączeniowymi, próbami napięciowymi, tworzeniem układów przejściowych oraz włączeniami do systemu elektroenergetycznego nowych obiektów, a także po dłuższym postoju związanym </w:t>
            </w:r>
            <w:r w:rsidRPr="009F21BD">
              <w:br/>
              <w:t>z modernizacją lub przebudową.</w:t>
            </w:r>
          </w:p>
        </w:tc>
      </w:tr>
      <w:tr w:rsidR="00085EC5" w:rsidRPr="009F21BD" w14:paraId="46828503" w14:textId="77777777" w:rsidTr="00A9381E">
        <w:tc>
          <w:tcPr>
            <w:tcW w:w="3261" w:type="dxa"/>
            <w:gridSpan w:val="2"/>
          </w:tcPr>
          <w:p w14:paraId="07245AD9" w14:textId="77777777" w:rsidR="00085EC5" w:rsidRPr="009F21BD" w:rsidRDefault="00085EC5" w:rsidP="00085EC5">
            <w:pPr>
              <w:spacing w:before="120"/>
              <w:ind w:left="-48"/>
              <w:rPr>
                <w:b/>
                <w:bCs/>
              </w:rPr>
            </w:pPr>
            <w:r w:rsidRPr="00212ACC">
              <w:rPr>
                <w:rFonts w:eastAsia="Times New Roman" w:cs="Times New Roman"/>
                <w:b/>
                <w:color w:val="000000"/>
                <w:szCs w:val="24"/>
              </w:rPr>
              <w:t>Prosument</w:t>
            </w:r>
            <w:r>
              <w:rPr>
                <w:rFonts w:eastAsia="Times New Roman" w:cs="Times New Roman"/>
                <w:b/>
                <w:color w:val="000000"/>
                <w:szCs w:val="24"/>
              </w:rPr>
              <w:t xml:space="preserve"> energii odnawialnej</w:t>
            </w:r>
          </w:p>
        </w:tc>
        <w:tc>
          <w:tcPr>
            <w:tcW w:w="6025" w:type="dxa"/>
          </w:tcPr>
          <w:p w14:paraId="18BDDAE0" w14:textId="77777777" w:rsidR="00085EC5" w:rsidRPr="009F21BD" w:rsidRDefault="00085EC5" w:rsidP="00085EC5">
            <w:pPr>
              <w:spacing w:before="120"/>
              <w:jc w:val="both"/>
            </w:pPr>
            <w:r w:rsidRPr="00212ACC">
              <w:rPr>
                <w:rFonts w:eastAsia="Times New Roman" w:cs="Times New Roman"/>
                <w:bCs/>
                <w:color w:val="000000"/>
                <w:szCs w:val="24"/>
              </w:rPr>
              <w:t>Odbiorca końcowy wytwarzający energię elektryczną wyłącznie z odnawialnych źródeł energii na własne potrzeby w mikroinstalacji pod warunkiem,</w:t>
            </w:r>
            <w:r>
              <w:rPr>
                <w:rFonts w:eastAsia="Times New Roman" w:cs="Times New Roman"/>
                <w:bCs/>
                <w:color w:val="000000"/>
                <w:szCs w:val="24"/>
              </w:rPr>
              <w:t xml:space="preserve"> </w:t>
            </w:r>
            <w:r w:rsidRPr="00212ACC">
              <w:rPr>
                <w:rFonts w:eastAsia="Times New Roman" w:cs="Times New Roman"/>
                <w:bCs/>
                <w:color w:val="000000"/>
                <w:szCs w:val="24"/>
              </w:rPr>
              <w:t xml:space="preserve">że w przypadku odbiorcy końcowego niebędącego odbiorcą energii elektrycznej </w:t>
            </w:r>
            <w:r>
              <w:rPr>
                <w:rFonts w:eastAsia="Times New Roman" w:cs="Times New Roman"/>
                <w:bCs/>
                <w:color w:val="000000"/>
                <w:szCs w:val="24"/>
              </w:rPr>
              <w:br/>
            </w:r>
            <w:r w:rsidRPr="00212ACC">
              <w:rPr>
                <w:rFonts w:eastAsia="Times New Roman" w:cs="Times New Roman"/>
                <w:bCs/>
                <w:color w:val="000000"/>
                <w:szCs w:val="24"/>
              </w:rPr>
              <w:t xml:space="preserve">w gospodarstwie domowym, nie stanowi to przedmiotu przeważającej działalności gospodarczej określonej zgodnie </w:t>
            </w:r>
            <w:r w:rsidRPr="00212ACC">
              <w:rPr>
                <w:rFonts w:eastAsia="Times New Roman" w:cs="Times New Roman"/>
                <w:bCs/>
                <w:color w:val="000000"/>
                <w:szCs w:val="24"/>
              </w:rPr>
              <w:br/>
              <w:t xml:space="preserve">z przepisami wydanymi na podstawie art. 40 ust.2 ustawy </w:t>
            </w:r>
            <w:r>
              <w:rPr>
                <w:rFonts w:eastAsia="Times New Roman" w:cs="Times New Roman"/>
                <w:bCs/>
                <w:color w:val="000000"/>
                <w:szCs w:val="24"/>
              </w:rPr>
              <w:br/>
            </w:r>
            <w:r w:rsidRPr="00212ACC">
              <w:rPr>
                <w:rFonts w:eastAsia="Times New Roman" w:cs="Times New Roman"/>
                <w:bCs/>
                <w:color w:val="000000"/>
                <w:szCs w:val="24"/>
              </w:rPr>
              <w:t xml:space="preserve">z dnia 29 czerwca 1995 r. o statystce publicznej (Dz. U. </w:t>
            </w:r>
            <w:r>
              <w:rPr>
                <w:rFonts w:eastAsia="Times New Roman" w:cs="Times New Roman"/>
                <w:bCs/>
                <w:color w:val="000000"/>
                <w:szCs w:val="24"/>
              </w:rPr>
              <w:br/>
            </w:r>
            <w:r w:rsidRPr="00212ACC">
              <w:rPr>
                <w:rFonts w:eastAsia="Times New Roman" w:cs="Times New Roman"/>
                <w:bCs/>
                <w:color w:val="000000"/>
                <w:szCs w:val="24"/>
              </w:rPr>
              <w:t>z 2019 r. poz. 649</w:t>
            </w:r>
            <w:r>
              <w:rPr>
                <w:rFonts w:eastAsia="Times New Roman" w:cs="Times New Roman"/>
                <w:bCs/>
                <w:color w:val="000000"/>
                <w:szCs w:val="24"/>
              </w:rPr>
              <w:t>,</w:t>
            </w:r>
            <w:r w:rsidRPr="00212ACC">
              <w:rPr>
                <w:rFonts w:eastAsia="Times New Roman" w:cs="Times New Roman"/>
                <w:bCs/>
                <w:color w:val="000000"/>
                <w:szCs w:val="24"/>
              </w:rPr>
              <w:t xml:space="preserve"> 730</w:t>
            </w:r>
            <w:r>
              <w:rPr>
                <w:rFonts w:eastAsia="Times New Roman" w:cs="Times New Roman"/>
                <w:bCs/>
                <w:color w:val="000000"/>
                <w:szCs w:val="24"/>
              </w:rPr>
              <w:t xml:space="preserve"> i 2294</w:t>
            </w:r>
            <w:r w:rsidRPr="00212ACC">
              <w:rPr>
                <w:rFonts w:eastAsia="Times New Roman" w:cs="Times New Roman"/>
                <w:bCs/>
                <w:color w:val="000000"/>
                <w:szCs w:val="24"/>
              </w:rPr>
              <w:t>).</w:t>
            </w:r>
          </w:p>
        </w:tc>
      </w:tr>
      <w:tr w:rsidR="00277366" w:rsidRPr="009F21BD" w14:paraId="62147B92" w14:textId="77777777" w:rsidTr="00A9381E">
        <w:tc>
          <w:tcPr>
            <w:tcW w:w="3261" w:type="dxa"/>
            <w:gridSpan w:val="2"/>
          </w:tcPr>
          <w:p w14:paraId="0BC7F0A2" w14:textId="3506F9BF" w:rsidR="00277366" w:rsidRPr="00212ACC" w:rsidRDefault="00277366" w:rsidP="00085EC5">
            <w:pPr>
              <w:spacing w:before="120"/>
              <w:ind w:left="-48"/>
              <w:rPr>
                <w:rFonts w:eastAsia="Times New Roman" w:cs="Times New Roman"/>
                <w:b/>
                <w:color w:val="000000"/>
                <w:szCs w:val="24"/>
              </w:rPr>
            </w:pPr>
            <w:r>
              <w:rPr>
                <w:rFonts w:eastAsia="Times New Roman" w:cs="Times New Roman"/>
                <w:b/>
                <w:color w:val="000000"/>
                <w:szCs w:val="24"/>
              </w:rPr>
              <w:t xml:space="preserve">Proces rynku energii </w:t>
            </w:r>
          </w:p>
        </w:tc>
        <w:tc>
          <w:tcPr>
            <w:tcW w:w="6025" w:type="dxa"/>
          </w:tcPr>
          <w:p w14:paraId="106732CC" w14:textId="2AEB50CB" w:rsidR="00277366" w:rsidRPr="00212ACC" w:rsidRDefault="005176D6" w:rsidP="00085EC5">
            <w:pPr>
              <w:spacing w:before="120"/>
              <w:jc w:val="both"/>
              <w:rPr>
                <w:rFonts w:eastAsia="Times New Roman" w:cs="Times New Roman"/>
                <w:bCs/>
                <w:color w:val="000000"/>
                <w:szCs w:val="24"/>
              </w:rPr>
            </w:pPr>
            <w:r w:rsidRPr="005176D6">
              <w:rPr>
                <w:color w:val="000000" w:themeColor="text1"/>
                <w:w w:val="105"/>
              </w:rPr>
              <w:t>Sekwencja</w:t>
            </w:r>
            <w:r w:rsidRPr="005176D6">
              <w:rPr>
                <w:color w:val="000000" w:themeColor="text1"/>
                <w:spacing w:val="-13"/>
                <w:w w:val="105"/>
              </w:rPr>
              <w:t xml:space="preserve"> </w:t>
            </w:r>
            <w:r w:rsidRPr="005176D6">
              <w:rPr>
                <w:color w:val="000000" w:themeColor="text1"/>
                <w:w w:val="105"/>
              </w:rPr>
              <w:t>działań</w:t>
            </w:r>
            <w:r w:rsidRPr="005176D6">
              <w:rPr>
                <w:color w:val="000000" w:themeColor="text1"/>
                <w:spacing w:val="-12"/>
                <w:w w:val="105"/>
              </w:rPr>
              <w:t xml:space="preserve"> </w:t>
            </w:r>
            <w:r w:rsidRPr="005176D6">
              <w:rPr>
                <w:color w:val="000000" w:themeColor="text1"/>
                <w:w w:val="105"/>
              </w:rPr>
              <w:t>realizowanych</w:t>
            </w:r>
            <w:r w:rsidRPr="005176D6">
              <w:rPr>
                <w:color w:val="000000" w:themeColor="text1"/>
                <w:spacing w:val="-4"/>
                <w:w w:val="105"/>
              </w:rPr>
              <w:t xml:space="preserve"> </w:t>
            </w:r>
            <w:r w:rsidRPr="005176D6">
              <w:rPr>
                <w:color w:val="000000" w:themeColor="text1"/>
                <w:w w:val="105"/>
              </w:rPr>
              <w:t>przez</w:t>
            </w:r>
            <w:r w:rsidRPr="005176D6">
              <w:rPr>
                <w:color w:val="000000" w:themeColor="text1"/>
                <w:spacing w:val="-19"/>
                <w:w w:val="105"/>
              </w:rPr>
              <w:t xml:space="preserve"> </w:t>
            </w:r>
            <w:r w:rsidRPr="005176D6">
              <w:rPr>
                <w:color w:val="000000" w:themeColor="text1"/>
                <w:w w:val="105"/>
              </w:rPr>
              <w:t>co</w:t>
            </w:r>
            <w:r w:rsidRPr="005176D6">
              <w:rPr>
                <w:color w:val="000000" w:themeColor="text1"/>
                <w:spacing w:val="-21"/>
                <w:w w:val="105"/>
              </w:rPr>
              <w:t xml:space="preserve"> </w:t>
            </w:r>
            <w:r w:rsidRPr="005176D6">
              <w:rPr>
                <w:color w:val="000000" w:themeColor="text1"/>
                <w:w w:val="105"/>
              </w:rPr>
              <w:t>najmniej</w:t>
            </w:r>
            <w:r w:rsidRPr="005176D6">
              <w:rPr>
                <w:color w:val="000000" w:themeColor="text1"/>
                <w:spacing w:val="-10"/>
                <w:w w:val="105"/>
              </w:rPr>
              <w:t xml:space="preserve"> </w:t>
            </w:r>
            <w:r w:rsidRPr="005176D6">
              <w:rPr>
                <w:color w:val="000000" w:themeColor="text1"/>
                <w:w w:val="105"/>
              </w:rPr>
              <w:t>dwa</w:t>
            </w:r>
            <w:r w:rsidRPr="005176D6">
              <w:rPr>
                <w:color w:val="000000" w:themeColor="text1"/>
                <w:spacing w:val="-16"/>
                <w:w w:val="105"/>
              </w:rPr>
              <w:t xml:space="preserve"> </w:t>
            </w:r>
            <w:r w:rsidRPr="005176D6">
              <w:rPr>
                <w:color w:val="000000" w:themeColor="text1"/>
                <w:w w:val="105"/>
              </w:rPr>
              <w:t>podmioty będące</w:t>
            </w:r>
            <w:r w:rsidRPr="005176D6">
              <w:rPr>
                <w:color w:val="000000" w:themeColor="text1"/>
                <w:spacing w:val="-11"/>
                <w:w w:val="105"/>
              </w:rPr>
              <w:t xml:space="preserve"> </w:t>
            </w:r>
            <w:r w:rsidRPr="005176D6">
              <w:rPr>
                <w:color w:val="000000" w:themeColor="text1"/>
                <w:w w:val="105"/>
              </w:rPr>
              <w:t>Użytkownikiem</w:t>
            </w:r>
            <w:r w:rsidRPr="005176D6">
              <w:rPr>
                <w:color w:val="000000" w:themeColor="text1"/>
                <w:spacing w:val="6"/>
                <w:w w:val="105"/>
              </w:rPr>
              <w:t xml:space="preserve"> </w:t>
            </w:r>
            <w:r w:rsidRPr="005176D6">
              <w:rPr>
                <w:color w:val="000000" w:themeColor="text1"/>
                <w:w w:val="105"/>
              </w:rPr>
              <w:t>systemu</w:t>
            </w:r>
            <w:r w:rsidR="005D2920">
              <w:rPr>
                <w:color w:val="000000" w:themeColor="text1"/>
                <w:w w:val="105"/>
              </w:rPr>
              <w:t xml:space="preserve"> </w:t>
            </w:r>
            <w:r w:rsidRPr="005176D6">
              <w:rPr>
                <w:color w:val="000000" w:themeColor="text1"/>
                <w:w w:val="105"/>
              </w:rPr>
              <w:t>elektroenergetycznego</w:t>
            </w:r>
            <w:r w:rsidRPr="005176D6">
              <w:rPr>
                <w:color w:val="000000" w:themeColor="text1"/>
                <w:spacing w:val="-22"/>
                <w:w w:val="105"/>
              </w:rPr>
              <w:t xml:space="preserve"> </w:t>
            </w:r>
            <w:r w:rsidRPr="005176D6">
              <w:rPr>
                <w:color w:val="000000" w:themeColor="text1"/>
                <w:w w:val="105"/>
              </w:rPr>
              <w:t>lub</w:t>
            </w:r>
            <w:r w:rsidRPr="005176D6">
              <w:rPr>
                <w:color w:val="000000" w:themeColor="text1"/>
                <w:spacing w:val="-22"/>
                <w:w w:val="105"/>
              </w:rPr>
              <w:t xml:space="preserve"> </w:t>
            </w:r>
            <w:r w:rsidRPr="005176D6">
              <w:rPr>
                <w:color w:val="000000" w:themeColor="text1"/>
                <w:w w:val="105"/>
              </w:rPr>
              <w:t xml:space="preserve">OIRE, na podstawie których następuje sprzedaż energii elektrycznej, jej wprowadzenie do sieci lub pobór lub świadczenie usług związanych </w:t>
            </w:r>
            <w:r>
              <w:rPr>
                <w:color w:val="000000" w:themeColor="text1"/>
                <w:w w:val="105"/>
              </w:rPr>
              <w:br/>
            </w:r>
            <w:r w:rsidRPr="005176D6">
              <w:rPr>
                <w:color w:val="000000" w:themeColor="text1"/>
                <w:w w:val="105"/>
              </w:rPr>
              <w:t>z energią</w:t>
            </w:r>
            <w:r w:rsidRPr="005176D6">
              <w:rPr>
                <w:color w:val="000000" w:themeColor="text1"/>
                <w:spacing w:val="-23"/>
                <w:w w:val="105"/>
              </w:rPr>
              <w:t xml:space="preserve"> </w:t>
            </w:r>
            <w:r w:rsidRPr="005176D6">
              <w:rPr>
                <w:color w:val="000000" w:themeColor="text1"/>
                <w:w w:val="105"/>
              </w:rPr>
              <w:t>elektryczną.</w:t>
            </w:r>
          </w:p>
        </w:tc>
      </w:tr>
      <w:tr w:rsidR="001B3DE8" w:rsidRPr="009F21BD" w14:paraId="5A4A0221" w14:textId="77777777" w:rsidTr="00A9381E">
        <w:tc>
          <w:tcPr>
            <w:tcW w:w="3261" w:type="dxa"/>
            <w:gridSpan w:val="2"/>
          </w:tcPr>
          <w:p w14:paraId="3811C3B3" w14:textId="2EADE02C" w:rsidR="001B3DE8" w:rsidRDefault="001B3DE8" w:rsidP="001B3DE8">
            <w:pPr>
              <w:spacing w:line="288" w:lineRule="auto"/>
              <w:ind w:right="-15" w:firstLine="3"/>
              <w:rPr>
                <w:rFonts w:cs="Times New Roman"/>
                <w:b/>
                <w:color w:val="000000"/>
                <w:szCs w:val="24"/>
              </w:rPr>
            </w:pPr>
            <w:r>
              <w:rPr>
                <w:rFonts w:cs="Times New Roman"/>
                <w:b/>
                <w:color w:val="000000"/>
                <w:w w:val="105"/>
                <w:szCs w:val="24"/>
              </w:rPr>
              <w:t>Prosument</w:t>
            </w:r>
            <w:r w:rsidR="00312B66">
              <w:rPr>
                <w:rFonts w:cs="Times New Roman"/>
                <w:b/>
                <w:color w:val="000000"/>
                <w:spacing w:val="-31"/>
                <w:w w:val="105"/>
                <w:szCs w:val="24"/>
              </w:rPr>
              <w:t xml:space="preserve"> </w:t>
            </w:r>
            <w:r w:rsidR="00312B66" w:rsidRPr="00312B66">
              <w:rPr>
                <w:rFonts w:cs="Times New Roman"/>
                <w:b/>
                <w:color w:val="000000"/>
                <w:w w:val="105"/>
                <w:szCs w:val="24"/>
              </w:rPr>
              <w:t>wirtualny</w:t>
            </w:r>
            <w:r>
              <w:rPr>
                <w:rFonts w:cs="Times New Roman"/>
                <w:b/>
                <w:color w:val="000000"/>
                <w:w w:val="105"/>
                <w:szCs w:val="24"/>
              </w:rPr>
              <w:t xml:space="preserve"> energii</w:t>
            </w:r>
            <w:r>
              <w:rPr>
                <w:rFonts w:cs="Times New Roman"/>
                <w:b/>
                <w:color w:val="000000"/>
                <w:spacing w:val="-1"/>
                <w:w w:val="105"/>
                <w:szCs w:val="24"/>
              </w:rPr>
              <w:t xml:space="preserve"> </w:t>
            </w:r>
            <w:r>
              <w:rPr>
                <w:rFonts w:cs="Times New Roman"/>
                <w:b/>
                <w:color w:val="000000"/>
                <w:w w:val="105"/>
                <w:szCs w:val="24"/>
              </w:rPr>
              <w:t>odnawialnej</w:t>
            </w:r>
          </w:p>
          <w:p w14:paraId="0DB4FAB8" w14:textId="77777777" w:rsidR="001B3DE8" w:rsidRDefault="001B3DE8" w:rsidP="00085EC5">
            <w:pPr>
              <w:spacing w:before="120"/>
              <w:ind w:left="-48"/>
              <w:rPr>
                <w:rFonts w:eastAsia="Times New Roman" w:cs="Times New Roman"/>
                <w:b/>
                <w:color w:val="000000"/>
                <w:szCs w:val="24"/>
              </w:rPr>
            </w:pPr>
          </w:p>
        </w:tc>
        <w:tc>
          <w:tcPr>
            <w:tcW w:w="6025" w:type="dxa"/>
          </w:tcPr>
          <w:p w14:paraId="7303225B" w14:textId="233914CC" w:rsidR="001B3DE8" w:rsidRPr="005176D6" w:rsidRDefault="00841ABC" w:rsidP="00841ABC">
            <w:pPr>
              <w:pStyle w:val="Tekstpodstawowy"/>
              <w:spacing w:before="0" w:line="240" w:lineRule="auto"/>
              <w:ind w:firstLine="3"/>
              <w:rPr>
                <w:color w:val="000000" w:themeColor="text1"/>
                <w:w w:val="105"/>
              </w:rPr>
            </w:pPr>
            <w:r w:rsidRPr="00841ABC">
              <w:rPr>
                <w:color w:val="000000" w:themeColor="text1"/>
                <w:w w:val="105"/>
              </w:rPr>
              <w:t>Odbiorca końcowy wytwarzający energię elektryczną wyłącznie z odnawialnych źródeł energii na własne potrzeby w instalacji odnawialnego źródła energii przyłączonej</w:t>
            </w:r>
            <w:r w:rsidRPr="00841ABC">
              <w:rPr>
                <w:color w:val="000000" w:themeColor="text1"/>
                <w:spacing w:val="-10"/>
                <w:w w:val="105"/>
              </w:rPr>
              <w:t xml:space="preserve"> </w:t>
            </w:r>
            <w:r w:rsidRPr="00841ABC">
              <w:rPr>
                <w:color w:val="000000" w:themeColor="text1"/>
                <w:w w:val="105"/>
              </w:rPr>
              <w:t>do</w:t>
            </w:r>
            <w:r w:rsidRPr="00841ABC">
              <w:rPr>
                <w:color w:val="000000" w:themeColor="text1"/>
                <w:spacing w:val="-23"/>
                <w:w w:val="105"/>
              </w:rPr>
              <w:t xml:space="preserve"> </w:t>
            </w:r>
            <w:r w:rsidRPr="00841ABC">
              <w:rPr>
                <w:color w:val="000000" w:themeColor="text1"/>
                <w:w w:val="105"/>
              </w:rPr>
              <w:t>sieci</w:t>
            </w:r>
            <w:r w:rsidRPr="00841ABC">
              <w:rPr>
                <w:color w:val="000000" w:themeColor="text1"/>
                <w:spacing w:val="-16"/>
                <w:w w:val="105"/>
              </w:rPr>
              <w:t xml:space="preserve"> </w:t>
            </w:r>
            <w:r w:rsidRPr="00841ABC">
              <w:rPr>
                <w:color w:val="000000" w:themeColor="text1"/>
                <w:w w:val="105"/>
              </w:rPr>
              <w:t>dystrybucyjnej</w:t>
            </w:r>
            <w:r w:rsidRPr="00841ABC">
              <w:rPr>
                <w:color w:val="000000" w:themeColor="text1"/>
                <w:spacing w:val="-28"/>
                <w:w w:val="105"/>
              </w:rPr>
              <w:t xml:space="preserve"> </w:t>
            </w:r>
            <w:r w:rsidRPr="00841ABC">
              <w:rPr>
                <w:color w:val="000000" w:themeColor="text1"/>
                <w:w w:val="105"/>
              </w:rPr>
              <w:t>elektroenergetycznej</w:t>
            </w:r>
            <w:r w:rsidRPr="00841ABC">
              <w:rPr>
                <w:color w:val="000000" w:themeColor="text1"/>
                <w:w w:val="105"/>
                <w:lang w:val="pl-PL"/>
              </w:rPr>
              <w:t xml:space="preserve"> </w:t>
            </w:r>
            <w:r w:rsidRPr="00841ABC">
              <w:rPr>
                <w:color w:val="000000" w:themeColor="text1"/>
                <w:w w:val="105"/>
              </w:rPr>
              <w:t xml:space="preserve">w innym m1eJscu niż m1eJsce dostarczania energii elektrycznej do tego </w:t>
            </w:r>
            <w:r w:rsidRPr="00841ABC">
              <w:rPr>
                <w:color w:val="000000" w:themeColor="text1"/>
                <w:spacing w:val="2"/>
                <w:w w:val="105"/>
              </w:rPr>
              <w:t xml:space="preserve">odbiorcy, </w:t>
            </w:r>
            <w:r w:rsidRPr="00841ABC">
              <w:rPr>
                <w:color w:val="000000" w:themeColor="text1"/>
                <w:w w:val="105"/>
              </w:rPr>
              <w:t xml:space="preserve">która jednocześnie nie jest przyłączona do sieci dystrybucyjnej elektroenergetycznej za pośrednictwem wewnętrznej instalacji elektrycznej budynku    wielolokalowego,     pod     warunkiem     że </w:t>
            </w:r>
            <w:r>
              <w:rPr>
                <w:color w:val="000000" w:themeColor="text1"/>
                <w:w w:val="105"/>
              </w:rPr>
              <w:br/>
            </w:r>
            <w:r w:rsidRPr="00841ABC">
              <w:rPr>
                <w:color w:val="000000" w:themeColor="text1"/>
                <w:w w:val="105"/>
              </w:rPr>
              <w:t xml:space="preserve">w przypadku odbiorcy końcowego niebędącego odbiorcą energii elektrycznej w gospodarstwie domowym wytwarzanie to nie stanowi przedmiotu przeważającej działalności       gospodarczej       określonej       zgodnie </w:t>
            </w:r>
            <w:r>
              <w:rPr>
                <w:color w:val="000000" w:themeColor="text1"/>
                <w:w w:val="105"/>
              </w:rPr>
              <w:br/>
            </w:r>
            <w:r w:rsidRPr="00841ABC">
              <w:rPr>
                <w:color w:val="000000" w:themeColor="text1"/>
                <w:w w:val="105"/>
              </w:rPr>
              <w:t>z</w:t>
            </w:r>
            <w:r w:rsidRPr="00841ABC">
              <w:rPr>
                <w:color w:val="000000" w:themeColor="text1"/>
                <w:spacing w:val="-11"/>
                <w:w w:val="105"/>
              </w:rPr>
              <w:t xml:space="preserve"> </w:t>
            </w:r>
            <w:r w:rsidRPr="00841ABC">
              <w:rPr>
                <w:color w:val="000000" w:themeColor="text1"/>
                <w:w w:val="105"/>
              </w:rPr>
              <w:t>przepisami</w:t>
            </w:r>
            <w:r w:rsidRPr="00841ABC">
              <w:rPr>
                <w:color w:val="000000" w:themeColor="text1"/>
                <w:spacing w:val="-1"/>
                <w:w w:val="105"/>
              </w:rPr>
              <w:t xml:space="preserve"> </w:t>
            </w:r>
            <w:r w:rsidRPr="00841ABC">
              <w:rPr>
                <w:color w:val="000000" w:themeColor="text1"/>
                <w:w w:val="105"/>
              </w:rPr>
              <w:t>wydanymi</w:t>
            </w:r>
            <w:r w:rsidRPr="00841ABC">
              <w:rPr>
                <w:color w:val="000000" w:themeColor="text1"/>
                <w:spacing w:val="7"/>
                <w:w w:val="105"/>
              </w:rPr>
              <w:t xml:space="preserve"> </w:t>
            </w:r>
            <w:r w:rsidRPr="00841ABC">
              <w:rPr>
                <w:color w:val="000000" w:themeColor="text1"/>
                <w:w w:val="105"/>
              </w:rPr>
              <w:t>na</w:t>
            </w:r>
            <w:r w:rsidRPr="00841ABC">
              <w:rPr>
                <w:color w:val="000000" w:themeColor="text1"/>
                <w:spacing w:val="-13"/>
                <w:w w:val="105"/>
              </w:rPr>
              <w:t xml:space="preserve"> </w:t>
            </w:r>
            <w:r w:rsidRPr="00841ABC">
              <w:rPr>
                <w:color w:val="000000" w:themeColor="text1"/>
                <w:w w:val="105"/>
              </w:rPr>
              <w:t>podstawie</w:t>
            </w:r>
            <w:r w:rsidRPr="00841ABC">
              <w:rPr>
                <w:color w:val="000000" w:themeColor="text1"/>
                <w:spacing w:val="-8"/>
                <w:w w:val="105"/>
              </w:rPr>
              <w:t xml:space="preserve"> </w:t>
            </w:r>
            <w:r w:rsidRPr="00841ABC">
              <w:rPr>
                <w:color w:val="000000" w:themeColor="text1"/>
                <w:w w:val="105"/>
              </w:rPr>
              <w:t>art.</w:t>
            </w:r>
            <w:r w:rsidRPr="00841ABC">
              <w:rPr>
                <w:color w:val="000000" w:themeColor="text1"/>
                <w:spacing w:val="-13"/>
                <w:w w:val="105"/>
              </w:rPr>
              <w:t xml:space="preserve"> </w:t>
            </w:r>
            <w:r w:rsidRPr="00841ABC">
              <w:rPr>
                <w:color w:val="000000" w:themeColor="text1"/>
                <w:w w:val="105"/>
              </w:rPr>
              <w:t>40</w:t>
            </w:r>
            <w:r w:rsidRPr="00841ABC">
              <w:rPr>
                <w:color w:val="000000" w:themeColor="text1"/>
                <w:spacing w:val="-9"/>
                <w:w w:val="105"/>
              </w:rPr>
              <w:t xml:space="preserve"> </w:t>
            </w:r>
            <w:r w:rsidRPr="00841ABC">
              <w:rPr>
                <w:color w:val="000000" w:themeColor="text1"/>
                <w:w w:val="105"/>
              </w:rPr>
              <w:t>ust.</w:t>
            </w:r>
            <w:r w:rsidRPr="00841ABC">
              <w:rPr>
                <w:color w:val="000000" w:themeColor="text1"/>
                <w:spacing w:val="-17"/>
                <w:w w:val="105"/>
              </w:rPr>
              <w:t xml:space="preserve"> </w:t>
            </w:r>
            <w:r w:rsidRPr="00841ABC">
              <w:rPr>
                <w:color w:val="000000" w:themeColor="text1"/>
                <w:w w:val="105"/>
              </w:rPr>
              <w:t>2</w:t>
            </w:r>
            <w:r w:rsidRPr="00841ABC">
              <w:rPr>
                <w:color w:val="000000" w:themeColor="text1"/>
                <w:spacing w:val="-19"/>
                <w:w w:val="105"/>
              </w:rPr>
              <w:t xml:space="preserve"> </w:t>
            </w:r>
            <w:r w:rsidRPr="00841ABC">
              <w:rPr>
                <w:color w:val="000000" w:themeColor="text1"/>
                <w:w w:val="105"/>
              </w:rPr>
              <w:t>ustawy z dnia 29 czerwca I 995 r. o statystyce</w:t>
            </w:r>
            <w:r w:rsidRPr="00841ABC">
              <w:rPr>
                <w:color w:val="000000" w:themeColor="text1"/>
                <w:spacing w:val="7"/>
                <w:w w:val="105"/>
              </w:rPr>
              <w:t xml:space="preserve"> </w:t>
            </w:r>
            <w:r w:rsidRPr="00841ABC">
              <w:rPr>
                <w:color w:val="000000" w:themeColor="text1"/>
                <w:w w:val="105"/>
              </w:rPr>
              <w:t>publicznej.</w:t>
            </w:r>
          </w:p>
        </w:tc>
      </w:tr>
      <w:tr w:rsidR="003C5798" w:rsidRPr="009F21BD" w14:paraId="028C66A0" w14:textId="77777777" w:rsidTr="00A9381E">
        <w:tc>
          <w:tcPr>
            <w:tcW w:w="3261" w:type="dxa"/>
            <w:gridSpan w:val="2"/>
          </w:tcPr>
          <w:p w14:paraId="294784C9" w14:textId="77777777" w:rsidR="003C5798" w:rsidRDefault="003C5798" w:rsidP="003C5798">
            <w:pPr>
              <w:spacing w:line="288" w:lineRule="auto"/>
              <w:ind w:right="-15" w:firstLine="3"/>
              <w:rPr>
                <w:rFonts w:cs="Times New Roman"/>
                <w:b/>
                <w:color w:val="000000"/>
                <w:szCs w:val="24"/>
              </w:rPr>
            </w:pPr>
            <w:r>
              <w:rPr>
                <w:rFonts w:cs="Times New Roman"/>
                <w:b/>
                <w:color w:val="000000"/>
                <w:w w:val="105"/>
                <w:szCs w:val="24"/>
              </w:rPr>
              <w:t>Prosument</w:t>
            </w:r>
            <w:r>
              <w:rPr>
                <w:rFonts w:cs="Times New Roman"/>
                <w:b/>
                <w:color w:val="000000"/>
                <w:spacing w:val="-31"/>
                <w:w w:val="105"/>
                <w:szCs w:val="24"/>
              </w:rPr>
              <w:t xml:space="preserve"> </w:t>
            </w:r>
            <w:r>
              <w:rPr>
                <w:rFonts w:cs="Times New Roman"/>
                <w:b/>
                <w:color w:val="000000"/>
                <w:w w:val="105"/>
                <w:szCs w:val="24"/>
              </w:rPr>
              <w:t>zbiorowy energii</w:t>
            </w:r>
            <w:r>
              <w:rPr>
                <w:rFonts w:cs="Times New Roman"/>
                <w:b/>
                <w:color w:val="000000"/>
                <w:spacing w:val="-1"/>
                <w:w w:val="105"/>
                <w:szCs w:val="24"/>
              </w:rPr>
              <w:t xml:space="preserve"> </w:t>
            </w:r>
            <w:r>
              <w:rPr>
                <w:rFonts w:cs="Times New Roman"/>
                <w:b/>
                <w:color w:val="000000"/>
                <w:w w:val="105"/>
                <w:szCs w:val="24"/>
              </w:rPr>
              <w:t>odnawialnej</w:t>
            </w:r>
          </w:p>
          <w:p w14:paraId="11B29323" w14:textId="77777777" w:rsidR="003C5798" w:rsidRPr="00212ACC" w:rsidRDefault="003C5798" w:rsidP="00085EC5">
            <w:pPr>
              <w:spacing w:before="120"/>
              <w:ind w:left="-48"/>
              <w:rPr>
                <w:rFonts w:eastAsia="Times New Roman" w:cs="Times New Roman"/>
                <w:b/>
                <w:color w:val="000000"/>
                <w:szCs w:val="24"/>
              </w:rPr>
            </w:pPr>
          </w:p>
        </w:tc>
        <w:tc>
          <w:tcPr>
            <w:tcW w:w="6025" w:type="dxa"/>
          </w:tcPr>
          <w:p w14:paraId="0AC35479" w14:textId="0D90706B" w:rsidR="003C5798" w:rsidRPr="00212ACC" w:rsidRDefault="003C5798" w:rsidP="001B3DE8">
            <w:pPr>
              <w:ind w:left="76"/>
              <w:jc w:val="both"/>
              <w:rPr>
                <w:rFonts w:eastAsia="Times New Roman" w:cs="Times New Roman"/>
                <w:bCs/>
                <w:color w:val="000000"/>
                <w:szCs w:val="24"/>
              </w:rPr>
            </w:pPr>
            <w:r>
              <w:rPr>
                <w:rFonts w:cs="Times New Roman"/>
                <w:color w:val="000000"/>
                <w:w w:val="105"/>
                <w:szCs w:val="24"/>
              </w:rPr>
              <w:t>Odbiorca końcowy wytwarzający energię elektryczną wyłącznie z odnawialnych źródeł energii na własne potrzeby w mikroinstalacji lub małej instalacji przyłączonej do</w:t>
            </w:r>
            <w:r>
              <w:rPr>
                <w:rFonts w:cs="Times New Roman"/>
                <w:color w:val="000000"/>
                <w:spacing w:val="-17"/>
                <w:w w:val="105"/>
                <w:szCs w:val="24"/>
              </w:rPr>
              <w:t xml:space="preserve"> </w:t>
            </w:r>
            <w:r>
              <w:rPr>
                <w:rFonts w:cs="Times New Roman"/>
                <w:color w:val="000000"/>
                <w:w w:val="105"/>
                <w:szCs w:val="24"/>
              </w:rPr>
              <w:t>sieci</w:t>
            </w:r>
            <w:r>
              <w:rPr>
                <w:rFonts w:cs="Times New Roman"/>
                <w:color w:val="000000"/>
                <w:spacing w:val="-8"/>
                <w:w w:val="105"/>
                <w:szCs w:val="24"/>
              </w:rPr>
              <w:t xml:space="preserve"> </w:t>
            </w:r>
            <w:r>
              <w:rPr>
                <w:rFonts w:cs="Times New Roman"/>
                <w:color w:val="000000"/>
                <w:w w:val="105"/>
                <w:szCs w:val="24"/>
              </w:rPr>
              <w:t>dystrybucyjnej</w:t>
            </w:r>
            <w:r>
              <w:rPr>
                <w:rFonts w:cs="Times New Roman"/>
                <w:color w:val="000000"/>
                <w:spacing w:val="-24"/>
                <w:w w:val="105"/>
                <w:szCs w:val="24"/>
              </w:rPr>
              <w:t xml:space="preserve"> </w:t>
            </w:r>
            <w:r>
              <w:rPr>
                <w:rFonts w:cs="Times New Roman"/>
                <w:color w:val="000000"/>
                <w:w w:val="105"/>
                <w:szCs w:val="24"/>
              </w:rPr>
              <w:t xml:space="preserve">elektroenergetycznej za pośrednictwem wewnętrznej instalacji elektrycznej </w:t>
            </w:r>
            <w:r>
              <w:rPr>
                <w:rFonts w:cs="Times New Roman"/>
                <w:color w:val="000000"/>
                <w:w w:val="105"/>
                <w:szCs w:val="24"/>
              </w:rPr>
              <w:lastRenderedPageBreak/>
              <w:t xml:space="preserve">budynku wielolokalowego, w której znajduje się punkt poboru energii elektrycznej tego odbiorcy, pod warunkiem że w przypadku odbiorcy końcowego niebędącego odbiorcą energii elektrycznej </w:t>
            </w:r>
            <w:r>
              <w:rPr>
                <w:rFonts w:cs="Times New Roman"/>
                <w:color w:val="000000"/>
                <w:w w:val="105"/>
                <w:szCs w:val="24"/>
              </w:rPr>
              <w:br/>
              <w:t>w gospodarstwie domowym wytwarzanie to nie stanowi przedmiotu przeważającej działalności gospodarczej określonej zgodnie z przepisami wydanymi na podstawie art.</w:t>
            </w:r>
            <w:r>
              <w:rPr>
                <w:rFonts w:cs="Times New Roman"/>
                <w:color w:val="000000"/>
                <w:spacing w:val="-18"/>
                <w:w w:val="105"/>
                <w:szCs w:val="24"/>
              </w:rPr>
              <w:t xml:space="preserve"> </w:t>
            </w:r>
            <w:r>
              <w:rPr>
                <w:rFonts w:cs="Times New Roman"/>
                <w:color w:val="000000"/>
                <w:w w:val="105"/>
                <w:szCs w:val="24"/>
              </w:rPr>
              <w:t>40</w:t>
            </w:r>
            <w:r>
              <w:rPr>
                <w:rFonts w:cs="Times New Roman"/>
                <w:color w:val="000000"/>
                <w:spacing w:val="-10"/>
                <w:w w:val="105"/>
                <w:szCs w:val="24"/>
              </w:rPr>
              <w:t xml:space="preserve"> </w:t>
            </w:r>
            <w:r>
              <w:rPr>
                <w:rFonts w:cs="Times New Roman"/>
                <w:color w:val="000000"/>
                <w:w w:val="105"/>
                <w:szCs w:val="24"/>
              </w:rPr>
              <w:t>ust.</w:t>
            </w:r>
            <w:r>
              <w:rPr>
                <w:rFonts w:cs="Times New Roman"/>
                <w:color w:val="000000"/>
                <w:spacing w:val="-11"/>
                <w:w w:val="105"/>
                <w:szCs w:val="24"/>
              </w:rPr>
              <w:t xml:space="preserve"> </w:t>
            </w:r>
            <w:r>
              <w:rPr>
                <w:rFonts w:cs="Times New Roman"/>
                <w:color w:val="000000"/>
                <w:w w:val="105"/>
                <w:szCs w:val="24"/>
              </w:rPr>
              <w:t>2</w:t>
            </w:r>
            <w:r>
              <w:rPr>
                <w:rFonts w:cs="Times New Roman"/>
                <w:color w:val="000000"/>
                <w:spacing w:val="-12"/>
                <w:w w:val="105"/>
                <w:szCs w:val="24"/>
              </w:rPr>
              <w:t xml:space="preserve"> </w:t>
            </w:r>
            <w:r>
              <w:rPr>
                <w:rFonts w:cs="Times New Roman"/>
                <w:color w:val="000000"/>
                <w:w w:val="105"/>
                <w:szCs w:val="24"/>
              </w:rPr>
              <w:t>ustawy</w:t>
            </w:r>
            <w:r>
              <w:rPr>
                <w:rFonts w:cs="Times New Roman"/>
                <w:color w:val="000000"/>
                <w:spacing w:val="-11"/>
                <w:w w:val="105"/>
                <w:szCs w:val="24"/>
              </w:rPr>
              <w:t xml:space="preserve"> </w:t>
            </w:r>
            <w:r>
              <w:rPr>
                <w:rFonts w:cs="Times New Roman"/>
                <w:color w:val="000000"/>
                <w:w w:val="105"/>
                <w:szCs w:val="24"/>
              </w:rPr>
              <w:t>z</w:t>
            </w:r>
            <w:r>
              <w:rPr>
                <w:rFonts w:cs="Times New Roman"/>
                <w:color w:val="000000"/>
                <w:spacing w:val="-13"/>
                <w:w w:val="105"/>
                <w:szCs w:val="24"/>
              </w:rPr>
              <w:t xml:space="preserve"> </w:t>
            </w:r>
            <w:r>
              <w:rPr>
                <w:rFonts w:cs="Times New Roman"/>
                <w:color w:val="000000"/>
                <w:w w:val="105"/>
                <w:szCs w:val="24"/>
              </w:rPr>
              <w:t>dnia</w:t>
            </w:r>
            <w:r>
              <w:rPr>
                <w:rFonts w:cs="Times New Roman"/>
                <w:color w:val="000000"/>
                <w:spacing w:val="-8"/>
                <w:w w:val="105"/>
                <w:szCs w:val="24"/>
              </w:rPr>
              <w:t xml:space="preserve"> </w:t>
            </w:r>
            <w:r>
              <w:rPr>
                <w:rFonts w:cs="Times New Roman"/>
                <w:color w:val="000000"/>
                <w:w w:val="105"/>
                <w:szCs w:val="24"/>
              </w:rPr>
              <w:t>29</w:t>
            </w:r>
            <w:r>
              <w:rPr>
                <w:rFonts w:cs="Times New Roman"/>
                <w:color w:val="000000"/>
                <w:spacing w:val="-17"/>
                <w:w w:val="105"/>
                <w:szCs w:val="24"/>
              </w:rPr>
              <w:t xml:space="preserve"> </w:t>
            </w:r>
            <w:r>
              <w:rPr>
                <w:rFonts w:cs="Times New Roman"/>
                <w:color w:val="000000"/>
                <w:w w:val="105"/>
                <w:szCs w:val="24"/>
              </w:rPr>
              <w:t>czerwca</w:t>
            </w:r>
            <w:r>
              <w:rPr>
                <w:rFonts w:cs="Times New Roman"/>
                <w:color w:val="000000"/>
                <w:spacing w:val="-2"/>
                <w:w w:val="105"/>
                <w:szCs w:val="24"/>
              </w:rPr>
              <w:t xml:space="preserve"> </w:t>
            </w:r>
            <w:r>
              <w:rPr>
                <w:rFonts w:cs="Times New Roman"/>
                <w:color w:val="000000"/>
                <w:w w:val="105"/>
                <w:szCs w:val="24"/>
              </w:rPr>
              <w:t>1995</w:t>
            </w:r>
            <w:r>
              <w:rPr>
                <w:rFonts w:cs="Times New Roman"/>
                <w:color w:val="000000"/>
                <w:spacing w:val="-5"/>
                <w:w w:val="105"/>
                <w:szCs w:val="24"/>
              </w:rPr>
              <w:t xml:space="preserve"> </w:t>
            </w:r>
            <w:r>
              <w:rPr>
                <w:rFonts w:cs="Times New Roman"/>
                <w:color w:val="000000"/>
                <w:w w:val="105"/>
                <w:szCs w:val="24"/>
              </w:rPr>
              <w:t>r.</w:t>
            </w:r>
            <w:r>
              <w:rPr>
                <w:rFonts w:cs="Times New Roman"/>
                <w:color w:val="000000"/>
                <w:spacing w:val="-17"/>
                <w:w w:val="105"/>
                <w:szCs w:val="24"/>
              </w:rPr>
              <w:t xml:space="preserve"> </w:t>
            </w:r>
            <w:r>
              <w:rPr>
                <w:rFonts w:cs="Times New Roman"/>
                <w:color w:val="000000"/>
                <w:w w:val="105"/>
                <w:szCs w:val="24"/>
              </w:rPr>
              <w:t>o</w:t>
            </w:r>
            <w:r>
              <w:rPr>
                <w:rFonts w:cs="Times New Roman"/>
                <w:color w:val="000000"/>
                <w:spacing w:val="-9"/>
                <w:w w:val="105"/>
                <w:szCs w:val="24"/>
              </w:rPr>
              <w:t xml:space="preserve"> </w:t>
            </w:r>
            <w:r>
              <w:rPr>
                <w:rFonts w:cs="Times New Roman"/>
                <w:color w:val="000000"/>
                <w:w w:val="105"/>
                <w:szCs w:val="24"/>
              </w:rPr>
              <w:t>statystyce publicznej.</w:t>
            </w:r>
          </w:p>
        </w:tc>
      </w:tr>
      <w:tr w:rsidR="00085EC5" w:rsidRPr="009F21BD" w14:paraId="4099142E" w14:textId="77777777" w:rsidTr="00A9381E">
        <w:tc>
          <w:tcPr>
            <w:tcW w:w="3261" w:type="dxa"/>
            <w:gridSpan w:val="2"/>
          </w:tcPr>
          <w:p w14:paraId="1835A26D" w14:textId="77777777" w:rsidR="00085EC5" w:rsidRPr="009F21BD" w:rsidRDefault="00085EC5" w:rsidP="00085EC5">
            <w:pPr>
              <w:spacing w:before="120"/>
              <w:ind w:left="-48"/>
              <w:rPr>
                <w:b/>
                <w:bCs/>
              </w:rPr>
            </w:pPr>
            <w:r>
              <w:rPr>
                <w:b/>
                <w:bCs/>
              </w:rPr>
              <w:lastRenderedPageBreak/>
              <w:t>Przedpłatowy układ pomiarowo-rozliczeniowy</w:t>
            </w:r>
          </w:p>
        </w:tc>
        <w:tc>
          <w:tcPr>
            <w:tcW w:w="6025" w:type="dxa"/>
          </w:tcPr>
          <w:p w14:paraId="5CA4FD5F" w14:textId="77777777" w:rsidR="00085EC5" w:rsidRPr="009F21BD" w:rsidRDefault="00085EC5" w:rsidP="00085EC5">
            <w:pPr>
              <w:spacing w:before="120"/>
              <w:jc w:val="both"/>
            </w:pPr>
            <w:r>
              <w:t>Układ pomiarowo-rozliczeniowy realizujący funkcję włączenia lub wyłączenia możliwości poboru energii elektrycznej w zależności od stanu Salda dekrementującego.</w:t>
            </w:r>
          </w:p>
        </w:tc>
      </w:tr>
      <w:tr w:rsidR="00085EC5" w:rsidRPr="009F21BD" w14:paraId="64B5A0BA" w14:textId="77777777" w:rsidTr="00A9381E">
        <w:tc>
          <w:tcPr>
            <w:tcW w:w="3261" w:type="dxa"/>
            <w:gridSpan w:val="2"/>
          </w:tcPr>
          <w:p w14:paraId="4BA80D6A" w14:textId="77777777" w:rsidR="00085EC5" w:rsidRPr="009F21BD" w:rsidRDefault="00085EC5" w:rsidP="00085EC5">
            <w:pPr>
              <w:ind w:left="-48"/>
              <w:rPr>
                <w:b/>
                <w:bCs/>
              </w:rPr>
            </w:pPr>
            <w:r w:rsidRPr="009F21BD">
              <w:rPr>
                <w:b/>
                <w:bCs/>
              </w:rPr>
              <w:t>Przedsiębiorstwo energetyczne</w:t>
            </w:r>
          </w:p>
        </w:tc>
        <w:tc>
          <w:tcPr>
            <w:tcW w:w="6025" w:type="dxa"/>
            <w:vAlign w:val="center"/>
          </w:tcPr>
          <w:p w14:paraId="6DBD7AF2" w14:textId="77777777" w:rsidR="00085EC5" w:rsidRDefault="00085EC5" w:rsidP="00085EC5">
            <w:pPr>
              <w:tabs>
                <w:tab w:val="left" w:pos="3533"/>
              </w:tabs>
              <w:jc w:val="both"/>
              <w:rPr>
                <w:rFonts w:cs="Times New Roman"/>
                <w:color w:val="000000"/>
                <w:szCs w:val="24"/>
              </w:rPr>
            </w:pPr>
            <w:r>
              <w:rPr>
                <w:rFonts w:cs="Times New Roman"/>
                <w:color w:val="000000"/>
                <w:szCs w:val="24"/>
              </w:rPr>
              <w:t xml:space="preserve">Podmiot prowadzący działalność gospodarczą </w:t>
            </w:r>
            <w:r>
              <w:rPr>
                <w:rFonts w:cs="Times New Roman"/>
                <w:color w:val="000000"/>
                <w:szCs w:val="24"/>
              </w:rPr>
              <w:br/>
              <w:t>w</w:t>
            </w:r>
            <w:r>
              <w:rPr>
                <w:rFonts w:cs="Times New Roman"/>
                <w:color w:val="000000"/>
                <w:spacing w:val="-41"/>
                <w:szCs w:val="24"/>
              </w:rPr>
              <w:t xml:space="preserve"> </w:t>
            </w:r>
            <w:r>
              <w:rPr>
                <w:rFonts w:cs="Times New Roman"/>
                <w:color w:val="000000"/>
                <w:szCs w:val="24"/>
              </w:rPr>
              <w:t>zakresie:</w:t>
            </w:r>
          </w:p>
          <w:p w14:paraId="192293B9" w14:textId="77777777" w:rsidR="00085EC5" w:rsidRDefault="00085EC5" w:rsidP="00085EC5">
            <w:pPr>
              <w:pStyle w:val="Tekstpodstawowy"/>
              <w:tabs>
                <w:tab w:val="left" w:pos="3544"/>
              </w:tabs>
              <w:spacing w:before="39" w:line="240" w:lineRule="auto"/>
            </w:pPr>
            <w:r>
              <w:t>wytwarzania, magazynowania, przesyłania, dystrybucji</w:t>
            </w:r>
          </w:p>
          <w:p w14:paraId="09177A25" w14:textId="1AE21A68" w:rsidR="00085EC5" w:rsidRPr="009F21BD" w:rsidRDefault="00085EC5" w:rsidP="00085EC5">
            <w:pPr>
              <w:pStyle w:val="Tekstpodstawowy"/>
              <w:spacing w:before="38" w:line="240" w:lineRule="auto"/>
            </w:pPr>
            <w:r>
              <w:t>energii elektrycznej lub obrotu nimi.</w:t>
            </w:r>
          </w:p>
        </w:tc>
      </w:tr>
      <w:tr w:rsidR="00085EC5" w:rsidRPr="009F21BD" w14:paraId="5487C2F9" w14:textId="77777777" w:rsidTr="00A9381E">
        <w:tc>
          <w:tcPr>
            <w:tcW w:w="3261" w:type="dxa"/>
            <w:gridSpan w:val="2"/>
          </w:tcPr>
          <w:p w14:paraId="26E3DDC2" w14:textId="77777777" w:rsidR="00085EC5" w:rsidRPr="009F21BD" w:rsidRDefault="00085EC5" w:rsidP="00085EC5">
            <w:pPr>
              <w:pStyle w:val="styl0"/>
              <w:spacing w:before="120"/>
              <w:rPr>
                <w:b/>
              </w:rPr>
            </w:pPr>
            <w:r w:rsidRPr="009F21BD">
              <w:rPr>
                <w:b/>
              </w:rPr>
              <w:t>Przedsiębiorstwo obrotu</w:t>
            </w:r>
          </w:p>
        </w:tc>
        <w:tc>
          <w:tcPr>
            <w:tcW w:w="6025" w:type="dxa"/>
          </w:tcPr>
          <w:p w14:paraId="0EBF1B52" w14:textId="77777777" w:rsidR="00085EC5" w:rsidRPr="009F21BD" w:rsidRDefault="00085EC5" w:rsidP="00085EC5">
            <w:pPr>
              <w:pStyle w:val="styl0"/>
              <w:spacing w:before="120"/>
              <w:rPr>
                <w:szCs w:val="24"/>
              </w:rPr>
            </w:pPr>
            <w:r w:rsidRPr="009F21BD">
              <w:rPr>
                <w:szCs w:val="24"/>
              </w:rPr>
              <w:t>Przedsiębiorstwo energetyczne prowadzące działalność gospodarczą polegającą na handlu hurtowym lub detalicznym energią elektryczną, niezależnie od innych rodzajów prowadzonych działalności.</w:t>
            </w:r>
          </w:p>
        </w:tc>
      </w:tr>
      <w:tr w:rsidR="00085EC5" w:rsidRPr="009F21BD" w14:paraId="1AFBFC55" w14:textId="77777777" w:rsidTr="00A9381E">
        <w:tc>
          <w:tcPr>
            <w:tcW w:w="3261" w:type="dxa"/>
            <w:gridSpan w:val="2"/>
          </w:tcPr>
          <w:p w14:paraId="774FAE69" w14:textId="77777777" w:rsidR="00085EC5" w:rsidRPr="009F21BD" w:rsidRDefault="00085EC5" w:rsidP="00085EC5">
            <w:pPr>
              <w:pStyle w:val="Default"/>
              <w:spacing w:before="120"/>
              <w:rPr>
                <w:color w:val="auto"/>
              </w:rPr>
            </w:pPr>
            <w:r w:rsidRPr="009F21BD">
              <w:rPr>
                <w:b/>
                <w:bCs/>
                <w:color w:val="auto"/>
              </w:rPr>
              <w:t xml:space="preserve">Przerwa w dostarczaniu energii elektrycznej planowana </w:t>
            </w:r>
          </w:p>
          <w:p w14:paraId="46E2D7D2" w14:textId="77777777" w:rsidR="00085EC5" w:rsidRPr="009F21BD" w:rsidRDefault="00085EC5" w:rsidP="00085EC5">
            <w:pPr>
              <w:pStyle w:val="styl0"/>
              <w:spacing w:before="120"/>
              <w:jc w:val="left"/>
              <w:rPr>
                <w:b/>
                <w:szCs w:val="24"/>
              </w:rPr>
            </w:pPr>
          </w:p>
        </w:tc>
        <w:tc>
          <w:tcPr>
            <w:tcW w:w="6025" w:type="dxa"/>
          </w:tcPr>
          <w:p w14:paraId="077E7FDD" w14:textId="77777777" w:rsidR="00085EC5" w:rsidRPr="009F21BD" w:rsidRDefault="00085EC5" w:rsidP="00085EC5">
            <w:pPr>
              <w:pStyle w:val="Default"/>
              <w:spacing w:before="120"/>
              <w:jc w:val="both"/>
              <w:rPr>
                <w:color w:val="auto"/>
              </w:rPr>
            </w:pPr>
            <w:r w:rsidRPr="009F21BD">
              <w:rPr>
                <w:color w:val="auto"/>
              </w:rPr>
              <w:t xml:space="preserve">Przerwa wynikająca z programu prac eksploatacyjnych sieci elektroenergetycznej; czas trwania tej przerwy jest liczony od momentu otwarcia wyłącznika do czasu wznowienia dostarczania energii elektrycznej. </w:t>
            </w:r>
          </w:p>
        </w:tc>
      </w:tr>
      <w:tr w:rsidR="00085EC5" w:rsidRPr="009F21BD" w14:paraId="66D68F3D" w14:textId="77777777" w:rsidTr="00A9381E">
        <w:tc>
          <w:tcPr>
            <w:tcW w:w="3261" w:type="dxa"/>
            <w:gridSpan w:val="2"/>
          </w:tcPr>
          <w:p w14:paraId="500C0173" w14:textId="77777777" w:rsidR="00085EC5" w:rsidRPr="009F21BD" w:rsidRDefault="00085EC5" w:rsidP="00085EC5">
            <w:pPr>
              <w:pStyle w:val="Default"/>
              <w:spacing w:before="120"/>
              <w:rPr>
                <w:color w:val="auto"/>
              </w:rPr>
            </w:pPr>
            <w:r w:rsidRPr="009F21BD">
              <w:rPr>
                <w:b/>
                <w:bCs/>
                <w:color w:val="auto"/>
              </w:rPr>
              <w:t xml:space="preserve">Przerwa w dostarczaniu energii elektrycznej nieplanowana </w:t>
            </w:r>
          </w:p>
          <w:p w14:paraId="77A077EF" w14:textId="77777777" w:rsidR="00085EC5" w:rsidRPr="009F21BD" w:rsidRDefault="00085EC5" w:rsidP="00085EC5">
            <w:pPr>
              <w:pStyle w:val="styl0"/>
              <w:spacing w:before="120"/>
              <w:jc w:val="left"/>
              <w:rPr>
                <w:b/>
                <w:szCs w:val="24"/>
              </w:rPr>
            </w:pPr>
          </w:p>
        </w:tc>
        <w:tc>
          <w:tcPr>
            <w:tcW w:w="6025" w:type="dxa"/>
          </w:tcPr>
          <w:p w14:paraId="6225FFE3" w14:textId="77777777" w:rsidR="00085EC5" w:rsidRPr="009F21BD" w:rsidRDefault="00085EC5" w:rsidP="00085EC5">
            <w:pPr>
              <w:pStyle w:val="Default"/>
              <w:spacing w:before="120"/>
              <w:jc w:val="both"/>
              <w:rPr>
                <w:color w:val="auto"/>
              </w:rPr>
            </w:pPr>
            <w:r w:rsidRPr="009F21BD">
              <w:rPr>
                <w:color w:val="auto"/>
              </w:rPr>
              <w:t xml:space="preserve">Przerwa spowodowana wystąpieniem awarii w sieci elektroenergetycznej, przy czym czas trwania tej przerwy jest liczony od momentu uzyskania przez przedsiębiorstwo energetyczne zajmujące się przesyłaniem lub dystrybucją energii elektrycznej informacji o jej wystąpieniu do czasu wznowienia dostarczania energii elektrycznej. </w:t>
            </w:r>
          </w:p>
        </w:tc>
      </w:tr>
      <w:tr w:rsidR="00085EC5" w:rsidRPr="009F21BD" w14:paraId="0E1EF7D7" w14:textId="77777777" w:rsidTr="00A9381E">
        <w:tc>
          <w:tcPr>
            <w:tcW w:w="3261" w:type="dxa"/>
            <w:gridSpan w:val="2"/>
          </w:tcPr>
          <w:p w14:paraId="504206F4" w14:textId="77777777" w:rsidR="00085EC5" w:rsidRPr="009F21BD" w:rsidRDefault="00085EC5" w:rsidP="00085EC5">
            <w:pPr>
              <w:spacing w:before="120"/>
              <w:rPr>
                <w:b/>
              </w:rPr>
            </w:pPr>
            <w:r w:rsidRPr="009F21BD">
              <w:rPr>
                <w:b/>
              </w:rPr>
              <w:t>Przesyłanie - transport energii elektrycznej</w:t>
            </w:r>
          </w:p>
        </w:tc>
        <w:tc>
          <w:tcPr>
            <w:tcW w:w="6025" w:type="dxa"/>
          </w:tcPr>
          <w:p w14:paraId="101198C8" w14:textId="77777777" w:rsidR="00085EC5" w:rsidRPr="009F21BD" w:rsidRDefault="00085EC5" w:rsidP="00085EC5">
            <w:pPr>
              <w:spacing w:before="120"/>
              <w:jc w:val="both"/>
            </w:pPr>
            <w:r w:rsidRPr="009F21BD">
              <w:t>Przesyłanie-transport energii elektrycznej sieciami przesyłowymi w celu jej dostarczania do sieci dystrybucyjnych lub odbiorcom końcowym przyłączonym do sieci przesyłowych, z wyłączeniem sprzedaży energii elektrycznej.</w:t>
            </w:r>
          </w:p>
        </w:tc>
      </w:tr>
      <w:tr w:rsidR="00085EC5" w:rsidRPr="009F21BD" w14:paraId="426EA598" w14:textId="77777777" w:rsidTr="00A9381E">
        <w:tc>
          <w:tcPr>
            <w:tcW w:w="3261" w:type="dxa"/>
            <w:gridSpan w:val="2"/>
          </w:tcPr>
          <w:p w14:paraId="5516BC02" w14:textId="77777777" w:rsidR="00085EC5" w:rsidRPr="009F21BD" w:rsidRDefault="00085EC5" w:rsidP="00085EC5">
            <w:pPr>
              <w:spacing w:before="120"/>
              <w:ind w:left="-48"/>
              <w:rPr>
                <w:b/>
                <w:bCs/>
              </w:rPr>
            </w:pPr>
            <w:r w:rsidRPr="009F21BD">
              <w:rPr>
                <w:b/>
                <w:bCs/>
              </w:rPr>
              <w:t>Przyłącze</w:t>
            </w:r>
          </w:p>
        </w:tc>
        <w:tc>
          <w:tcPr>
            <w:tcW w:w="6025" w:type="dxa"/>
            <w:shd w:val="clear" w:color="auto" w:fill="auto"/>
          </w:tcPr>
          <w:p w14:paraId="64378ED0" w14:textId="1F4BBF46" w:rsidR="00085EC5" w:rsidRPr="00402041" w:rsidRDefault="00E54A91" w:rsidP="00E54A91">
            <w:pPr>
              <w:pStyle w:val="Tekstpodstawowy"/>
              <w:tabs>
                <w:tab w:val="left" w:pos="3539"/>
              </w:tabs>
              <w:spacing w:before="146" w:line="240" w:lineRule="auto"/>
              <w:rPr>
                <w:lang w:val="pl-PL"/>
              </w:rPr>
            </w:pPr>
            <w:r w:rsidRPr="00E54A91">
              <w:rPr>
                <w:color w:val="000000" w:themeColor="text1"/>
                <w:w w:val="105"/>
              </w:rPr>
              <w:t>Odcinek lub element sieci służące do</w:t>
            </w:r>
            <w:r w:rsidRPr="00E54A91">
              <w:rPr>
                <w:color w:val="000000" w:themeColor="text1"/>
                <w:spacing w:val="27"/>
                <w:w w:val="105"/>
              </w:rPr>
              <w:t xml:space="preserve"> </w:t>
            </w:r>
            <w:r w:rsidRPr="00E54A91">
              <w:rPr>
                <w:color w:val="000000" w:themeColor="text1"/>
                <w:w w:val="105"/>
              </w:rPr>
              <w:t>połączenia</w:t>
            </w:r>
            <w:r>
              <w:rPr>
                <w:color w:val="000000" w:themeColor="text1"/>
                <w:w w:val="105"/>
                <w:lang w:val="pl-PL"/>
              </w:rPr>
              <w:t xml:space="preserve"> </w:t>
            </w:r>
            <w:r w:rsidRPr="00E54A91">
              <w:rPr>
                <w:color w:val="000000" w:themeColor="text1"/>
                <w:w w:val="105"/>
              </w:rPr>
              <w:t>urządzeń, instalacji lub sieci podmiotu, dostosowane do mocy przyłączeniowej z pozostałą cz</w:t>
            </w:r>
            <w:r w:rsidR="00204CCA">
              <w:rPr>
                <w:color w:val="000000" w:themeColor="text1"/>
                <w:w w:val="105"/>
                <w:lang w:val="pl-PL"/>
              </w:rPr>
              <w:t>ęś</w:t>
            </w:r>
            <w:r w:rsidRPr="00E54A91">
              <w:rPr>
                <w:color w:val="000000" w:themeColor="text1"/>
                <w:w w:val="105"/>
              </w:rPr>
              <w:t>c</w:t>
            </w:r>
            <w:r>
              <w:rPr>
                <w:color w:val="000000" w:themeColor="text1"/>
                <w:w w:val="105"/>
                <w:lang w:val="pl-PL"/>
              </w:rPr>
              <w:t>i</w:t>
            </w:r>
            <w:r w:rsidRPr="00E54A91">
              <w:rPr>
                <w:color w:val="000000" w:themeColor="text1"/>
                <w:w w:val="105"/>
              </w:rPr>
              <w:t xml:space="preserve">ą sieci przedsiębiorstwa energetycznego, które świadczy na rzecz podmiotu przyłączanego usługę </w:t>
            </w:r>
            <w:r>
              <w:rPr>
                <w:color w:val="484848"/>
                <w:w w:val="105"/>
              </w:rPr>
              <w:t>przesyłania lub dystrybucji energii elektrycznej</w:t>
            </w:r>
            <w:r w:rsidR="00402041">
              <w:rPr>
                <w:color w:val="484848"/>
                <w:w w:val="105"/>
                <w:lang w:val="pl-PL"/>
              </w:rPr>
              <w:t>.</w:t>
            </w:r>
          </w:p>
        </w:tc>
      </w:tr>
      <w:tr w:rsidR="00085EC5" w:rsidRPr="009F21BD" w14:paraId="362E5830" w14:textId="77777777" w:rsidTr="00A9381E">
        <w:tc>
          <w:tcPr>
            <w:tcW w:w="3261" w:type="dxa"/>
            <w:gridSpan w:val="2"/>
          </w:tcPr>
          <w:p w14:paraId="29D37E81" w14:textId="77777777" w:rsidR="00085EC5" w:rsidRPr="009F21BD" w:rsidRDefault="00085EC5" w:rsidP="00085EC5">
            <w:pPr>
              <w:pStyle w:val="styl0"/>
              <w:spacing w:before="120"/>
              <w:jc w:val="left"/>
              <w:rPr>
                <w:b/>
                <w:szCs w:val="24"/>
              </w:rPr>
            </w:pPr>
            <w:r w:rsidRPr="009F21BD">
              <w:rPr>
                <w:b/>
                <w:szCs w:val="24"/>
              </w:rPr>
              <w:t>Punkt dostarczania energii</w:t>
            </w:r>
          </w:p>
        </w:tc>
        <w:tc>
          <w:tcPr>
            <w:tcW w:w="6025" w:type="dxa"/>
          </w:tcPr>
          <w:p w14:paraId="31A8DCE0" w14:textId="77777777" w:rsidR="00085EC5" w:rsidRPr="009F21BD" w:rsidRDefault="00085EC5" w:rsidP="00085EC5">
            <w:pPr>
              <w:pStyle w:val="Default"/>
              <w:spacing w:before="120"/>
              <w:jc w:val="both"/>
              <w:rPr>
                <w:color w:val="auto"/>
              </w:rPr>
            </w:pPr>
            <w:r w:rsidRPr="009F21BD">
              <w:rPr>
                <w:color w:val="auto"/>
              </w:rPr>
              <w:t xml:space="preserve">Miejsce przyłączenia URD do sieci dystrybucyjnej poza obszarem Rynku Bilansującego, obejmujące jeden lub więcej fizycznych punktów przyłączenia do sieci, dla których realizowany jest proces bilansowania handlowego. </w:t>
            </w:r>
          </w:p>
        </w:tc>
      </w:tr>
      <w:tr w:rsidR="00085EC5" w:rsidRPr="004D0F8F" w14:paraId="3A6CFA50" w14:textId="77777777" w:rsidTr="00A9381E">
        <w:tc>
          <w:tcPr>
            <w:tcW w:w="3261" w:type="dxa"/>
            <w:gridSpan w:val="2"/>
            <w:shd w:val="clear" w:color="auto" w:fill="auto"/>
          </w:tcPr>
          <w:p w14:paraId="2AFA08F9" w14:textId="41329FF7" w:rsidR="00085EC5" w:rsidRPr="00C0321A" w:rsidRDefault="00085EC5" w:rsidP="00085EC5">
            <w:pPr>
              <w:pStyle w:val="styl0"/>
              <w:jc w:val="left"/>
              <w:rPr>
                <w:b/>
              </w:rPr>
            </w:pPr>
            <w:r w:rsidRPr="00C0321A">
              <w:rPr>
                <w:b/>
              </w:rPr>
              <w:lastRenderedPageBreak/>
              <w:t xml:space="preserve">Punkt </w:t>
            </w:r>
            <w:r>
              <w:rPr>
                <w:b/>
              </w:rPr>
              <w:t>p</w:t>
            </w:r>
            <w:r w:rsidRPr="00C0321A">
              <w:rPr>
                <w:b/>
              </w:rPr>
              <w:t xml:space="preserve">oboru </w:t>
            </w:r>
            <w:r>
              <w:rPr>
                <w:b/>
              </w:rPr>
              <w:t>e</w:t>
            </w:r>
            <w:r w:rsidRPr="00C0321A">
              <w:rPr>
                <w:b/>
              </w:rPr>
              <w:t>nergii</w:t>
            </w:r>
          </w:p>
        </w:tc>
        <w:tc>
          <w:tcPr>
            <w:tcW w:w="6025" w:type="dxa"/>
            <w:shd w:val="clear" w:color="auto" w:fill="auto"/>
          </w:tcPr>
          <w:p w14:paraId="553702A3" w14:textId="4E2F9AA6" w:rsidR="00085EC5" w:rsidRPr="004D0F8F" w:rsidRDefault="00085EC5" w:rsidP="00085EC5">
            <w:pPr>
              <w:tabs>
                <w:tab w:val="left" w:pos="3537"/>
              </w:tabs>
              <w:jc w:val="both"/>
              <w:rPr>
                <w:szCs w:val="24"/>
              </w:rPr>
            </w:pPr>
            <w:r>
              <w:rPr>
                <w:rFonts w:cs="Times New Roman"/>
                <w:color w:val="000000"/>
                <w:szCs w:val="24"/>
              </w:rPr>
              <w:t>Punkt pomiarowy w instalacji lub sieci, dla</w:t>
            </w:r>
            <w:r>
              <w:rPr>
                <w:rFonts w:cs="Times New Roman"/>
                <w:color w:val="000000"/>
                <w:spacing w:val="14"/>
                <w:szCs w:val="24"/>
              </w:rPr>
              <w:t xml:space="preserve"> </w:t>
            </w:r>
            <w:r>
              <w:rPr>
                <w:rFonts w:cs="Times New Roman"/>
                <w:color w:val="000000"/>
                <w:szCs w:val="24"/>
              </w:rPr>
              <w:t>którego dokonuje się rozliczeń oraz dla którego może nastąpić zmiana sprzedawcy.</w:t>
            </w:r>
          </w:p>
        </w:tc>
      </w:tr>
      <w:tr w:rsidR="0017266D" w:rsidRPr="004D0F8F" w14:paraId="3E7210C2" w14:textId="77777777" w:rsidTr="00A9381E">
        <w:tc>
          <w:tcPr>
            <w:tcW w:w="3261" w:type="dxa"/>
            <w:gridSpan w:val="2"/>
            <w:shd w:val="clear" w:color="auto" w:fill="auto"/>
          </w:tcPr>
          <w:p w14:paraId="0550911A" w14:textId="22751148" w:rsidR="0017266D" w:rsidRPr="00C0321A" w:rsidRDefault="0017266D" w:rsidP="00085EC5">
            <w:pPr>
              <w:pStyle w:val="styl0"/>
              <w:jc w:val="left"/>
              <w:rPr>
                <w:b/>
              </w:rPr>
            </w:pPr>
            <w:r>
              <w:rPr>
                <w:b/>
              </w:rPr>
              <w:t>Punkt pomiarowy (PP)</w:t>
            </w:r>
          </w:p>
        </w:tc>
        <w:tc>
          <w:tcPr>
            <w:tcW w:w="6025" w:type="dxa"/>
            <w:shd w:val="clear" w:color="auto" w:fill="auto"/>
          </w:tcPr>
          <w:p w14:paraId="7EDB4EFC" w14:textId="0E66982C" w:rsidR="0017266D" w:rsidRDefault="0017266D" w:rsidP="00A36213">
            <w:pPr>
              <w:pStyle w:val="Tekstpodstawowy"/>
              <w:tabs>
                <w:tab w:val="clear" w:pos="4536"/>
              </w:tabs>
              <w:spacing w:before="0" w:line="240" w:lineRule="auto"/>
              <w:ind w:left="-3" w:firstLine="3"/>
              <w:rPr>
                <w:szCs w:val="24"/>
              </w:rPr>
            </w:pPr>
            <w:r w:rsidRPr="0017266D">
              <w:rPr>
                <w:color w:val="000000" w:themeColor="text1"/>
                <w:w w:val="105"/>
              </w:rPr>
              <w:t>Miejsce</w:t>
            </w:r>
            <w:r>
              <w:rPr>
                <w:color w:val="000000" w:themeColor="text1"/>
                <w:w w:val="105"/>
                <w:lang w:val="pl-PL"/>
              </w:rPr>
              <w:t xml:space="preserve"> w </w:t>
            </w:r>
            <w:r w:rsidRPr="0017266D">
              <w:rPr>
                <w:color w:val="000000" w:themeColor="text1"/>
                <w:w w:val="105"/>
              </w:rPr>
              <w:t>urządzeniu</w:t>
            </w:r>
            <w:r>
              <w:rPr>
                <w:color w:val="000000" w:themeColor="text1"/>
                <w:w w:val="105"/>
                <w:lang w:val="pl-PL"/>
              </w:rPr>
              <w:t xml:space="preserve"> </w:t>
            </w:r>
            <w:r w:rsidRPr="0017266D">
              <w:rPr>
                <w:color w:val="000000" w:themeColor="text1"/>
                <w:w w:val="105"/>
              </w:rPr>
              <w:t>instalacji lub</w:t>
            </w:r>
            <w:r>
              <w:rPr>
                <w:color w:val="000000" w:themeColor="text1"/>
                <w:w w:val="105"/>
                <w:lang w:val="pl-PL"/>
              </w:rPr>
              <w:t xml:space="preserve"> </w:t>
            </w:r>
            <w:r w:rsidRPr="0017266D">
              <w:rPr>
                <w:color w:val="000000" w:themeColor="text1"/>
                <w:w w:val="105"/>
              </w:rPr>
              <w:t>sieci elektroenergetycznej,</w:t>
            </w:r>
            <w:r>
              <w:rPr>
                <w:color w:val="000000" w:themeColor="text1"/>
                <w:w w:val="105"/>
                <w:lang w:val="pl-PL"/>
              </w:rPr>
              <w:t xml:space="preserve"> </w:t>
            </w:r>
            <w:r w:rsidRPr="0017266D">
              <w:rPr>
                <w:b/>
                <w:color w:val="000000" w:themeColor="text1"/>
                <w:w w:val="105"/>
              </w:rPr>
              <w:tab/>
            </w:r>
            <w:r w:rsidRPr="0017266D">
              <w:rPr>
                <w:color w:val="000000" w:themeColor="text1"/>
                <w:w w:val="105"/>
              </w:rPr>
              <w:t>w którym dokonuje się pomiaru lub wyznaczenia wielkości fizycznych dotyczących energii</w:t>
            </w:r>
            <w:r w:rsidRPr="0017266D">
              <w:rPr>
                <w:color w:val="000000" w:themeColor="text1"/>
                <w:spacing w:val="49"/>
                <w:w w:val="105"/>
              </w:rPr>
              <w:t xml:space="preserve"> </w:t>
            </w:r>
            <w:r w:rsidRPr="0017266D">
              <w:rPr>
                <w:color w:val="000000" w:themeColor="text1"/>
                <w:w w:val="105"/>
              </w:rPr>
              <w:t>elektrycznej.</w:t>
            </w:r>
          </w:p>
        </w:tc>
      </w:tr>
      <w:tr w:rsidR="005D0FF8" w:rsidRPr="004D0F8F" w14:paraId="7E75D7E1" w14:textId="77777777" w:rsidTr="00A9381E">
        <w:tc>
          <w:tcPr>
            <w:tcW w:w="3261" w:type="dxa"/>
            <w:gridSpan w:val="2"/>
            <w:shd w:val="clear" w:color="auto" w:fill="auto"/>
          </w:tcPr>
          <w:p w14:paraId="61F96BEA" w14:textId="75A52FE0" w:rsidR="005D0FF8" w:rsidRDefault="005D0FF8" w:rsidP="00085EC5">
            <w:pPr>
              <w:pStyle w:val="styl0"/>
              <w:jc w:val="left"/>
              <w:rPr>
                <w:b/>
              </w:rPr>
            </w:pPr>
            <w:r>
              <w:rPr>
                <w:b/>
              </w:rPr>
              <w:t>Punkt pomiarowy – licznik bilansujący (PPB)</w:t>
            </w:r>
          </w:p>
        </w:tc>
        <w:tc>
          <w:tcPr>
            <w:tcW w:w="6025" w:type="dxa"/>
            <w:shd w:val="clear" w:color="auto" w:fill="auto"/>
          </w:tcPr>
          <w:p w14:paraId="38ADCBF2" w14:textId="34B166D4" w:rsidR="005D0FF8" w:rsidRPr="0017266D" w:rsidRDefault="002A0AB8" w:rsidP="002A0AB8">
            <w:pPr>
              <w:pStyle w:val="Tekstpodstawowy"/>
              <w:tabs>
                <w:tab w:val="clear" w:pos="4536"/>
              </w:tabs>
              <w:spacing w:before="0" w:line="240" w:lineRule="auto"/>
              <w:ind w:right="72" w:firstLine="4"/>
              <w:rPr>
                <w:color w:val="000000" w:themeColor="text1"/>
                <w:w w:val="105"/>
              </w:rPr>
            </w:pPr>
            <w:r w:rsidRPr="002A0AB8">
              <w:rPr>
                <w:color w:val="000000" w:themeColor="text1"/>
                <w:w w:val="105"/>
              </w:rPr>
              <w:t>Punkt pomiarowy w sieci, w którym dokonuje się pomiaru lub wyznaczenia wielkości fizycznych dotyczących energii elektrycznej dla stacji elektroenergetycznej transformującej średnie napięcie na niskie (SN/nN), stanowiącej element sieci</w:t>
            </w:r>
            <w:r w:rsidRPr="002A0AB8">
              <w:rPr>
                <w:color w:val="000000" w:themeColor="text1"/>
                <w:w w:val="105"/>
                <w:lang w:val="pl-PL"/>
              </w:rPr>
              <w:t xml:space="preserve"> </w:t>
            </w:r>
            <w:r>
              <w:rPr>
                <w:color w:val="000000" w:themeColor="text1"/>
                <w:w w:val="105"/>
                <w:lang w:val="pl-PL"/>
              </w:rPr>
              <w:t>dystrybucyjnej OSDn.</w:t>
            </w:r>
          </w:p>
        </w:tc>
      </w:tr>
      <w:tr w:rsidR="00283588" w:rsidRPr="004D0F8F" w14:paraId="3D815064" w14:textId="77777777" w:rsidTr="00A9381E">
        <w:tc>
          <w:tcPr>
            <w:tcW w:w="3261" w:type="dxa"/>
            <w:gridSpan w:val="2"/>
            <w:shd w:val="clear" w:color="auto" w:fill="auto"/>
          </w:tcPr>
          <w:p w14:paraId="420720AF" w14:textId="712B6B18" w:rsidR="00283588" w:rsidRDefault="00283588" w:rsidP="00085EC5">
            <w:pPr>
              <w:pStyle w:val="styl0"/>
              <w:jc w:val="left"/>
              <w:rPr>
                <w:b/>
              </w:rPr>
            </w:pPr>
            <w:r>
              <w:rPr>
                <w:b/>
              </w:rPr>
              <w:t>Punkt pomiarowy – inny (PPI)</w:t>
            </w:r>
          </w:p>
        </w:tc>
        <w:tc>
          <w:tcPr>
            <w:tcW w:w="6025" w:type="dxa"/>
            <w:shd w:val="clear" w:color="auto" w:fill="auto"/>
          </w:tcPr>
          <w:p w14:paraId="267DA720" w14:textId="74F383BC" w:rsidR="00283588" w:rsidRPr="00283588" w:rsidRDefault="00283588" w:rsidP="002A0AB8">
            <w:pPr>
              <w:pStyle w:val="Tekstpodstawowy"/>
              <w:tabs>
                <w:tab w:val="clear" w:pos="4536"/>
              </w:tabs>
              <w:spacing w:before="0" w:line="240" w:lineRule="auto"/>
              <w:ind w:right="72" w:firstLine="4"/>
              <w:rPr>
                <w:color w:val="000000" w:themeColor="text1"/>
                <w:w w:val="105"/>
                <w:lang w:val="pl-PL"/>
              </w:rPr>
            </w:pPr>
            <w:r>
              <w:rPr>
                <w:color w:val="000000" w:themeColor="text1"/>
                <w:w w:val="105"/>
                <w:lang w:val="pl-PL"/>
              </w:rPr>
              <w:t xml:space="preserve">Punkt pomiarowy w urządzeniu, instalacji lub sieci, </w:t>
            </w:r>
            <w:r w:rsidR="002525B5">
              <w:rPr>
                <w:color w:val="000000" w:themeColor="text1"/>
                <w:w w:val="105"/>
                <w:lang w:val="pl-PL"/>
              </w:rPr>
              <w:br/>
            </w:r>
            <w:r>
              <w:rPr>
                <w:color w:val="000000" w:themeColor="text1"/>
                <w:w w:val="105"/>
                <w:lang w:val="pl-PL"/>
              </w:rPr>
              <w:t>w którym dokonuje się pomiaru lub wyznaczenia wielkości fizycznych dotyczących energii elektrycznej, niebędących PPB albo PPE albo PPW</w:t>
            </w:r>
            <w:r w:rsidR="002525B5">
              <w:rPr>
                <w:color w:val="000000" w:themeColor="text1"/>
                <w:w w:val="105"/>
                <w:lang w:val="pl-PL"/>
              </w:rPr>
              <w:t>.</w:t>
            </w:r>
          </w:p>
        </w:tc>
      </w:tr>
      <w:tr w:rsidR="003E30E5" w:rsidRPr="004D0F8F" w14:paraId="6AE278DD" w14:textId="77777777" w:rsidTr="00A9381E">
        <w:tc>
          <w:tcPr>
            <w:tcW w:w="3261" w:type="dxa"/>
            <w:gridSpan w:val="2"/>
            <w:shd w:val="clear" w:color="auto" w:fill="auto"/>
          </w:tcPr>
          <w:p w14:paraId="38D2550C" w14:textId="749B3867" w:rsidR="003E30E5" w:rsidRDefault="003E30E5" w:rsidP="00085EC5">
            <w:pPr>
              <w:pStyle w:val="styl0"/>
              <w:jc w:val="left"/>
              <w:rPr>
                <w:b/>
              </w:rPr>
            </w:pPr>
            <w:r>
              <w:rPr>
                <w:b/>
              </w:rPr>
              <w:t>Punkt pomiarowy – Punkt wymiany (PPW)</w:t>
            </w:r>
          </w:p>
        </w:tc>
        <w:tc>
          <w:tcPr>
            <w:tcW w:w="6025" w:type="dxa"/>
            <w:shd w:val="clear" w:color="auto" w:fill="auto"/>
          </w:tcPr>
          <w:p w14:paraId="7815797C" w14:textId="7EA6430C" w:rsidR="003E30E5" w:rsidRDefault="00E31924" w:rsidP="002A0AB8">
            <w:pPr>
              <w:pStyle w:val="Tekstpodstawowy"/>
              <w:tabs>
                <w:tab w:val="clear" w:pos="4536"/>
              </w:tabs>
              <w:spacing w:before="0" w:line="240" w:lineRule="auto"/>
              <w:ind w:right="72" w:firstLine="4"/>
              <w:rPr>
                <w:color w:val="000000" w:themeColor="text1"/>
                <w:w w:val="105"/>
                <w:lang w:val="pl-PL"/>
              </w:rPr>
            </w:pPr>
            <w:r>
              <w:rPr>
                <w:color w:val="000000" w:themeColor="text1"/>
                <w:w w:val="105"/>
                <w:lang w:val="pl-PL"/>
              </w:rPr>
              <w:t>Punkt pomiarowy w sieci, w którym dokonuje się pomiaru wielkości fizycznych dotyczących energii elektrycznej na granicy obszarów sieci elektroenergetycznych OSDp.</w:t>
            </w:r>
          </w:p>
        </w:tc>
      </w:tr>
      <w:tr w:rsidR="00085EC5" w:rsidRPr="009F21BD" w14:paraId="00D6FEA2" w14:textId="77777777" w:rsidTr="00A9381E">
        <w:tc>
          <w:tcPr>
            <w:tcW w:w="3261" w:type="dxa"/>
            <w:gridSpan w:val="2"/>
          </w:tcPr>
          <w:p w14:paraId="01CB9367" w14:textId="77777777" w:rsidR="00085EC5" w:rsidRPr="009F21BD" w:rsidRDefault="00085EC5" w:rsidP="00085EC5">
            <w:pPr>
              <w:pStyle w:val="styl0"/>
              <w:spacing w:before="120"/>
              <w:jc w:val="left"/>
              <w:rPr>
                <w:b/>
              </w:rPr>
            </w:pPr>
            <w:r w:rsidRPr="009F21BD">
              <w:rPr>
                <w:b/>
              </w:rPr>
              <w:t>Regulacyjne usługi systemowe</w:t>
            </w:r>
          </w:p>
        </w:tc>
        <w:tc>
          <w:tcPr>
            <w:tcW w:w="6025" w:type="dxa"/>
          </w:tcPr>
          <w:p w14:paraId="79E27CB4" w14:textId="77777777" w:rsidR="00085EC5" w:rsidRPr="009F21BD" w:rsidRDefault="00085EC5" w:rsidP="00085EC5">
            <w:pPr>
              <w:pStyle w:val="styl0"/>
              <w:spacing w:before="120"/>
              <w:rPr>
                <w:szCs w:val="24"/>
              </w:rPr>
            </w:pPr>
            <w:r w:rsidRPr="009F21BD">
              <w:rPr>
                <w:szCs w:val="24"/>
              </w:rPr>
              <w:t>Usługi świadczone przez podmioty na rzecz operatora systemu przesyłowego, umożliwiające operatorowi systemu przesyłowego świadczenie usług systemowych, niezbędne do prawidłowego funkcjonowania KSE, zapewniające zachowanie określonych wartości parametrów niezawodnościowych.</w:t>
            </w:r>
          </w:p>
        </w:tc>
      </w:tr>
      <w:tr w:rsidR="00572FE9" w:rsidRPr="009F21BD" w14:paraId="6BD81236" w14:textId="77777777" w:rsidTr="00A9381E">
        <w:tc>
          <w:tcPr>
            <w:tcW w:w="3261" w:type="dxa"/>
            <w:gridSpan w:val="2"/>
          </w:tcPr>
          <w:p w14:paraId="0EA563A2" w14:textId="1DFFD6D8" w:rsidR="00572FE9" w:rsidRPr="008A6CD3" w:rsidRDefault="00572FE9" w:rsidP="008A6CD3">
            <w:pPr>
              <w:pStyle w:val="styl0"/>
              <w:spacing w:before="120"/>
              <w:rPr>
                <w:b/>
                <w:color w:val="000000" w:themeColor="text1"/>
              </w:rPr>
            </w:pPr>
            <w:r w:rsidRPr="008A6CD3">
              <w:rPr>
                <w:b/>
                <w:color w:val="000000" w:themeColor="text1"/>
              </w:rPr>
              <w:t>Reprezentant prosumentów</w:t>
            </w:r>
          </w:p>
        </w:tc>
        <w:tc>
          <w:tcPr>
            <w:tcW w:w="6025" w:type="dxa"/>
          </w:tcPr>
          <w:p w14:paraId="79EBF30C" w14:textId="4E807168" w:rsidR="00572FE9" w:rsidRPr="008A6CD3" w:rsidRDefault="008A6CD3" w:rsidP="008A6CD3">
            <w:pPr>
              <w:pStyle w:val="styl0"/>
              <w:spacing w:before="120"/>
              <w:rPr>
                <w:color w:val="000000" w:themeColor="text1"/>
                <w:szCs w:val="24"/>
              </w:rPr>
            </w:pPr>
            <w:r w:rsidRPr="008A6CD3">
              <w:rPr>
                <w:color w:val="000000" w:themeColor="text1"/>
                <w:w w:val="105"/>
              </w:rPr>
              <w:t xml:space="preserve">Osoba fizyczna, osoba prawna lub jednostka organizacyjna niebędąca osobą prawną, której ustawa przyznaje zdolność prawną, uprawnioną na podstawie umowy, o której mowa w art. 4a ust. </w:t>
            </w:r>
            <w:r w:rsidRPr="008A6CD3">
              <w:rPr>
                <w:color w:val="000000" w:themeColor="text1"/>
                <w:w w:val="105"/>
                <w:sz w:val="21"/>
              </w:rPr>
              <w:t xml:space="preserve">1 </w:t>
            </w:r>
            <w:r w:rsidRPr="008A6CD3">
              <w:rPr>
                <w:color w:val="000000" w:themeColor="text1"/>
                <w:w w:val="105"/>
              </w:rPr>
              <w:t xml:space="preserve">Ustawy OZE, do reprezentacji prosumentów wirtualnych energii odnawialnej lub prosumentów zbiorowych energii odnawialnej, w szczególności </w:t>
            </w:r>
            <w:r>
              <w:rPr>
                <w:color w:val="000000" w:themeColor="text1"/>
                <w:w w:val="105"/>
              </w:rPr>
              <w:br/>
            </w:r>
            <w:r w:rsidRPr="008A6CD3">
              <w:rPr>
                <w:color w:val="000000" w:themeColor="text1"/>
                <w:w w:val="105"/>
              </w:rPr>
              <w:t>w relacjach z operatorem systemu dystrybucyjnego elektroenergetycznego, zarządcą budynku wielolokalowego lub organami administracji</w:t>
            </w:r>
            <w:r w:rsidRPr="008A6CD3">
              <w:rPr>
                <w:color w:val="000000" w:themeColor="text1"/>
                <w:w w:val="105"/>
              </w:rPr>
              <w:tab/>
            </w:r>
            <w:r w:rsidRPr="008A6CD3">
              <w:rPr>
                <w:color w:val="000000" w:themeColor="text1"/>
                <w:spacing w:val="-1"/>
                <w:w w:val="105"/>
              </w:rPr>
              <w:t xml:space="preserve">architektoniczno-budowlanej, </w:t>
            </w:r>
            <w:r w:rsidRPr="008A6CD3">
              <w:rPr>
                <w:color w:val="000000" w:themeColor="text1"/>
                <w:w w:val="105"/>
              </w:rPr>
              <w:t>a w przypadku prosumenta wirtualnego energii odnawialnej - także podmiotem odpowiedzialnym za bilansowanie</w:t>
            </w:r>
            <w:r w:rsidRPr="008A6CD3">
              <w:rPr>
                <w:color w:val="000000" w:themeColor="text1"/>
                <w:spacing w:val="20"/>
                <w:w w:val="105"/>
              </w:rPr>
              <w:t xml:space="preserve"> </w:t>
            </w:r>
            <w:r w:rsidRPr="008A6CD3">
              <w:rPr>
                <w:color w:val="000000" w:themeColor="text1"/>
                <w:w w:val="105"/>
              </w:rPr>
              <w:t>handlowe</w:t>
            </w:r>
            <w:r>
              <w:rPr>
                <w:color w:val="000000" w:themeColor="text1"/>
                <w:w w:val="105"/>
              </w:rPr>
              <w:t>.</w:t>
            </w:r>
          </w:p>
        </w:tc>
      </w:tr>
      <w:tr w:rsidR="00085EC5" w:rsidRPr="009F21BD" w14:paraId="0D056681" w14:textId="77777777" w:rsidTr="00A9381E">
        <w:tc>
          <w:tcPr>
            <w:tcW w:w="3261" w:type="dxa"/>
            <w:gridSpan w:val="2"/>
          </w:tcPr>
          <w:p w14:paraId="52F32CFF" w14:textId="77777777" w:rsidR="00085EC5" w:rsidRPr="009F21BD" w:rsidRDefault="00085EC5" w:rsidP="00085EC5">
            <w:pPr>
              <w:pStyle w:val="styl0"/>
              <w:spacing w:before="120"/>
              <w:rPr>
                <w:b/>
                <w:szCs w:val="24"/>
              </w:rPr>
            </w:pPr>
            <w:r w:rsidRPr="009F21BD">
              <w:rPr>
                <w:b/>
                <w:szCs w:val="24"/>
              </w:rPr>
              <w:t>Rezerwa mocy</w:t>
            </w:r>
          </w:p>
        </w:tc>
        <w:tc>
          <w:tcPr>
            <w:tcW w:w="6025" w:type="dxa"/>
          </w:tcPr>
          <w:p w14:paraId="5612098E" w14:textId="77777777" w:rsidR="00085EC5" w:rsidRPr="009F21BD" w:rsidRDefault="00085EC5" w:rsidP="00085EC5">
            <w:pPr>
              <w:pStyle w:val="Default"/>
              <w:spacing w:before="120"/>
              <w:jc w:val="both"/>
              <w:rPr>
                <w:color w:val="auto"/>
              </w:rPr>
            </w:pPr>
            <w:r w:rsidRPr="009F21BD">
              <w:rPr>
                <w:color w:val="auto"/>
              </w:rPr>
              <w:t xml:space="preserve">Możliwa do wykorzystania w danym okresie, zdolność jednostek wytwórczych do wytwarzania energii elektrycznej i dostarczania jej do sieci. </w:t>
            </w:r>
          </w:p>
        </w:tc>
      </w:tr>
      <w:tr w:rsidR="00DC456C" w:rsidRPr="009F21BD" w14:paraId="390D8674" w14:textId="77777777" w:rsidTr="00A9381E">
        <w:tc>
          <w:tcPr>
            <w:tcW w:w="3261" w:type="dxa"/>
            <w:gridSpan w:val="2"/>
          </w:tcPr>
          <w:p w14:paraId="37D1D3FF" w14:textId="6B9C6770" w:rsidR="00DC456C" w:rsidRPr="009F21BD" w:rsidRDefault="00DC456C" w:rsidP="00085EC5">
            <w:pPr>
              <w:pStyle w:val="styl0"/>
              <w:spacing w:before="120"/>
              <w:rPr>
                <w:b/>
                <w:szCs w:val="24"/>
              </w:rPr>
            </w:pPr>
            <w:r>
              <w:rPr>
                <w:b/>
                <w:szCs w:val="24"/>
              </w:rPr>
              <w:t>Rozporządzenie pomiarowe</w:t>
            </w:r>
          </w:p>
        </w:tc>
        <w:tc>
          <w:tcPr>
            <w:tcW w:w="6025" w:type="dxa"/>
          </w:tcPr>
          <w:p w14:paraId="07BEAD5D" w14:textId="1D9CEFCC" w:rsidR="00DC456C" w:rsidRPr="009F21BD" w:rsidRDefault="00DC456C" w:rsidP="00085EC5">
            <w:pPr>
              <w:pStyle w:val="Default"/>
              <w:spacing w:before="120"/>
              <w:jc w:val="both"/>
              <w:rPr>
                <w:color w:val="auto"/>
              </w:rPr>
            </w:pPr>
            <w:r>
              <w:rPr>
                <w:color w:val="auto"/>
              </w:rPr>
              <w:t xml:space="preserve">Rozporządzenie Ministra Klimatu i Środowiska z dnia </w:t>
            </w:r>
            <w:r w:rsidR="00BB46E7">
              <w:rPr>
                <w:color w:val="auto"/>
              </w:rPr>
              <w:br/>
            </w:r>
            <w:r>
              <w:rPr>
                <w:color w:val="auto"/>
              </w:rPr>
              <w:t>22 marca 2022 r. w sprawie systemu pomiarowego</w:t>
            </w:r>
            <w:r w:rsidR="005F1248">
              <w:rPr>
                <w:color w:val="auto"/>
              </w:rPr>
              <w:t xml:space="preserve"> (Dz. U. </w:t>
            </w:r>
            <w:r w:rsidR="00BB46E7">
              <w:rPr>
                <w:color w:val="auto"/>
              </w:rPr>
              <w:br/>
            </w:r>
            <w:r w:rsidR="005F1248">
              <w:rPr>
                <w:color w:val="auto"/>
              </w:rPr>
              <w:t>z 2022 r. poz. 788).</w:t>
            </w:r>
            <w:r>
              <w:rPr>
                <w:color w:val="auto"/>
              </w:rPr>
              <w:t xml:space="preserve"> </w:t>
            </w:r>
          </w:p>
        </w:tc>
      </w:tr>
      <w:tr w:rsidR="00030C7B" w:rsidRPr="009F21BD" w14:paraId="27C18DBC" w14:textId="77777777" w:rsidTr="00A9381E">
        <w:tc>
          <w:tcPr>
            <w:tcW w:w="3261" w:type="dxa"/>
            <w:gridSpan w:val="2"/>
          </w:tcPr>
          <w:p w14:paraId="0DE0D1CA" w14:textId="6B66C9DA" w:rsidR="00030C7B" w:rsidRDefault="00030C7B" w:rsidP="00085EC5">
            <w:pPr>
              <w:pStyle w:val="styl0"/>
              <w:spacing w:before="120"/>
              <w:rPr>
                <w:b/>
                <w:szCs w:val="24"/>
              </w:rPr>
            </w:pPr>
            <w:r>
              <w:rPr>
                <w:b/>
                <w:szCs w:val="24"/>
              </w:rPr>
              <w:t>Rozporządzenie taryfowe</w:t>
            </w:r>
          </w:p>
        </w:tc>
        <w:tc>
          <w:tcPr>
            <w:tcW w:w="6025" w:type="dxa"/>
          </w:tcPr>
          <w:p w14:paraId="04DCDAC6" w14:textId="03B04501" w:rsidR="00030C7B" w:rsidRDefault="00030C7B" w:rsidP="00030C7B">
            <w:pPr>
              <w:pStyle w:val="Tekstpodstawowy"/>
              <w:spacing w:before="152" w:line="240" w:lineRule="auto"/>
              <w:ind w:hanging="1"/>
              <w:rPr>
                <w:color w:val="auto"/>
              </w:rPr>
            </w:pPr>
            <w:r w:rsidRPr="00030C7B">
              <w:rPr>
                <w:color w:val="000000" w:themeColor="text1"/>
                <w:w w:val="105"/>
              </w:rPr>
              <w:t xml:space="preserve">Rozporządzenie Ministra Klimatu i Środowiska z dnia 29 listopada  2022   r.  w   sprawie   sposobu   kształtowania </w:t>
            </w:r>
            <w:r w:rsidR="009E5109">
              <w:rPr>
                <w:color w:val="000000" w:themeColor="text1"/>
                <w:w w:val="105"/>
              </w:rPr>
              <w:br/>
            </w:r>
            <w:r w:rsidRPr="00030C7B">
              <w:rPr>
                <w:color w:val="000000" w:themeColor="text1"/>
                <w:w w:val="105"/>
              </w:rPr>
              <w:t>i</w:t>
            </w:r>
            <w:r w:rsidRPr="00030C7B">
              <w:rPr>
                <w:color w:val="000000" w:themeColor="text1"/>
                <w:spacing w:val="-17"/>
                <w:w w:val="105"/>
              </w:rPr>
              <w:t xml:space="preserve"> </w:t>
            </w:r>
            <w:r w:rsidRPr="00030C7B">
              <w:rPr>
                <w:color w:val="000000" w:themeColor="text1"/>
                <w:w w:val="105"/>
              </w:rPr>
              <w:t>kalkulacji</w:t>
            </w:r>
            <w:r w:rsidRPr="00030C7B">
              <w:rPr>
                <w:color w:val="000000" w:themeColor="text1"/>
                <w:spacing w:val="-9"/>
                <w:w w:val="105"/>
              </w:rPr>
              <w:t xml:space="preserve"> </w:t>
            </w:r>
            <w:r w:rsidRPr="00030C7B">
              <w:rPr>
                <w:color w:val="000000" w:themeColor="text1"/>
                <w:w w:val="105"/>
              </w:rPr>
              <w:t>taryf</w:t>
            </w:r>
            <w:r w:rsidRPr="00030C7B">
              <w:rPr>
                <w:color w:val="000000" w:themeColor="text1"/>
                <w:spacing w:val="-20"/>
                <w:w w:val="105"/>
              </w:rPr>
              <w:t xml:space="preserve"> </w:t>
            </w:r>
            <w:r w:rsidRPr="00030C7B">
              <w:rPr>
                <w:color w:val="000000" w:themeColor="text1"/>
                <w:w w:val="105"/>
              </w:rPr>
              <w:t>oraz</w:t>
            </w:r>
            <w:r w:rsidRPr="00030C7B">
              <w:rPr>
                <w:color w:val="000000" w:themeColor="text1"/>
                <w:spacing w:val="-24"/>
                <w:w w:val="105"/>
              </w:rPr>
              <w:t xml:space="preserve"> </w:t>
            </w:r>
            <w:r w:rsidRPr="00030C7B">
              <w:rPr>
                <w:color w:val="000000" w:themeColor="text1"/>
                <w:w w:val="105"/>
              </w:rPr>
              <w:t>sposobu</w:t>
            </w:r>
            <w:r w:rsidRPr="00030C7B">
              <w:rPr>
                <w:color w:val="000000" w:themeColor="text1"/>
                <w:spacing w:val="-7"/>
                <w:w w:val="105"/>
              </w:rPr>
              <w:t xml:space="preserve"> </w:t>
            </w:r>
            <w:r w:rsidRPr="00030C7B">
              <w:rPr>
                <w:color w:val="000000" w:themeColor="text1"/>
                <w:w w:val="105"/>
              </w:rPr>
              <w:t>rozliczeń</w:t>
            </w:r>
            <w:r w:rsidRPr="00030C7B">
              <w:rPr>
                <w:color w:val="000000" w:themeColor="text1"/>
                <w:spacing w:val="-8"/>
                <w:w w:val="105"/>
              </w:rPr>
              <w:t xml:space="preserve"> </w:t>
            </w:r>
            <w:r w:rsidRPr="00030C7B">
              <w:rPr>
                <w:color w:val="000000" w:themeColor="text1"/>
                <w:w w:val="105"/>
              </w:rPr>
              <w:t>w</w:t>
            </w:r>
            <w:r w:rsidRPr="00030C7B">
              <w:rPr>
                <w:color w:val="000000" w:themeColor="text1"/>
                <w:spacing w:val="-21"/>
                <w:w w:val="105"/>
              </w:rPr>
              <w:t xml:space="preserve"> </w:t>
            </w:r>
            <w:r w:rsidRPr="00030C7B">
              <w:rPr>
                <w:color w:val="000000" w:themeColor="text1"/>
                <w:w w:val="105"/>
              </w:rPr>
              <w:t>obrocie</w:t>
            </w:r>
            <w:r w:rsidRPr="00030C7B">
              <w:rPr>
                <w:color w:val="000000" w:themeColor="text1"/>
                <w:spacing w:val="-13"/>
                <w:w w:val="105"/>
              </w:rPr>
              <w:t xml:space="preserve"> </w:t>
            </w:r>
            <w:r w:rsidRPr="00030C7B">
              <w:rPr>
                <w:color w:val="000000" w:themeColor="text1"/>
                <w:w w:val="105"/>
              </w:rPr>
              <w:t xml:space="preserve">energią </w:t>
            </w:r>
            <w:r w:rsidRPr="00030C7B">
              <w:rPr>
                <w:color w:val="000000" w:themeColor="text1"/>
                <w:w w:val="105"/>
              </w:rPr>
              <w:lastRenderedPageBreak/>
              <w:t>elektryczną (Dz. U. z 2022 r., poz. 2505 z późniejszymi zmianami).</w:t>
            </w:r>
          </w:p>
        </w:tc>
      </w:tr>
      <w:tr w:rsidR="00085EC5" w:rsidRPr="009F21BD" w14:paraId="5A70B3EE" w14:textId="77777777" w:rsidTr="00A9381E">
        <w:tc>
          <w:tcPr>
            <w:tcW w:w="3261" w:type="dxa"/>
            <w:gridSpan w:val="2"/>
          </w:tcPr>
          <w:p w14:paraId="233A1524" w14:textId="77777777" w:rsidR="00085EC5" w:rsidRPr="009F21BD" w:rsidRDefault="00085EC5" w:rsidP="00085EC5">
            <w:pPr>
              <w:pStyle w:val="styl0"/>
              <w:spacing w:before="120"/>
              <w:rPr>
                <w:b/>
                <w:szCs w:val="24"/>
              </w:rPr>
            </w:pPr>
            <w:r w:rsidRPr="009F21BD">
              <w:rPr>
                <w:b/>
                <w:szCs w:val="24"/>
              </w:rPr>
              <w:lastRenderedPageBreak/>
              <w:t>Ruch próbny</w:t>
            </w:r>
          </w:p>
        </w:tc>
        <w:tc>
          <w:tcPr>
            <w:tcW w:w="6025" w:type="dxa"/>
          </w:tcPr>
          <w:p w14:paraId="0649DB5A" w14:textId="77777777" w:rsidR="00085EC5" w:rsidRPr="009F21BD" w:rsidRDefault="00085EC5" w:rsidP="00085EC5">
            <w:pPr>
              <w:pStyle w:val="Default"/>
              <w:spacing w:before="120"/>
              <w:jc w:val="both"/>
              <w:rPr>
                <w:color w:val="auto"/>
              </w:rPr>
            </w:pPr>
            <w:r w:rsidRPr="009F21BD">
              <w:rPr>
                <w:color w:val="auto"/>
              </w:rPr>
              <w:t xml:space="preserve">Nieprzerwana praca uruchamianych urządzeń, instalacji lub sieci, przez okres co najmniej 72 godzin, z parametrami pracy określonymi przez operatora systemu dystrybucyjnego. </w:t>
            </w:r>
          </w:p>
        </w:tc>
      </w:tr>
      <w:tr w:rsidR="00085EC5" w:rsidRPr="009F21BD" w14:paraId="6248590B" w14:textId="77777777" w:rsidTr="00A9381E">
        <w:tc>
          <w:tcPr>
            <w:tcW w:w="3261" w:type="dxa"/>
            <w:gridSpan w:val="2"/>
          </w:tcPr>
          <w:p w14:paraId="30B3A00E" w14:textId="77777777" w:rsidR="00085EC5" w:rsidRPr="009F21BD" w:rsidRDefault="00085EC5" w:rsidP="00085EC5">
            <w:pPr>
              <w:pStyle w:val="styl0"/>
              <w:spacing w:before="120"/>
              <w:rPr>
                <w:b/>
                <w:szCs w:val="24"/>
              </w:rPr>
            </w:pPr>
            <w:r w:rsidRPr="009F21BD">
              <w:rPr>
                <w:b/>
                <w:szCs w:val="24"/>
              </w:rPr>
              <w:t>Ruch sieciowy</w:t>
            </w:r>
          </w:p>
        </w:tc>
        <w:tc>
          <w:tcPr>
            <w:tcW w:w="6025" w:type="dxa"/>
          </w:tcPr>
          <w:p w14:paraId="761016D1" w14:textId="77777777" w:rsidR="00085EC5" w:rsidRPr="009F21BD" w:rsidRDefault="00085EC5" w:rsidP="00085EC5">
            <w:pPr>
              <w:pStyle w:val="Default"/>
              <w:spacing w:before="120"/>
              <w:jc w:val="both"/>
              <w:rPr>
                <w:color w:val="auto"/>
              </w:rPr>
            </w:pPr>
            <w:r w:rsidRPr="009F21BD">
              <w:rPr>
                <w:color w:val="auto"/>
              </w:rPr>
              <w:t xml:space="preserve">Sterowanie pracą sieci. </w:t>
            </w:r>
          </w:p>
        </w:tc>
      </w:tr>
      <w:tr w:rsidR="00085EC5" w:rsidRPr="009F21BD" w14:paraId="3C69B028" w14:textId="77777777" w:rsidTr="00A9381E">
        <w:tc>
          <w:tcPr>
            <w:tcW w:w="3261" w:type="dxa"/>
            <w:gridSpan w:val="2"/>
          </w:tcPr>
          <w:p w14:paraId="0C8CE46C" w14:textId="77777777" w:rsidR="00085EC5" w:rsidRPr="009F21BD" w:rsidRDefault="00085EC5" w:rsidP="00085EC5">
            <w:pPr>
              <w:pStyle w:val="styl0"/>
              <w:spacing w:before="120"/>
              <w:rPr>
                <w:b/>
              </w:rPr>
            </w:pPr>
            <w:r w:rsidRPr="009F21BD">
              <w:rPr>
                <w:b/>
              </w:rPr>
              <w:t>Rynek bilansujący</w:t>
            </w:r>
          </w:p>
        </w:tc>
        <w:tc>
          <w:tcPr>
            <w:tcW w:w="6025" w:type="dxa"/>
          </w:tcPr>
          <w:p w14:paraId="1423CC84" w14:textId="77777777" w:rsidR="00085EC5" w:rsidRPr="009F21BD" w:rsidRDefault="00085EC5" w:rsidP="00085EC5">
            <w:pPr>
              <w:pStyle w:val="styl0"/>
              <w:spacing w:before="120"/>
              <w:rPr>
                <w:szCs w:val="24"/>
              </w:rPr>
            </w:pPr>
            <w:r w:rsidRPr="006B0562">
              <w:rPr>
                <w:szCs w:val="24"/>
              </w:rPr>
              <w:t xml:space="preserve">Wszystkie ustalenia instytucjonalne, handlowe </w:t>
            </w:r>
            <w:r>
              <w:rPr>
                <w:szCs w:val="24"/>
              </w:rPr>
              <w:br/>
            </w:r>
            <w:r w:rsidRPr="006B0562">
              <w:rPr>
                <w:szCs w:val="24"/>
              </w:rPr>
              <w:t xml:space="preserve">i operacyjne ustanawiające rynkowe zarządzanie bilansowaniem co jest realizowane za pomocą </w:t>
            </w:r>
            <w:r>
              <w:rPr>
                <w:szCs w:val="24"/>
              </w:rPr>
              <w:t>mechanizmu bieżącego bilansowania zapotrzebowania na energię elektryczną i wytwarzania tej energii w KSE</w:t>
            </w:r>
            <w:r w:rsidRPr="009F21BD">
              <w:rPr>
                <w:szCs w:val="24"/>
              </w:rPr>
              <w:t>.</w:t>
            </w:r>
          </w:p>
        </w:tc>
      </w:tr>
      <w:tr w:rsidR="00085EC5" w:rsidRPr="009F21BD" w14:paraId="3A9483AA" w14:textId="77777777" w:rsidTr="00A9381E">
        <w:tc>
          <w:tcPr>
            <w:tcW w:w="3261" w:type="dxa"/>
            <w:gridSpan w:val="2"/>
          </w:tcPr>
          <w:p w14:paraId="3D97BDF5" w14:textId="77777777" w:rsidR="00085EC5" w:rsidRPr="009F21BD" w:rsidRDefault="00085EC5" w:rsidP="00085EC5">
            <w:pPr>
              <w:spacing w:before="120"/>
              <w:rPr>
                <w:b/>
              </w:rPr>
            </w:pPr>
            <w:r w:rsidRPr="009F21BD">
              <w:rPr>
                <w:b/>
              </w:rPr>
              <w:t>Rynek detaliczny</w:t>
            </w:r>
          </w:p>
        </w:tc>
        <w:tc>
          <w:tcPr>
            <w:tcW w:w="6025" w:type="dxa"/>
          </w:tcPr>
          <w:p w14:paraId="015F282A" w14:textId="77777777" w:rsidR="00085EC5" w:rsidRPr="009F21BD" w:rsidRDefault="00085EC5" w:rsidP="00085EC5">
            <w:pPr>
              <w:pStyle w:val="Default"/>
              <w:spacing w:before="120"/>
              <w:jc w:val="both"/>
              <w:rPr>
                <w:color w:val="auto"/>
              </w:rPr>
            </w:pPr>
            <w:r w:rsidRPr="009F21BD">
              <w:rPr>
                <w:color w:val="auto"/>
              </w:rPr>
              <w:t xml:space="preserve">Obszar sieci dystrybucyjnej zarządzanej przez OSD, która nie jest objęta obszarem Rynku Bilansującego. </w:t>
            </w:r>
          </w:p>
        </w:tc>
      </w:tr>
      <w:tr w:rsidR="00085EC5" w:rsidRPr="005F6979" w14:paraId="5BC9B13F" w14:textId="77777777" w:rsidTr="00A9381E">
        <w:trPr>
          <w:trHeight w:val="1252"/>
        </w:trPr>
        <w:tc>
          <w:tcPr>
            <w:tcW w:w="3261" w:type="dxa"/>
            <w:gridSpan w:val="2"/>
          </w:tcPr>
          <w:p w14:paraId="6E8BD145" w14:textId="77777777" w:rsidR="00085EC5" w:rsidRPr="009F21BD" w:rsidRDefault="00085EC5" w:rsidP="00085EC5">
            <w:pPr>
              <w:spacing w:before="120"/>
              <w:rPr>
                <w:b/>
              </w:rPr>
            </w:pPr>
            <w:r>
              <w:rPr>
                <w:b/>
              </w:rPr>
              <w:t>Saldo dekrementujące</w:t>
            </w:r>
          </w:p>
        </w:tc>
        <w:tc>
          <w:tcPr>
            <w:tcW w:w="6025" w:type="dxa"/>
          </w:tcPr>
          <w:p w14:paraId="04E8386F" w14:textId="598CC858" w:rsidR="00085EC5" w:rsidRPr="005F6979" w:rsidRDefault="00A95214" w:rsidP="00E50B87">
            <w:pPr>
              <w:spacing w:before="165"/>
              <w:jc w:val="both"/>
            </w:pPr>
            <w:r w:rsidRPr="00A95214">
              <w:rPr>
                <w:color w:val="000000" w:themeColor="text1"/>
                <w:w w:val="105"/>
              </w:rPr>
              <w:t>Liczbę wyrażoną w ilości energii elektrycznej lub</w:t>
            </w:r>
            <w:r w:rsidR="00E50B87">
              <w:rPr>
                <w:color w:val="000000" w:themeColor="text1"/>
                <w:w w:val="105"/>
              </w:rPr>
              <w:t xml:space="preserve"> </w:t>
            </w:r>
            <w:r w:rsidRPr="00A95214">
              <w:rPr>
                <w:color w:val="000000" w:themeColor="text1"/>
              </w:rPr>
              <w:t xml:space="preserve">jednostkach pieniężnych, pozostałą do  wykorzystania przez URDo dla przedpłatowej formy rozliczeń w </w:t>
            </w:r>
            <w:r w:rsidRPr="00A95214">
              <w:rPr>
                <w:color w:val="000000" w:themeColor="text1"/>
                <w:spacing w:val="-3"/>
              </w:rPr>
              <w:t xml:space="preserve">ramach </w:t>
            </w:r>
            <w:r w:rsidRPr="00A95214">
              <w:rPr>
                <w:color w:val="000000" w:themeColor="text1"/>
              </w:rPr>
              <w:t>umowy</w:t>
            </w:r>
            <w:r w:rsidRPr="00A95214">
              <w:rPr>
                <w:color w:val="000000" w:themeColor="text1"/>
                <w:spacing w:val="19"/>
              </w:rPr>
              <w:t xml:space="preserve"> </w:t>
            </w:r>
            <w:r w:rsidRPr="00A95214">
              <w:rPr>
                <w:color w:val="000000" w:themeColor="text1"/>
              </w:rPr>
              <w:t>kompleksowej.</w:t>
            </w:r>
          </w:p>
        </w:tc>
      </w:tr>
      <w:tr w:rsidR="00085EC5" w:rsidRPr="009F21BD" w14:paraId="249331EF" w14:textId="77777777" w:rsidTr="00A9381E">
        <w:tc>
          <w:tcPr>
            <w:tcW w:w="3261" w:type="dxa"/>
            <w:gridSpan w:val="2"/>
          </w:tcPr>
          <w:p w14:paraId="63A19D32" w14:textId="77777777" w:rsidR="00085EC5" w:rsidRPr="009F21BD" w:rsidRDefault="00085EC5" w:rsidP="00085EC5">
            <w:pPr>
              <w:pStyle w:val="styl0"/>
              <w:spacing w:before="120"/>
              <w:jc w:val="left"/>
              <w:rPr>
                <w:b/>
              </w:rPr>
            </w:pPr>
            <w:r w:rsidRPr="009F21BD">
              <w:rPr>
                <w:b/>
              </w:rPr>
              <w:t>Samoczynne częstotliwościowe odciążenie – SCO</w:t>
            </w:r>
          </w:p>
        </w:tc>
        <w:tc>
          <w:tcPr>
            <w:tcW w:w="6025" w:type="dxa"/>
          </w:tcPr>
          <w:p w14:paraId="4A1862CD" w14:textId="77777777" w:rsidR="00085EC5" w:rsidRPr="009F21BD" w:rsidRDefault="00085EC5" w:rsidP="00085EC5">
            <w:pPr>
              <w:pStyle w:val="styl0"/>
              <w:spacing w:before="120"/>
              <w:rPr>
                <w:szCs w:val="24"/>
              </w:rPr>
            </w:pPr>
            <w:r w:rsidRPr="009F21BD">
              <w:rPr>
                <w:szCs w:val="24"/>
              </w:rPr>
              <w:t>Samoczynne wyłączanie odbiorców w przypadku obniżenia się częstotliwości do określonej wielkości, spowodowanego deficytem mocy w systemie elektroenergetycznym.</w:t>
            </w:r>
          </w:p>
        </w:tc>
      </w:tr>
      <w:tr w:rsidR="00085EC5" w:rsidRPr="009F21BD" w14:paraId="44F7185F" w14:textId="77777777" w:rsidTr="00A9381E">
        <w:tc>
          <w:tcPr>
            <w:tcW w:w="3261" w:type="dxa"/>
            <w:gridSpan w:val="2"/>
          </w:tcPr>
          <w:p w14:paraId="3DEF6109" w14:textId="77777777" w:rsidR="00085EC5" w:rsidRPr="009F21BD" w:rsidRDefault="00085EC5" w:rsidP="00085EC5">
            <w:pPr>
              <w:pStyle w:val="styl0"/>
              <w:spacing w:before="120"/>
              <w:jc w:val="left"/>
              <w:rPr>
                <w:b/>
                <w:szCs w:val="24"/>
              </w:rPr>
            </w:pPr>
            <w:r w:rsidRPr="009F21BD">
              <w:rPr>
                <w:b/>
                <w:szCs w:val="24"/>
              </w:rPr>
              <w:t xml:space="preserve">Samoczynne ponowne załączanie </w:t>
            </w:r>
            <w:r>
              <w:rPr>
                <w:b/>
                <w:szCs w:val="24"/>
              </w:rPr>
              <w:t>–</w:t>
            </w:r>
            <w:r w:rsidRPr="009F21BD">
              <w:rPr>
                <w:b/>
                <w:szCs w:val="24"/>
              </w:rPr>
              <w:t xml:space="preserve"> SPZ</w:t>
            </w:r>
          </w:p>
        </w:tc>
        <w:tc>
          <w:tcPr>
            <w:tcW w:w="6025" w:type="dxa"/>
          </w:tcPr>
          <w:p w14:paraId="236A6D7D" w14:textId="77777777" w:rsidR="00085EC5" w:rsidRPr="009F21BD" w:rsidRDefault="00085EC5" w:rsidP="00085EC5">
            <w:pPr>
              <w:pStyle w:val="Default"/>
              <w:spacing w:before="120"/>
              <w:jc w:val="both"/>
              <w:rPr>
                <w:color w:val="auto"/>
              </w:rPr>
            </w:pPr>
            <w:r w:rsidRPr="009F21BD">
              <w:rPr>
                <w:color w:val="auto"/>
              </w:rPr>
              <w:t xml:space="preserve">Automatyka elektroenergetyczna, której działanie polega na samoczynnym podaniu impulsu załączającego wyłącznik linii po upływie odpowiednio dobranego czasu, po przejściu tego wyłącznika w stan otwarcia z powodu zadziałania zabezpieczenia. </w:t>
            </w:r>
          </w:p>
        </w:tc>
      </w:tr>
      <w:tr w:rsidR="00085EC5" w:rsidRPr="009F21BD" w14:paraId="26D7A7A5" w14:textId="77777777" w:rsidTr="00A9381E">
        <w:tc>
          <w:tcPr>
            <w:tcW w:w="3261" w:type="dxa"/>
            <w:gridSpan w:val="2"/>
          </w:tcPr>
          <w:p w14:paraId="566EC4AF" w14:textId="77777777" w:rsidR="00085EC5" w:rsidRPr="009F21BD" w:rsidRDefault="00085EC5" w:rsidP="00085EC5">
            <w:pPr>
              <w:spacing w:before="120"/>
              <w:ind w:left="-48"/>
              <w:rPr>
                <w:b/>
                <w:bCs/>
              </w:rPr>
            </w:pPr>
            <w:r w:rsidRPr="009F21BD">
              <w:rPr>
                <w:b/>
                <w:bCs/>
              </w:rPr>
              <w:t>Sieci</w:t>
            </w:r>
          </w:p>
        </w:tc>
        <w:tc>
          <w:tcPr>
            <w:tcW w:w="6025" w:type="dxa"/>
          </w:tcPr>
          <w:p w14:paraId="727C550C" w14:textId="77777777" w:rsidR="00085EC5" w:rsidRPr="009F21BD" w:rsidRDefault="00085EC5" w:rsidP="00085EC5">
            <w:pPr>
              <w:spacing w:before="120"/>
              <w:jc w:val="both"/>
            </w:pPr>
            <w:r w:rsidRPr="009F21BD">
              <w:t>Instalacje połączone i współpracujące ze sobą, służące do przesyłania lub dystrybucji energii elektrycznej, należące do przedsiębiorstwa energetycznego.</w:t>
            </w:r>
          </w:p>
        </w:tc>
      </w:tr>
      <w:tr w:rsidR="00085EC5" w:rsidRPr="009F21BD" w14:paraId="611F5F64" w14:textId="77777777" w:rsidTr="00A9381E">
        <w:tc>
          <w:tcPr>
            <w:tcW w:w="3261" w:type="dxa"/>
            <w:gridSpan w:val="2"/>
          </w:tcPr>
          <w:p w14:paraId="3A472934" w14:textId="77777777" w:rsidR="00085EC5" w:rsidRPr="009F21BD" w:rsidRDefault="00085EC5" w:rsidP="00085EC5">
            <w:pPr>
              <w:spacing w:before="120"/>
              <w:ind w:left="-48"/>
              <w:rPr>
                <w:b/>
                <w:bCs/>
              </w:rPr>
            </w:pPr>
            <w:r w:rsidRPr="009F21BD">
              <w:rPr>
                <w:b/>
                <w:bCs/>
              </w:rPr>
              <w:t>Sieć dystrybucyjna</w:t>
            </w:r>
          </w:p>
        </w:tc>
        <w:tc>
          <w:tcPr>
            <w:tcW w:w="6025" w:type="dxa"/>
          </w:tcPr>
          <w:p w14:paraId="57047593" w14:textId="77777777" w:rsidR="00085EC5" w:rsidRPr="009F21BD" w:rsidRDefault="00085EC5" w:rsidP="00085EC5">
            <w:pPr>
              <w:spacing w:before="120"/>
              <w:jc w:val="both"/>
            </w:pPr>
            <w:r w:rsidRPr="009F21BD">
              <w:t>Sieć elektroenergetyczna wysokich, średnich i niskich napięć, za której ruch sieciowy jest odpowiedzialny operator systemu dystrybucyjnego.</w:t>
            </w:r>
          </w:p>
        </w:tc>
      </w:tr>
      <w:tr w:rsidR="00085EC5" w:rsidRPr="009F21BD" w14:paraId="2450AF1C" w14:textId="77777777" w:rsidTr="00A9381E">
        <w:tc>
          <w:tcPr>
            <w:tcW w:w="3261" w:type="dxa"/>
            <w:gridSpan w:val="2"/>
          </w:tcPr>
          <w:p w14:paraId="0B9B7B1D" w14:textId="77777777" w:rsidR="00085EC5" w:rsidRPr="009F21BD" w:rsidRDefault="00085EC5" w:rsidP="00085EC5">
            <w:pPr>
              <w:spacing w:before="120"/>
              <w:ind w:left="-48"/>
              <w:rPr>
                <w:b/>
                <w:bCs/>
              </w:rPr>
            </w:pPr>
            <w:r w:rsidRPr="009F21BD">
              <w:rPr>
                <w:b/>
                <w:bCs/>
              </w:rPr>
              <w:t>Sieć przesyłowa</w:t>
            </w:r>
          </w:p>
        </w:tc>
        <w:tc>
          <w:tcPr>
            <w:tcW w:w="6025" w:type="dxa"/>
          </w:tcPr>
          <w:p w14:paraId="66CEBDB5" w14:textId="77777777" w:rsidR="00085EC5" w:rsidRPr="009F21BD" w:rsidRDefault="00085EC5" w:rsidP="00085EC5">
            <w:pPr>
              <w:spacing w:before="120"/>
              <w:jc w:val="both"/>
            </w:pPr>
            <w:r w:rsidRPr="009F21BD">
              <w:t>Sieć elektroenergetyczna najwyższych lub wysokich napięć, za której ruch sieciowy jest odpowiedzialny operator systemu przesyłowego.</w:t>
            </w:r>
          </w:p>
        </w:tc>
      </w:tr>
      <w:tr w:rsidR="009E5109" w:rsidRPr="009F21BD" w14:paraId="30B7F5EB" w14:textId="77777777" w:rsidTr="00A9381E">
        <w:tc>
          <w:tcPr>
            <w:tcW w:w="3261" w:type="dxa"/>
            <w:gridSpan w:val="2"/>
          </w:tcPr>
          <w:p w14:paraId="03B7B539" w14:textId="6FDFD0E2" w:rsidR="009E5109" w:rsidRPr="009F21BD" w:rsidRDefault="009E5109" w:rsidP="009A3D78">
            <w:pPr>
              <w:spacing w:line="288" w:lineRule="auto"/>
              <w:ind w:right="-12" w:hanging="8"/>
              <w:rPr>
                <w:b/>
                <w:bCs/>
              </w:rPr>
            </w:pPr>
            <w:r w:rsidRPr="009E5109">
              <w:rPr>
                <w:b/>
                <w:color w:val="494949"/>
                <w:w w:val="105"/>
              </w:rPr>
              <w:t>Skorygowane</w:t>
            </w:r>
            <w:r w:rsidRPr="009E5109">
              <w:rPr>
                <w:b/>
                <w:color w:val="494949"/>
                <w:spacing w:val="-19"/>
                <w:w w:val="105"/>
              </w:rPr>
              <w:t xml:space="preserve"> </w:t>
            </w:r>
            <w:r w:rsidRPr="009E5109">
              <w:rPr>
                <w:b/>
                <w:color w:val="494949"/>
                <w:w w:val="105"/>
              </w:rPr>
              <w:t>dane pomiarowe</w:t>
            </w:r>
          </w:p>
        </w:tc>
        <w:tc>
          <w:tcPr>
            <w:tcW w:w="6025" w:type="dxa"/>
          </w:tcPr>
          <w:p w14:paraId="39B004E1" w14:textId="77372602" w:rsidR="009E5109" w:rsidRPr="009F21BD" w:rsidRDefault="009E5109" w:rsidP="00C91D81">
            <w:pPr>
              <w:pStyle w:val="Tekstpodstawowy"/>
              <w:spacing w:before="0" w:line="252" w:lineRule="auto"/>
            </w:pPr>
            <w:r w:rsidRPr="009E5109">
              <w:rPr>
                <w:color w:val="000000" w:themeColor="text1"/>
                <w:w w:val="105"/>
              </w:rPr>
              <w:t xml:space="preserve">Dane pomiarowe wyznaczone w przypadku , gdy dane pomiarowe pozyskane z licznika konwencjonalnego lub </w:t>
            </w:r>
            <w:r>
              <w:rPr>
                <w:color w:val="000000" w:themeColor="text1"/>
                <w:w w:val="105"/>
              </w:rPr>
              <w:br/>
            </w:r>
            <w:r w:rsidRPr="009E5109">
              <w:rPr>
                <w:color w:val="000000" w:themeColor="text1"/>
                <w:w w:val="105"/>
              </w:rPr>
              <w:t>z licznika zdalnego odczytu są</w:t>
            </w:r>
            <w:r w:rsidRPr="009E5109">
              <w:rPr>
                <w:color w:val="000000" w:themeColor="text1"/>
                <w:spacing w:val="39"/>
                <w:w w:val="105"/>
              </w:rPr>
              <w:t xml:space="preserve"> </w:t>
            </w:r>
            <w:r w:rsidRPr="009E5109">
              <w:rPr>
                <w:color w:val="000000" w:themeColor="text1"/>
                <w:w w:val="105"/>
              </w:rPr>
              <w:t>błędne</w:t>
            </w:r>
            <w:r>
              <w:rPr>
                <w:color w:val="494949"/>
                <w:w w:val="105"/>
              </w:rPr>
              <w:t>.</w:t>
            </w:r>
          </w:p>
        </w:tc>
      </w:tr>
      <w:tr w:rsidR="00085EC5" w:rsidRPr="009F21BD" w14:paraId="54D77A6E" w14:textId="77777777" w:rsidTr="00A9381E">
        <w:tc>
          <w:tcPr>
            <w:tcW w:w="3261" w:type="dxa"/>
            <w:gridSpan w:val="2"/>
          </w:tcPr>
          <w:p w14:paraId="465A7D4B" w14:textId="77777777" w:rsidR="00085EC5" w:rsidRPr="009F21BD" w:rsidRDefault="00085EC5" w:rsidP="00085EC5">
            <w:pPr>
              <w:spacing w:before="120"/>
              <w:ind w:left="-48"/>
              <w:rPr>
                <w:b/>
                <w:bCs/>
              </w:rPr>
            </w:pPr>
            <w:r w:rsidRPr="009F21BD">
              <w:rPr>
                <w:b/>
                <w:bCs/>
              </w:rPr>
              <w:t>Sprzedawca</w:t>
            </w:r>
          </w:p>
        </w:tc>
        <w:tc>
          <w:tcPr>
            <w:tcW w:w="6025" w:type="dxa"/>
          </w:tcPr>
          <w:p w14:paraId="188581F6" w14:textId="77777777" w:rsidR="00085EC5" w:rsidRPr="009F21BD" w:rsidRDefault="00085EC5" w:rsidP="00085EC5">
            <w:pPr>
              <w:spacing w:before="120"/>
              <w:jc w:val="both"/>
            </w:pPr>
            <w:r w:rsidRPr="009F21BD">
              <w:t>Przedsiębiorstwo energetyczne prowadzące działalność gospodarczą polegającą na sprzedaży energii elektrycznej przez niego wytworzonej lub przedsiębiorstwo energetyczne prowadzące działalność gospodarczą polegającą na obrocie energią elektryczną.</w:t>
            </w:r>
          </w:p>
        </w:tc>
      </w:tr>
      <w:tr w:rsidR="00085EC5" w:rsidRPr="009F21BD" w14:paraId="1F4FC2E3" w14:textId="77777777" w:rsidTr="00A9381E">
        <w:tc>
          <w:tcPr>
            <w:tcW w:w="3261" w:type="dxa"/>
            <w:gridSpan w:val="2"/>
          </w:tcPr>
          <w:p w14:paraId="6980B369" w14:textId="77777777" w:rsidR="00085EC5" w:rsidRPr="009F21BD" w:rsidRDefault="00085EC5" w:rsidP="00085EC5">
            <w:pPr>
              <w:spacing w:before="120"/>
              <w:ind w:left="-48"/>
              <w:rPr>
                <w:b/>
                <w:bCs/>
              </w:rPr>
            </w:pPr>
            <w:r w:rsidRPr="009F21BD">
              <w:rPr>
                <w:b/>
                <w:bCs/>
              </w:rPr>
              <w:lastRenderedPageBreak/>
              <w:t>Sprzedaż energii elektrycznej</w:t>
            </w:r>
          </w:p>
        </w:tc>
        <w:tc>
          <w:tcPr>
            <w:tcW w:w="6025" w:type="dxa"/>
          </w:tcPr>
          <w:p w14:paraId="096FC11A" w14:textId="77777777" w:rsidR="00085EC5" w:rsidRPr="009F21BD" w:rsidRDefault="00085EC5" w:rsidP="00085EC5">
            <w:pPr>
              <w:spacing w:before="120"/>
              <w:jc w:val="both"/>
            </w:pPr>
            <w:r w:rsidRPr="009F21BD">
              <w:t>Bezpośrednią sprzedaż energii przez podmiot zajmujący się jej wytwarzaniem lub odsprzedaż energii przed podmiot zajmujący się jej obrotem.</w:t>
            </w:r>
          </w:p>
        </w:tc>
      </w:tr>
      <w:tr w:rsidR="001B0169" w:rsidRPr="009F21BD" w14:paraId="3757929E" w14:textId="77777777" w:rsidTr="00A9381E">
        <w:tc>
          <w:tcPr>
            <w:tcW w:w="3261" w:type="dxa"/>
            <w:gridSpan w:val="2"/>
          </w:tcPr>
          <w:p w14:paraId="145A888A" w14:textId="3D651A70" w:rsidR="001B0169" w:rsidRPr="009F21BD" w:rsidRDefault="001B0169" w:rsidP="00085EC5">
            <w:pPr>
              <w:spacing w:before="120"/>
              <w:ind w:left="-48"/>
              <w:rPr>
                <w:b/>
                <w:bCs/>
              </w:rPr>
            </w:pPr>
            <w:r>
              <w:rPr>
                <w:b/>
                <w:bCs/>
              </w:rPr>
              <w:t>Spółdzielnia energetyczna</w:t>
            </w:r>
          </w:p>
        </w:tc>
        <w:tc>
          <w:tcPr>
            <w:tcW w:w="6025" w:type="dxa"/>
          </w:tcPr>
          <w:p w14:paraId="7034DEE3" w14:textId="5BBEF3AD" w:rsidR="001B0169" w:rsidRPr="001B0169" w:rsidRDefault="001B0169" w:rsidP="00085EC5">
            <w:pPr>
              <w:spacing w:before="120"/>
              <w:jc w:val="both"/>
              <w:rPr>
                <w:szCs w:val="24"/>
              </w:rPr>
            </w:pPr>
            <w:r w:rsidRPr="001B0169">
              <w:rPr>
                <w:color w:val="000000" w:themeColor="text1"/>
                <w:szCs w:val="24"/>
              </w:rPr>
              <w:t xml:space="preserve">Spółdzielnię w rozumieniu ustawy z dnia 16 września 1982 r. - Prawo spółdzielcze (Dz.  U. z 2021 r.  poz. 648) lub ustawy z dnia 4 października 2018 r. o spółdzielniach rolników (Dz. U. poz. 2073), której przedmiotem działalności jest wytwarzanie energii elektrycznej lub biogazu, lub ciepła, </w:t>
            </w:r>
            <w:r>
              <w:rPr>
                <w:color w:val="000000" w:themeColor="text1"/>
                <w:szCs w:val="24"/>
              </w:rPr>
              <w:br/>
            </w:r>
            <w:r w:rsidRPr="001B0169">
              <w:rPr>
                <w:color w:val="000000" w:themeColor="text1"/>
                <w:szCs w:val="24"/>
              </w:rPr>
              <w:t>w instalacjach odnawialnego źródła energii i równoważenie zapotrzebowania energii elektrycznej lub biogazu, lub ciepła, wyłącznie  na  potrzeby własne spółdzielni energetycznej i jej członków, przyłączonych do zdefiniowanej obszarowo s</w:t>
            </w:r>
            <w:r>
              <w:rPr>
                <w:color w:val="000000" w:themeColor="text1"/>
                <w:szCs w:val="24"/>
              </w:rPr>
              <w:t>ieci</w:t>
            </w:r>
            <w:r w:rsidRPr="001B0169">
              <w:rPr>
                <w:color w:val="000000" w:themeColor="text1"/>
                <w:szCs w:val="24"/>
              </w:rPr>
              <w:t xml:space="preserve"> dystrybucyjnej elektroenergetycznej o na</w:t>
            </w:r>
            <w:r>
              <w:rPr>
                <w:color w:val="000000" w:themeColor="text1"/>
                <w:szCs w:val="24"/>
              </w:rPr>
              <w:t>pięciu</w:t>
            </w:r>
            <w:r w:rsidRPr="001B0169">
              <w:rPr>
                <w:color w:val="000000" w:themeColor="text1"/>
                <w:szCs w:val="24"/>
              </w:rPr>
              <w:t xml:space="preserve"> znamionowym niższym niż </w:t>
            </w:r>
            <w:r>
              <w:rPr>
                <w:color w:val="000000" w:themeColor="text1"/>
                <w:szCs w:val="24"/>
              </w:rPr>
              <w:t>110</w:t>
            </w:r>
            <w:r w:rsidRPr="001B0169">
              <w:rPr>
                <w:color w:val="000000" w:themeColor="text1"/>
                <w:szCs w:val="24"/>
              </w:rPr>
              <w:t xml:space="preserve"> kV lub sieci dystrybucyjnej gazowej, lub sieci</w:t>
            </w:r>
            <w:r w:rsidRPr="001B0169">
              <w:rPr>
                <w:color w:val="000000" w:themeColor="text1"/>
                <w:spacing w:val="20"/>
                <w:szCs w:val="24"/>
              </w:rPr>
              <w:t xml:space="preserve"> </w:t>
            </w:r>
            <w:r w:rsidRPr="001B0169">
              <w:rPr>
                <w:color w:val="000000" w:themeColor="text1"/>
                <w:szCs w:val="24"/>
              </w:rPr>
              <w:t>ciepłowniczej.</w:t>
            </w:r>
          </w:p>
        </w:tc>
      </w:tr>
      <w:tr w:rsidR="00085EC5" w:rsidRPr="009F21BD" w14:paraId="6D358CD8" w14:textId="77777777" w:rsidTr="00A9381E">
        <w:tc>
          <w:tcPr>
            <w:tcW w:w="3261" w:type="dxa"/>
            <w:gridSpan w:val="2"/>
          </w:tcPr>
          <w:p w14:paraId="181D03DF" w14:textId="6CE03557" w:rsidR="00085EC5" w:rsidRPr="009F21BD" w:rsidRDefault="00085EC5" w:rsidP="00085EC5">
            <w:pPr>
              <w:spacing w:before="120"/>
              <w:ind w:left="-48"/>
              <w:rPr>
                <w:b/>
                <w:bCs/>
              </w:rPr>
            </w:pPr>
            <w:r>
              <w:rPr>
                <w:b/>
                <w:bCs/>
              </w:rPr>
              <w:t>Stacja ładowania</w:t>
            </w:r>
          </w:p>
        </w:tc>
        <w:tc>
          <w:tcPr>
            <w:tcW w:w="6025" w:type="dxa"/>
          </w:tcPr>
          <w:p w14:paraId="56A16733" w14:textId="190B98C6" w:rsidR="00085EC5" w:rsidRPr="001E128A" w:rsidRDefault="00085EC5" w:rsidP="00085EC5">
            <w:pPr>
              <w:spacing w:before="120"/>
              <w:ind w:left="280" w:right="72" w:hanging="283"/>
              <w:jc w:val="both"/>
              <w:rPr>
                <w:rFonts w:cs="Times New Roman"/>
                <w:szCs w:val="24"/>
              </w:rPr>
            </w:pPr>
            <w:r w:rsidRPr="001E128A">
              <w:rPr>
                <w:rFonts w:cs="Times New Roman"/>
                <w:szCs w:val="24"/>
              </w:rPr>
              <w:t>a)</w:t>
            </w:r>
            <w:r w:rsidRPr="001E128A">
              <w:rPr>
                <w:rFonts w:cs="Times New Roman"/>
                <w:szCs w:val="24"/>
              </w:rPr>
              <w:tab/>
              <w:t xml:space="preserve">urządzenie budowlane obejmujące punkt ładowania </w:t>
            </w:r>
            <w:r>
              <w:rPr>
                <w:rFonts w:cs="Times New Roman"/>
                <w:szCs w:val="24"/>
              </w:rPr>
              <w:br/>
            </w:r>
            <w:r w:rsidRPr="001E128A">
              <w:rPr>
                <w:rFonts w:cs="Times New Roman"/>
                <w:szCs w:val="24"/>
              </w:rPr>
              <w:t>o normalnej mocy lub punkt ładowania o dużej mocy, związane z obiektem budowlanym, lub</w:t>
            </w:r>
          </w:p>
          <w:p w14:paraId="0900FE5A" w14:textId="77777777" w:rsidR="00085EC5" w:rsidRPr="001E128A" w:rsidRDefault="00085EC5" w:rsidP="00085EC5">
            <w:pPr>
              <w:spacing w:before="120"/>
              <w:ind w:left="280" w:right="72" w:hanging="283"/>
              <w:jc w:val="both"/>
              <w:rPr>
                <w:rFonts w:cs="Times New Roman"/>
                <w:szCs w:val="24"/>
              </w:rPr>
            </w:pPr>
            <w:r w:rsidRPr="001E128A">
              <w:rPr>
                <w:rFonts w:cs="Times New Roman"/>
                <w:szCs w:val="24"/>
              </w:rPr>
              <w:t>b)</w:t>
            </w:r>
            <w:r w:rsidRPr="001E128A">
              <w:rPr>
                <w:rFonts w:cs="Times New Roman"/>
                <w:szCs w:val="24"/>
              </w:rPr>
              <w:tab/>
              <w:t>wolnostojący obiekt budowlany z zainstalowanym co najmniej jednym punktem ładowania o normalnej mocy lub punktem ładowania o dużej mocy</w:t>
            </w:r>
          </w:p>
          <w:p w14:paraId="2C2A48BF" w14:textId="1E36AA56" w:rsidR="00085EC5" w:rsidRPr="009F21BD" w:rsidRDefault="00085EC5" w:rsidP="00085EC5">
            <w:pPr>
              <w:spacing w:before="120"/>
              <w:ind w:left="280" w:right="72" w:hanging="283"/>
              <w:jc w:val="both"/>
            </w:pPr>
            <w:r w:rsidRPr="001E128A">
              <w:rPr>
                <w:rFonts w:cs="Times New Roman"/>
                <w:szCs w:val="24"/>
              </w:rPr>
              <w:t>– wyposażone w oprogramowanie umożliwiające świadczenie usług ładowania, wraz ze stanowiskiem postojowym oraz w przypadku</w:t>
            </w:r>
            <w:r>
              <w:rPr>
                <w:rFonts w:cs="Times New Roman"/>
                <w:szCs w:val="24"/>
              </w:rPr>
              <w:t>,</w:t>
            </w:r>
            <w:r w:rsidRPr="001E128A">
              <w:rPr>
                <w:rFonts w:cs="Times New Roman"/>
                <w:szCs w:val="24"/>
              </w:rPr>
              <w:t xml:space="preserve"> gdy stacja ładowania jest podłączona do sieci dystrybucyjnej w rozumieniu ustawy z dnia 10 kwietnia 1997 r. – Prawo energetyczne, instalacją prowadzącą od punktu ładowania do przyłącza elektroenergetycznego.</w:t>
            </w:r>
          </w:p>
        </w:tc>
      </w:tr>
      <w:tr w:rsidR="00085EC5" w:rsidRPr="009F21BD" w14:paraId="74F25C49" w14:textId="77777777" w:rsidTr="00A9381E">
        <w:tc>
          <w:tcPr>
            <w:tcW w:w="3261" w:type="dxa"/>
            <w:gridSpan w:val="2"/>
          </w:tcPr>
          <w:p w14:paraId="51F43A08" w14:textId="77777777" w:rsidR="00085EC5" w:rsidRPr="009F21BD" w:rsidRDefault="00085EC5" w:rsidP="00085EC5">
            <w:pPr>
              <w:spacing w:before="120"/>
              <w:ind w:left="-48"/>
              <w:rPr>
                <w:b/>
                <w:bCs/>
              </w:rPr>
            </w:pPr>
            <w:r w:rsidRPr="009F21BD">
              <w:rPr>
                <w:b/>
                <w:bCs/>
              </w:rPr>
              <w:t>Standardowy profil zużycia (profil)</w:t>
            </w:r>
          </w:p>
        </w:tc>
        <w:tc>
          <w:tcPr>
            <w:tcW w:w="6025" w:type="dxa"/>
          </w:tcPr>
          <w:p w14:paraId="21632E42" w14:textId="77777777" w:rsidR="00085EC5" w:rsidRPr="009F21BD" w:rsidRDefault="00085EC5" w:rsidP="00085EC5">
            <w:pPr>
              <w:spacing w:before="120"/>
              <w:jc w:val="both"/>
            </w:pPr>
            <w:r w:rsidRPr="009F21BD">
              <w:t xml:space="preserve">Zastępcza zmienność obciążenia dobowego odbiorców </w:t>
            </w:r>
            <w:r w:rsidRPr="009F21BD">
              <w:br/>
              <w:t>o zbliżonej charakterystyce poboru, ustalona na drodze analitycznej.</w:t>
            </w:r>
          </w:p>
        </w:tc>
      </w:tr>
      <w:tr w:rsidR="00D15CBA" w:rsidRPr="009F21BD" w14:paraId="0ED70754" w14:textId="77777777" w:rsidTr="00A9381E">
        <w:tc>
          <w:tcPr>
            <w:tcW w:w="3261" w:type="dxa"/>
            <w:gridSpan w:val="2"/>
          </w:tcPr>
          <w:p w14:paraId="03CA05AD" w14:textId="52D375FB" w:rsidR="00D15CBA" w:rsidRPr="009F21BD" w:rsidRDefault="00D15CBA" w:rsidP="00D15CBA">
            <w:pPr>
              <w:spacing w:before="120"/>
              <w:ind w:left="-48"/>
              <w:rPr>
                <w:b/>
                <w:bCs/>
              </w:rPr>
            </w:pPr>
            <w:r>
              <w:rPr>
                <w:rFonts w:cs="Times New Roman"/>
                <w:b/>
                <w:color w:val="000000"/>
                <w:w w:val="105"/>
                <w:szCs w:val="24"/>
              </w:rPr>
              <w:t>Statyzm</w:t>
            </w:r>
          </w:p>
        </w:tc>
        <w:tc>
          <w:tcPr>
            <w:tcW w:w="6025" w:type="dxa"/>
          </w:tcPr>
          <w:p w14:paraId="784875AB" w14:textId="22E61075" w:rsidR="00D15CBA" w:rsidRPr="009F21BD" w:rsidRDefault="00D15CBA" w:rsidP="00D15CBA">
            <w:pPr>
              <w:ind w:left="-2" w:firstLine="5"/>
              <w:jc w:val="both"/>
            </w:pPr>
            <w:r>
              <w:rPr>
                <w:rFonts w:cs="Times New Roman"/>
                <w:color w:val="000000"/>
                <w:w w:val="105"/>
                <w:szCs w:val="24"/>
              </w:rPr>
              <w:t xml:space="preserve">Oznacza wyrażany w procentach współczynnik quasi­ stacjonarnego odchylenia częstotliwości do wynikającej </w:t>
            </w:r>
            <w:r>
              <w:rPr>
                <w:rFonts w:cs="Times New Roman"/>
                <w:color w:val="000000"/>
                <w:w w:val="105"/>
                <w:szCs w:val="24"/>
              </w:rPr>
              <w:br/>
              <w:t xml:space="preserve">z tego odchylenia zmiany generowanej mocy czynnej </w:t>
            </w:r>
            <w:r>
              <w:rPr>
                <w:rFonts w:cs="Times New Roman"/>
                <w:color w:val="000000"/>
                <w:w w:val="105"/>
                <w:szCs w:val="24"/>
              </w:rPr>
              <w:br/>
              <w:t>w stanie ustalonym. Zmianę częstotliwości wyraża się jako stosunek do częstotliwości znamionowej, a zmianę mocy czynnej jako stosunek do mocy maksymalnej lub rzeczywistej</w:t>
            </w:r>
            <w:r>
              <w:rPr>
                <w:rFonts w:cs="Times New Roman"/>
                <w:color w:val="000000"/>
                <w:spacing w:val="-5"/>
                <w:w w:val="105"/>
                <w:szCs w:val="24"/>
              </w:rPr>
              <w:t xml:space="preserve"> </w:t>
            </w:r>
            <w:r>
              <w:rPr>
                <w:rFonts w:cs="Times New Roman"/>
                <w:color w:val="000000"/>
                <w:w w:val="105"/>
                <w:szCs w:val="24"/>
              </w:rPr>
              <w:t>mocy</w:t>
            </w:r>
            <w:r>
              <w:rPr>
                <w:rFonts w:cs="Times New Roman"/>
                <w:color w:val="000000"/>
                <w:spacing w:val="-12"/>
                <w:w w:val="105"/>
                <w:szCs w:val="24"/>
              </w:rPr>
              <w:t xml:space="preserve"> </w:t>
            </w:r>
            <w:r>
              <w:rPr>
                <w:rFonts w:cs="Times New Roman"/>
                <w:color w:val="000000"/>
                <w:w w:val="105"/>
                <w:szCs w:val="24"/>
              </w:rPr>
              <w:t>czynnej</w:t>
            </w:r>
            <w:r>
              <w:rPr>
                <w:rFonts w:cs="Times New Roman"/>
                <w:color w:val="000000"/>
                <w:spacing w:val="-9"/>
                <w:w w:val="105"/>
                <w:szCs w:val="24"/>
              </w:rPr>
              <w:t xml:space="preserve"> </w:t>
            </w:r>
            <w:r>
              <w:rPr>
                <w:rFonts w:cs="Times New Roman"/>
                <w:color w:val="000000"/>
                <w:w w:val="105"/>
                <w:szCs w:val="24"/>
              </w:rPr>
              <w:t>w</w:t>
            </w:r>
            <w:r>
              <w:rPr>
                <w:rFonts w:cs="Times New Roman"/>
                <w:color w:val="000000"/>
                <w:spacing w:val="-20"/>
                <w:w w:val="105"/>
                <w:szCs w:val="24"/>
              </w:rPr>
              <w:t xml:space="preserve"> </w:t>
            </w:r>
            <w:r>
              <w:rPr>
                <w:rFonts w:cs="Times New Roman"/>
                <w:color w:val="000000"/>
                <w:w w:val="105"/>
                <w:szCs w:val="24"/>
              </w:rPr>
              <w:t>momencie</w:t>
            </w:r>
            <w:r>
              <w:rPr>
                <w:rFonts w:cs="Times New Roman"/>
                <w:color w:val="000000"/>
                <w:spacing w:val="-6"/>
                <w:w w:val="105"/>
                <w:szCs w:val="24"/>
              </w:rPr>
              <w:t xml:space="preserve"> </w:t>
            </w:r>
            <w:r>
              <w:rPr>
                <w:rFonts w:cs="Times New Roman"/>
                <w:color w:val="000000"/>
                <w:w w:val="105"/>
                <w:szCs w:val="24"/>
              </w:rPr>
              <w:t>wystąpienia</w:t>
            </w:r>
            <w:r>
              <w:rPr>
                <w:rFonts w:cs="Times New Roman"/>
                <w:color w:val="000000"/>
                <w:spacing w:val="-7"/>
                <w:w w:val="105"/>
                <w:szCs w:val="24"/>
              </w:rPr>
              <w:t xml:space="preserve"> </w:t>
            </w:r>
            <w:r>
              <w:rPr>
                <w:rFonts w:cs="Times New Roman"/>
                <w:color w:val="000000"/>
                <w:w w:val="105"/>
                <w:szCs w:val="24"/>
              </w:rPr>
              <w:t>tego odchylenia.</w:t>
            </w:r>
          </w:p>
        </w:tc>
      </w:tr>
      <w:tr w:rsidR="00085EC5" w:rsidRPr="009F21BD" w14:paraId="3F0D6704" w14:textId="77777777" w:rsidTr="00A9381E">
        <w:tc>
          <w:tcPr>
            <w:tcW w:w="3261" w:type="dxa"/>
            <w:gridSpan w:val="2"/>
          </w:tcPr>
          <w:p w14:paraId="10CB5336" w14:textId="77777777" w:rsidR="00085EC5" w:rsidRPr="009F21BD" w:rsidRDefault="00085EC5" w:rsidP="00085EC5">
            <w:pPr>
              <w:spacing w:before="120"/>
              <w:ind w:left="-48"/>
              <w:rPr>
                <w:b/>
                <w:bCs/>
              </w:rPr>
            </w:pPr>
            <w:r w:rsidRPr="009F21BD">
              <w:rPr>
                <w:b/>
                <w:bCs/>
              </w:rPr>
              <w:t>System elektroenergetyczny</w:t>
            </w:r>
          </w:p>
        </w:tc>
        <w:tc>
          <w:tcPr>
            <w:tcW w:w="6025" w:type="dxa"/>
          </w:tcPr>
          <w:p w14:paraId="6343E74D" w14:textId="77777777" w:rsidR="00085EC5" w:rsidRPr="009F21BD" w:rsidRDefault="00085EC5" w:rsidP="00085EC5">
            <w:pPr>
              <w:spacing w:before="120"/>
              <w:jc w:val="both"/>
            </w:pPr>
            <w:r w:rsidRPr="009F21BD">
              <w:t>Sieci elektroenergetyczne oraz przyłączone do nich urządzenia i instalacje współpracujące z siecią.</w:t>
            </w:r>
          </w:p>
        </w:tc>
      </w:tr>
      <w:tr w:rsidR="00CB73F9" w:rsidRPr="009F21BD" w14:paraId="572A52B5" w14:textId="77777777" w:rsidTr="00A9381E">
        <w:tc>
          <w:tcPr>
            <w:tcW w:w="3261" w:type="dxa"/>
            <w:gridSpan w:val="2"/>
          </w:tcPr>
          <w:p w14:paraId="242859DC" w14:textId="46465A2A" w:rsidR="00CB73F9" w:rsidRPr="009F21BD" w:rsidRDefault="00CB73F9" w:rsidP="00CB73F9">
            <w:pPr>
              <w:ind w:left="-48"/>
              <w:rPr>
                <w:b/>
                <w:bCs/>
              </w:rPr>
            </w:pPr>
            <w:r>
              <w:rPr>
                <w:rFonts w:cs="Times New Roman"/>
                <w:b/>
                <w:color w:val="000000"/>
                <w:w w:val="105"/>
                <w:szCs w:val="24"/>
              </w:rPr>
              <w:t>System informacyjny</w:t>
            </w:r>
          </w:p>
        </w:tc>
        <w:tc>
          <w:tcPr>
            <w:tcW w:w="6025" w:type="dxa"/>
          </w:tcPr>
          <w:p w14:paraId="3B0C050B" w14:textId="7E2C84CE" w:rsidR="00CB73F9" w:rsidRPr="009F21BD" w:rsidRDefault="00CB73F9" w:rsidP="00CB73F9">
            <w:pPr>
              <w:jc w:val="both"/>
            </w:pPr>
            <w:r>
              <w:rPr>
                <w:rFonts w:cs="Times New Roman"/>
                <w:color w:val="000000"/>
                <w:w w:val="105"/>
                <w:szCs w:val="24"/>
              </w:rPr>
              <w:t xml:space="preserve">System informacyjny w rozumieniu art. 2 pkt 14 ustawy </w:t>
            </w:r>
            <w:r w:rsidR="0094451C">
              <w:rPr>
                <w:rFonts w:cs="Times New Roman"/>
                <w:color w:val="000000"/>
                <w:w w:val="105"/>
                <w:szCs w:val="24"/>
              </w:rPr>
              <w:br/>
            </w:r>
            <w:r>
              <w:rPr>
                <w:rFonts w:cs="Times New Roman"/>
                <w:color w:val="000000"/>
                <w:w w:val="105"/>
                <w:szCs w:val="24"/>
              </w:rPr>
              <w:t xml:space="preserve">z dnia 5 lipca 2018 r. o krajowym systemie cyberbezpieczeństwa (Dz.U. z 2020 r. poz. 1369 </w:t>
            </w:r>
            <w:r>
              <w:rPr>
                <w:rFonts w:cs="Times New Roman"/>
                <w:color w:val="000000"/>
                <w:w w:val="105"/>
                <w:szCs w:val="24"/>
              </w:rPr>
              <w:br/>
              <w:t>z późn. zm.).</w:t>
            </w:r>
          </w:p>
        </w:tc>
      </w:tr>
      <w:tr w:rsidR="00450E4D" w:rsidRPr="009F21BD" w14:paraId="75804F9B" w14:textId="77777777" w:rsidTr="00A9381E">
        <w:tc>
          <w:tcPr>
            <w:tcW w:w="3261" w:type="dxa"/>
            <w:gridSpan w:val="2"/>
          </w:tcPr>
          <w:p w14:paraId="36BD5E8F" w14:textId="2580FB22" w:rsidR="00450E4D" w:rsidRDefault="00450E4D" w:rsidP="00CB73F9">
            <w:pPr>
              <w:ind w:left="-48"/>
              <w:rPr>
                <w:rFonts w:cs="Times New Roman"/>
                <w:b/>
                <w:color w:val="000000"/>
                <w:w w:val="105"/>
                <w:szCs w:val="24"/>
              </w:rPr>
            </w:pPr>
            <w:r>
              <w:rPr>
                <w:rFonts w:cs="Times New Roman"/>
                <w:b/>
                <w:color w:val="000000"/>
                <w:w w:val="105"/>
                <w:szCs w:val="24"/>
              </w:rPr>
              <w:t>System pomiarowy</w:t>
            </w:r>
          </w:p>
        </w:tc>
        <w:tc>
          <w:tcPr>
            <w:tcW w:w="6025" w:type="dxa"/>
          </w:tcPr>
          <w:p w14:paraId="19E15B82" w14:textId="45F8D8C3" w:rsidR="00450E4D" w:rsidRPr="00450E4D" w:rsidRDefault="00450E4D" w:rsidP="00CB73F9">
            <w:pPr>
              <w:jc w:val="both"/>
              <w:rPr>
                <w:rFonts w:cs="Times New Roman"/>
                <w:color w:val="000000"/>
                <w:w w:val="105"/>
                <w:szCs w:val="24"/>
              </w:rPr>
            </w:pPr>
            <w:r w:rsidRPr="00450E4D">
              <w:rPr>
                <w:color w:val="000000" w:themeColor="text1"/>
                <w:w w:val="105"/>
                <w:szCs w:val="24"/>
              </w:rPr>
              <w:t xml:space="preserve">System zdalnego odczytu, liczniki zdalnego odczytu wraz  z niezbędną infrastrukturą techniczną skomunikowane </w:t>
            </w:r>
            <w:r>
              <w:rPr>
                <w:color w:val="000000" w:themeColor="text1"/>
                <w:w w:val="105"/>
                <w:szCs w:val="24"/>
              </w:rPr>
              <w:br/>
            </w:r>
            <w:r w:rsidRPr="00450E4D">
              <w:rPr>
                <w:color w:val="000000" w:themeColor="text1"/>
                <w:w w:val="105"/>
                <w:szCs w:val="24"/>
              </w:rPr>
              <w:lastRenderedPageBreak/>
              <w:t>z tym systemem</w:t>
            </w:r>
            <w:r w:rsidRPr="00450E4D">
              <w:rPr>
                <w:color w:val="000000" w:themeColor="text1"/>
                <w:spacing w:val="-8"/>
                <w:w w:val="105"/>
                <w:szCs w:val="24"/>
              </w:rPr>
              <w:t xml:space="preserve"> </w:t>
            </w:r>
            <w:r w:rsidRPr="00450E4D">
              <w:rPr>
                <w:color w:val="000000" w:themeColor="text1"/>
                <w:w w:val="105"/>
                <w:szCs w:val="24"/>
              </w:rPr>
              <w:t>zdalnego</w:t>
            </w:r>
            <w:r w:rsidRPr="00450E4D">
              <w:rPr>
                <w:color w:val="000000" w:themeColor="text1"/>
                <w:spacing w:val="-15"/>
                <w:w w:val="105"/>
                <w:szCs w:val="24"/>
              </w:rPr>
              <w:t xml:space="preserve"> </w:t>
            </w:r>
            <w:r w:rsidRPr="00450E4D">
              <w:rPr>
                <w:color w:val="000000" w:themeColor="text1"/>
                <w:w w:val="105"/>
                <w:szCs w:val="24"/>
              </w:rPr>
              <w:t>odczytu</w:t>
            </w:r>
            <w:r w:rsidRPr="00450E4D">
              <w:rPr>
                <w:color w:val="000000" w:themeColor="text1"/>
                <w:spacing w:val="-9"/>
                <w:w w:val="105"/>
                <w:szCs w:val="24"/>
              </w:rPr>
              <w:t xml:space="preserve"> </w:t>
            </w:r>
            <w:r w:rsidRPr="00450E4D">
              <w:rPr>
                <w:color w:val="000000" w:themeColor="text1"/>
                <w:w w:val="105"/>
                <w:szCs w:val="24"/>
              </w:rPr>
              <w:t>oraz</w:t>
            </w:r>
            <w:r w:rsidRPr="00450E4D">
              <w:rPr>
                <w:color w:val="000000" w:themeColor="text1"/>
                <w:spacing w:val="-14"/>
                <w:w w:val="105"/>
                <w:szCs w:val="24"/>
              </w:rPr>
              <w:t xml:space="preserve"> </w:t>
            </w:r>
            <w:r w:rsidRPr="00450E4D">
              <w:rPr>
                <w:color w:val="000000" w:themeColor="text1"/>
                <w:w w:val="105"/>
                <w:szCs w:val="24"/>
              </w:rPr>
              <w:t>liczniki</w:t>
            </w:r>
            <w:r w:rsidRPr="00450E4D">
              <w:rPr>
                <w:color w:val="000000" w:themeColor="text1"/>
                <w:spacing w:val="-11"/>
                <w:w w:val="105"/>
                <w:szCs w:val="24"/>
              </w:rPr>
              <w:t xml:space="preserve"> </w:t>
            </w:r>
            <w:r w:rsidRPr="00450E4D">
              <w:rPr>
                <w:color w:val="000000" w:themeColor="text1"/>
                <w:w w:val="105"/>
                <w:szCs w:val="24"/>
              </w:rPr>
              <w:t>konwencjonalne,</w:t>
            </w:r>
            <w:r w:rsidRPr="00450E4D">
              <w:rPr>
                <w:color w:val="000000" w:themeColor="text1"/>
                <w:spacing w:val="-24"/>
                <w:w w:val="105"/>
                <w:szCs w:val="24"/>
              </w:rPr>
              <w:t xml:space="preserve"> </w:t>
            </w:r>
            <w:r w:rsidRPr="00450E4D">
              <w:rPr>
                <w:color w:val="000000" w:themeColor="text1"/>
                <w:w w:val="105"/>
                <w:szCs w:val="24"/>
              </w:rPr>
              <w:t>służący do przetwarzania danych pomiarowych, w celu ich przekazania</w:t>
            </w:r>
            <w:r w:rsidRPr="00450E4D">
              <w:rPr>
                <w:color w:val="000000" w:themeColor="text1"/>
                <w:spacing w:val="-18"/>
                <w:w w:val="105"/>
                <w:szCs w:val="24"/>
              </w:rPr>
              <w:t xml:space="preserve"> </w:t>
            </w:r>
            <w:r w:rsidRPr="00450E4D">
              <w:rPr>
                <w:color w:val="000000" w:themeColor="text1"/>
                <w:w w:val="105"/>
                <w:szCs w:val="24"/>
              </w:rPr>
              <w:t>do Centralnego systemu informacji rynku</w:t>
            </w:r>
            <w:r w:rsidRPr="00450E4D">
              <w:rPr>
                <w:color w:val="000000" w:themeColor="text1"/>
                <w:spacing w:val="13"/>
                <w:w w:val="105"/>
                <w:szCs w:val="24"/>
              </w:rPr>
              <w:t xml:space="preserve"> </w:t>
            </w:r>
            <w:r w:rsidRPr="00450E4D">
              <w:rPr>
                <w:color w:val="000000" w:themeColor="text1"/>
                <w:w w:val="105"/>
                <w:szCs w:val="24"/>
              </w:rPr>
              <w:t>energii.</w:t>
            </w:r>
          </w:p>
        </w:tc>
      </w:tr>
      <w:tr w:rsidR="00085EC5" w:rsidRPr="009F21BD" w14:paraId="55BB7728" w14:textId="77777777" w:rsidTr="00A9381E">
        <w:tc>
          <w:tcPr>
            <w:tcW w:w="3261" w:type="dxa"/>
            <w:gridSpan w:val="2"/>
          </w:tcPr>
          <w:p w14:paraId="0035C977" w14:textId="77777777" w:rsidR="00085EC5" w:rsidRPr="009F21BD" w:rsidRDefault="00085EC5" w:rsidP="00085EC5">
            <w:pPr>
              <w:spacing w:before="120"/>
              <w:ind w:left="-48"/>
              <w:rPr>
                <w:b/>
                <w:bCs/>
              </w:rPr>
            </w:pPr>
            <w:r w:rsidRPr="009F21BD">
              <w:rPr>
                <w:b/>
                <w:bCs/>
              </w:rPr>
              <w:lastRenderedPageBreak/>
              <w:t>System pomiarowo-rozliczeniowy</w:t>
            </w:r>
          </w:p>
        </w:tc>
        <w:tc>
          <w:tcPr>
            <w:tcW w:w="6025" w:type="dxa"/>
          </w:tcPr>
          <w:p w14:paraId="2A7E98DF" w14:textId="77777777" w:rsidR="00085EC5" w:rsidRPr="009F21BD" w:rsidRDefault="00085EC5" w:rsidP="00085EC5">
            <w:pPr>
              <w:spacing w:before="120"/>
              <w:jc w:val="both"/>
            </w:pPr>
            <w:r w:rsidRPr="009F21BD">
              <w:t xml:space="preserve">Teleinformatyczny system pozyskiwania, przetwarzania </w:t>
            </w:r>
            <w:r w:rsidRPr="009F21BD">
              <w:br/>
              <w:t>i udostępniania danych pomiarowych i pomiarowo-rozliczeniowych pochodzących z systemu zdalnego odczytu danych pomiarowych, systemów automatycznej rejestracji danych oraz z innych systemów.</w:t>
            </w:r>
          </w:p>
        </w:tc>
      </w:tr>
      <w:tr w:rsidR="001851F9" w:rsidRPr="009F21BD" w14:paraId="730D24FE" w14:textId="77777777" w:rsidTr="00A9381E">
        <w:tc>
          <w:tcPr>
            <w:tcW w:w="3261" w:type="dxa"/>
            <w:gridSpan w:val="2"/>
          </w:tcPr>
          <w:p w14:paraId="6577197F" w14:textId="76E582FF" w:rsidR="001851F9" w:rsidRPr="009F21BD" w:rsidRDefault="001851F9" w:rsidP="001851F9">
            <w:pPr>
              <w:ind w:left="-48"/>
              <w:rPr>
                <w:b/>
                <w:bCs/>
              </w:rPr>
            </w:pPr>
            <w:r>
              <w:rPr>
                <w:rFonts w:cs="Times New Roman"/>
                <w:b/>
                <w:color w:val="000000"/>
                <w:w w:val="105"/>
                <w:szCs w:val="24"/>
              </w:rPr>
              <w:t>System zdalnego odczytu</w:t>
            </w:r>
          </w:p>
        </w:tc>
        <w:tc>
          <w:tcPr>
            <w:tcW w:w="6025" w:type="dxa"/>
          </w:tcPr>
          <w:p w14:paraId="251A0A62" w14:textId="484D62FE" w:rsidR="001851F9" w:rsidRPr="009F21BD" w:rsidRDefault="001851F9" w:rsidP="000B2882">
            <w:pPr>
              <w:ind w:right="70" w:firstLine="1"/>
              <w:jc w:val="both"/>
            </w:pPr>
            <w:r>
              <w:rPr>
                <w:rFonts w:cs="Times New Roman"/>
                <w:color w:val="000000"/>
                <w:w w:val="105"/>
                <w:szCs w:val="24"/>
              </w:rPr>
              <w:t>System informacyjny służący do</w:t>
            </w:r>
            <w:r>
              <w:rPr>
                <w:rFonts w:cs="Times New Roman"/>
                <w:color w:val="000000"/>
                <w:spacing w:val="-8"/>
                <w:w w:val="105"/>
                <w:szCs w:val="24"/>
              </w:rPr>
              <w:t xml:space="preserve"> </w:t>
            </w:r>
            <w:r>
              <w:rPr>
                <w:rFonts w:cs="Times New Roman"/>
                <w:color w:val="000000"/>
                <w:w w:val="105"/>
                <w:szCs w:val="24"/>
              </w:rPr>
              <w:t>pozyskiwania</w:t>
            </w:r>
            <w:r>
              <w:rPr>
                <w:rFonts w:cs="Times New Roman"/>
                <w:color w:val="000000"/>
                <w:spacing w:val="52"/>
                <w:w w:val="105"/>
                <w:szCs w:val="24"/>
              </w:rPr>
              <w:t xml:space="preserve"> </w:t>
            </w:r>
            <w:r>
              <w:rPr>
                <w:rFonts w:cs="Times New Roman"/>
                <w:color w:val="000000"/>
                <w:w w:val="105"/>
                <w:szCs w:val="24"/>
              </w:rPr>
              <w:t>danych</w:t>
            </w:r>
            <w:r>
              <w:rPr>
                <w:rFonts w:cs="Times New Roman"/>
                <w:color w:val="000000"/>
                <w:w w:val="103"/>
                <w:szCs w:val="24"/>
              </w:rPr>
              <w:t xml:space="preserve"> </w:t>
            </w:r>
            <w:r>
              <w:rPr>
                <w:rFonts w:cs="Times New Roman"/>
                <w:color w:val="000000"/>
                <w:w w:val="105"/>
                <w:szCs w:val="24"/>
              </w:rPr>
              <w:t>pomiarowych z liczników zdalnego odczytu</w:t>
            </w:r>
            <w:r>
              <w:rPr>
                <w:rFonts w:cs="Times New Roman"/>
                <w:color w:val="000000"/>
                <w:spacing w:val="-3"/>
                <w:w w:val="105"/>
                <w:szCs w:val="24"/>
              </w:rPr>
              <w:t xml:space="preserve"> </w:t>
            </w:r>
            <w:r>
              <w:rPr>
                <w:rFonts w:cs="Times New Roman"/>
                <w:color w:val="000000"/>
                <w:spacing w:val="-3"/>
                <w:w w:val="105"/>
                <w:szCs w:val="24"/>
              </w:rPr>
              <w:br/>
            </w:r>
            <w:r>
              <w:rPr>
                <w:rFonts w:cs="Times New Roman"/>
                <w:color w:val="000000"/>
                <w:w w:val="105"/>
                <w:szCs w:val="24"/>
              </w:rPr>
              <w:t>i</w:t>
            </w:r>
            <w:r>
              <w:rPr>
                <w:rFonts w:cs="Times New Roman"/>
                <w:color w:val="000000"/>
                <w:spacing w:val="5"/>
                <w:w w:val="105"/>
                <w:szCs w:val="24"/>
              </w:rPr>
              <w:t xml:space="preserve"> </w:t>
            </w:r>
            <w:r>
              <w:rPr>
                <w:rFonts w:cs="Times New Roman"/>
                <w:color w:val="000000"/>
                <w:w w:val="105"/>
                <w:szCs w:val="24"/>
              </w:rPr>
              <w:t>informacji</w:t>
            </w:r>
            <w:r>
              <w:rPr>
                <w:rFonts w:cs="Times New Roman"/>
                <w:color w:val="000000"/>
                <w:spacing w:val="-1"/>
                <w:w w:val="103"/>
                <w:szCs w:val="24"/>
              </w:rPr>
              <w:t xml:space="preserve"> </w:t>
            </w:r>
            <w:r>
              <w:rPr>
                <w:rFonts w:cs="Times New Roman"/>
                <w:color w:val="000000"/>
                <w:w w:val="105"/>
                <w:szCs w:val="24"/>
              </w:rPr>
              <w:t>o zdarzeniach rejestrowanych przez te liczniki oraz służący do wysyłania poleceń do liczników zdalnego odczytu.</w:t>
            </w:r>
          </w:p>
        </w:tc>
      </w:tr>
      <w:tr w:rsidR="00085EC5" w:rsidRPr="009F21BD" w14:paraId="56369774" w14:textId="77777777" w:rsidTr="00A9381E">
        <w:tc>
          <w:tcPr>
            <w:tcW w:w="3261" w:type="dxa"/>
            <w:gridSpan w:val="2"/>
          </w:tcPr>
          <w:p w14:paraId="13D72116" w14:textId="77777777" w:rsidR="00085EC5" w:rsidRPr="009F21BD" w:rsidRDefault="00085EC5" w:rsidP="00085EC5">
            <w:pPr>
              <w:spacing w:before="120"/>
              <w:ind w:left="-48"/>
              <w:rPr>
                <w:b/>
                <w:bCs/>
              </w:rPr>
            </w:pPr>
            <w:r w:rsidRPr="009F21BD">
              <w:rPr>
                <w:b/>
                <w:bCs/>
              </w:rPr>
              <w:t>Średnie napięcie</w:t>
            </w:r>
          </w:p>
        </w:tc>
        <w:tc>
          <w:tcPr>
            <w:tcW w:w="6025" w:type="dxa"/>
          </w:tcPr>
          <w:p w14:paraId="3F1CFD84" w14:textId="77777777" w:rsidR="00085EC5" w:rsidRPr="009F21BD" w:rsidRDefault="00085EC5" w:rsidP="00085EC5">
            <w:pPr>
              <w:spacing w:before="120"/>
              <w:jc w:val="both"/>
            </w:pPr>
            <w:r w:rsidRPr="009F21BD">
              <w:t>Napięcie wyższe od 1 kV i niższe od 110 kV.</w:t>
            </w:r>
          </w:p>
        </w:tc>
      </w:tr>
      <w:tr w:rsidR="00085EC5" w:rsidRPr="009F21BD" w14:paraId="385E7BD5" w14:textId="77777777" w:rsidTr="00A9381E">
        <w:tc>
          <w:tcPr>
            <w:tcW w:w="3261" w:type="dxa"/>
            <w:gridSpan w:val="2"/>
          </w:tcPr>
          <w:p w14:paraId="075D2991" w14:textId="77777777" w:rsidR="00085EC5" w:rsidRPr="009F21BD" w:rsidRDefault="00085EC5" w:rsidP="00085EC5">
            <w:pPr>
              <w:spacing w:before="120"/>
              <w:ind w:left="-48" w:hanging="22"/>
              <w:rPr>
                <w:b/>
                <w:bCs/>
              </w:rPr>
            </w:pPr>
            <w:r>
              <w:rPr>
                <w:rFonts w:eastAsia="Times New Roman" w:cs="Times New Roman"/>
                <w:b/>
                <w:color w:val="000000"/>
                <w:szCs w:val="24"/>
              </w:rPr>
              <w:t>TCM</w:t>
            </w:r>
          </w:p>
        </w:tc>
        <w:tc>
          <w:tcPr>
            <w:tcW w:w="6025" w:type="dxa"/>
          </w:tcPr>
          <w:p w14:paraId="1C104CC9" w14:textId="1AB5E38F" w:rsidR="00085EC5" w:rsidRPr="009F21BD" w:rsidRDefault="00085EC5" w:rsidP="00085EC5">
            <w:pPr>
              <w:pStyle w:val="Default"/>
              <w:jc w:val="both"/>
            </w:pPr>
            <w:r w:rsidRPr="00A22613">
              <w:t xml:space="preserve">Metody, warunki, wymogi i zasady (ang. „terms, conditions and methodologies”) przyjęte na podstawie rozporządzenia Parlamentu Europejskiego i Rady (UE) 2019/943 z dnia </w:t>
            </w:r>
            <w:r w:rsidR="00B7178D">
              <w:br/>
            </w:r>
            <w:r w:rsidRPr="00A22613">
              <w:t>5 czerwca 2019 r. w sprawie rynku wewnętrznego energii elektrycznej (Dz. Urz. UE L 158</w:t>
            </w:r>
            <w:r w:rsidR="00B7178D">
              <w:t>/54</w:t>
            </w:r>
            <w:r w:rsidRPr="00A22613">
              <w:t xml:space="preserve"> z 14.06.2019.) lub Kodeksów sieci. </w:t>
            </w:r>
          </w:p>
        </w:tc>
      </w:tr>
      <w:tr w:rsidR="00F579EE" w:rsidRPr="009F21BD" w14:paraId="015A8D7F" w14:textId="77777777" w:rsidTr="00A9381E">
        <w:tc>
          <w:tcPr>
            <w:tcW w:w="3261" w:type="dxa"/>
            <w:gridSpan w:val="2"/>
          </w:tcPr>
          <w:p w14:paraId="489DAB8D" w14:textId="4A7387A1" w:rsidR="00F579EE" w:rsidRDefault="00F579EE" w:rsidP="00F579EE">
            <w:pPr>
              <w:ind w:left="-48" w:hanging="22"/>
              <w:rPr>
                <w:rFonts w:eastAsia="Times New Roman" w:cs="Times New Roman"/>
                <w:b/>
                <w:color w:val="000000"/>
                <w:szCs w:val="24"/>
              </w:rPr>
            </w:pPr>
            <w:r>
              <w:rPr>
                <w:rFonts w:cs="Times New Roman"/>
                <w:b/>
                <w:color w:val="000000"/>
                <w:w w:val="105"/>
                <w:szCs w:val="24"/>
              </w:rPr>
              <w:t>Tryb LFSM-O</w:t>
            </w:r>
          </w:p>
        </w:tc>
        <w:tc>
          <w:tcPr>
            <w:tcW w:w="6025" w:type="dxa"/>
          </w:tcPr>
          <w:p w14:paraId="63CB17BD" w14:textId="6D9AD3D6" w:rsidR="00F579EE" w:rsidRPr="00A22613" w:rsidRDefault="00F579EE" w:rsidP="00F579EE">
            <w:pPr>
              <w:tabs>
                <w:tab w:val="left" w:pos="3503"/>
              </w:tabs>
              <w:ind w:firstLine="1"/>
              <w:jc w:val="both"/>
            </w:pPr>
            <w:r>
              <w:rPr>
                <w:rFonts w:cs="Times New Roman"/>
                <w:color w:val="000000"/>
                <w:szCs w:val="24"/>
              </w:rPr>
              <w:t xml:space="preserve">Oznacza tryb pracy modułu wytwarzania energii lub systemu HVDC, w którym generowana moc czynna zmniejsza się </w:t>
            </w:r>
            <w:r w:rsidR="0038093B">
              <w:rPr>
                <w:rFonts w:cs="Times New Roman"/>
                <w:color w:val="000000"/>
                <w:szCs w:val="24"/>
              </w:rPr>
              <w:br/>
            </w:r>
            <w:r>
              <w:rPr>
                <w:rFonts w:cs="Times New Roman"/>
                <w:color w:val="000000"/>
                <w:szCs w:val="24"/>
              </w:rPr>
              <w:t>w odpowiedzi na wzrost częstotliwości systemu powyżej określonej wartości.</w:t>
            </w:r>
          </w:p>
        </w:tc>
      </w:tr>
      <w:tr w:rsidR="0038093B" w:rsidRPr="009F21BD" w14:paraId="5F77FE50" w14:textId="77777777" w:rsidTr="00A9381E">
        <w:tc>
          <w:tcPr>
            <w:tcW w:w="3261" w:type="dxa"/>
            <w:gridSpan w:val="2"/>
          </w:tcPr>
          <w:p w14:paraId="5940FB36" w14:textId="33283F66" w:rsidR="0038093B" w:rsidRDefault="0038093B" w:rsidP="00F579EE">
            <w:pPr>
              <w:ind w:left="-48" w:hanging="22"/>
              <w:rPr>
                <w:rFonts w:cs="Times New Roman"/>
                <w:b/>
                <w:color w:val="000000"/>
                <w:w w:val="105"/>
                <w:szCs w:val="24"/>
              </w:rPr>
            </w:pPr>
            <w:r>
              <w:rPr>
                <w:rFonts w:cs="Times New Roman"/>
                <w:b/>
                <w:color w:val="000000"/>
                <w:w w:val="105"/>
                <w:szCs w:val="24"/>
              </w:rPr>
              <w:t>Tryb LFSM-U</w:t>
            </w:r>
          </w:p>
        </w:tc>
        <w:tc>
          <w:tcPr>
            <w:tcW w:w="6025" w:type="dxa"/>
          </w:tcPr>
          <w:p w14:paraId="2CF21E0F" w14:textId="26E9ACE7" w:rsidR="0038093B" w:rsidRDefault="0038093B" w:rsidP="0038093B">
            <w:pPr>
              <w:pStyle w:val="Tekstpodstawowy"/>
              <w:tabs>
                <w:tab w:val="clear" w:pos="4536"/>
              </w:tabs>
              <w:spacing w:line="240" w:lineRule="auto"/>
              <w:ind w:firstLine="3"/>
              <w:rPr>
                <w:szCs w:val="24"/>
              </w:rPr>
            </w:pPr>
            <w:r>
              <w:t xml:space="preserve">Oznacza tryb pracy modułu wytwarzania energii lub systemu HVDC, w którym generowana moc czynna zwiększa się </w:t>
            </w:r>
            <w:r>
              <w:br/>
              <w:t>w następstwie spadku częstotliwości systemu poniżej określonej wartości.</w:t>
            </w:r>
          </w:p>
        </w:tc>
      </w:tr>
      <w:tr w:rsidR="00085EC5" w:rsidRPr="009F21BD" w14:paraId="0815602D" w14:textId="77777777" w:rsidTr="00A9381E">
        <w:tc>
          <w:tcPr>
            <w:tcW w:w="3261" w:type="dxa"/>
            <w:gridSpan w:val="2"/>
          </w:tcPr>
          <w:p w14:paraId="1BC178CB" w14:textId="77777777" w:rsidR="00085EC5" w:rsidRPr="009F21BD" w:rsidRDefault="00085EC5" w:rsidP="00085EC5">
            <w:pPr>
              <w:spacing w:before="120"/>
              <w:rPr>
                <w:b/>
              </w:rPr>
            </w:pPr>
            <w:r w:rsidRPr="009F21BD">
              <w:rPr>
                <w:b/>
              </w:rPr>
              <w:t>Uczestnik Rynku Bilansującego</w:t>
            </w:r>
          </w:p>
        </w:tc>
        <w:tc>
          <w:tcPr>
            <w:tcW w:w="6025" w:type="dxa"/>
          </w:tcPr>
          <w:p w14:paraId="6843B220" w14:textId="322C4A08" w:rsidR="00085EC5" w:rsidRPr="009F21BD" w:rsidRDefault="00085EC5" w:rsidP="00085EC5">
            <w:pPr>
              <w:spacing w:before="120"/>
              <w:jc w:val="both"/>
            </w:pPr>
            <w:r w:rsidRPr="00D45E51">
              <w:rPr>
                <w:rFonts w:cs="Times New Roman"/>
                <w:szCs w:val="24"/>
              </w:rPr>
              <w:t>Podmiot, który ma zawartą Umowę o świadczenie usług przesyłania z OSP, na mocy której, w celu zapewnienia sobie zbilansowania handlowego, realizuje dostawy energii poprzez obszar Rynku Bilansującego oraz podlega</w:t>
            </w:r>
            <w:r>
              <w:rPr>
                <w:rFonts w:cs="Times New Roman"/>
                <w:szCs w:val="24"/>
              </w:rPr>
              <w:t xml:space="preserve"> </w:t>
            </w:r>
            <w:r w:rsidRPr="00D45E51">
              <w:rPr>
                <w:rFonts w:cs="Times New Roman"/>
                <w:szCs w:val="24"/>
              </w:rPr>
              <w:t xml:space="preserve">rozliczeniom </w:t>
            </w:r>
            <w:r w:rsidR="00895D4B">
              <w:rPr>
                <w:rFonts w:cs="Times New Roman"/>
                <w:szCs w:val="24"/>
              </w:rPr>
              <w:br/>
            </w:r>
            <w:r w:rsidRPr="00D45E51">
              <w:rPr>
                <w:rFonts w:cs="Times New Roman"/>
                <w:szCs w:val="24"/>
              </w:rPr>
              <w:t xml:space="preserve">z tytułu działań obejmujących bilansowanie energii </w:t>
            </w:r>
            <w:r w:rsidR="00895D4B">
              <w:rPr>
                <w:rFonts w:cs="Times New Roman"/>
                <w:szCs w:val="24"/>
              </w:rPr>
              <w:br/>
            </w:r>
            <w:r w:rsidRPr="00D45E51">
              <w:rPr>
                <w:rFonts w:cs="Times New Roman"/>
                <w:szCs w:val="24"/>
              </w:rPr>
              <w:t xml:space="preserve">i zarządzanie ograniczeniami systemowymi, zgodnie </w:t>
            </w:r>
            <w:r>
              <w:rPr>
                <w:rFonts w:cs="Times New Roman"/>
                <w:szCs w:val="24"/>
              </w:rPr>
              <w:br/>
            </w:r>
            <w:r w:rsidRPr="00D45E51">
              <w:rPr>
                <w:rFonts w:cs="Times New Roman"/>
                <w:szCs w:val="24"/>
              </w:rPr>
              <w:t xml:space="preserve">z zasadami określonymi w WDB. </w:t>
            </w:r>
          </w:p>
        </w:tc>
      </w:tr>
      <w:tr w:rsidR="00085EC5" w:rsidRPr="009F21BD" w14:paraId="173B9E25" w14:textId="77777777" w:rsidTr="00A9381E">
        <w:tc>
          <w:tcPr>
            <w:tcW w:w="3261" w:type="dxa"/>
            <w:gridSpan w:val="2"/>
          </w:tcPr>
          <w:p w14:paraId="37175D10" w14:textId="77777777" w:rsidR="00085EC5" w:rsidRPr="009F21BD" w:rsidRDefault="00085EC5" w:rsidP="00085EC5">
            <w:pPr>
              <w:spacing w:before="120"/>
              <w:rPr>
                <w:b/>
              </w:rPr>
            </w:pPr>
            <w:r w:rsidRPr="009F21BD">
              <w:rPr>
                <w:b/>
              </w:rPr>
              <w:t>Uczestnik Rynku Detalicznego</w:t>
            </w:r>
          </w:p>
        </w:tc>
        <w:tc>
          <w:tcPr>
            <w:tcW w:w="6025" w:type="dxa"/>
          </w:tcPr>
          <w:p w14:paraId="165A09EE" w14:textId="77777777" w:rsidR="00085EC5" w:rsidRPr="009F21BD" w:rsidRDefault="00085EC5" w:rsidP="00085EC5">
            <w:pPr>
              <w:pStyle w:val="Default"/>
              <w:spacing w:before="120"/>
              <w:jc w:val="both"/>
              <w:rPr>
                <w:color w:val="auto"/>
              </w:rPr>
            </w:pPr>
            <w:r w:rsidRPr="009F21BD">
              <w:rPr>
                <w:color w:val="auto"/>
              </w:rPr>
              <w:t xml:space="preserve">Podmiot, którego urządzenia lub instalacje są przyłączone do sieci dystrybucyjnej OSD nie objętej obszarem rynku bilansującego oraz który zawarł umowę o świadczenie usług dystrybucji z OSD. </w:t>
            </w:r>
          </w:p>
        </w:tc>
      </w:tr>
      <w:tr w:rsidR="00085EC5" w:rsidRPr="009F21BD" w14:paraId="1A5EDD50" w14:textId="77777777" w:rsidTr="00A9381E">
        <w:tc>
          <w:tcPr>
            <w:tcW w:w="3261" w:type="dxa"/>
            <w:gridSpan w:val="2"/>
          </w:tcPr>
          <w:p w14:paraId="652EAB22" w14:textId="77777777" w:rsidR="00085EC5" w:rsidRPr="009F21BD" w:rsidRDefault="00085EC5" w:rsidP="00085EC5">
            <w:pPr>
              <w:spacing w:before="120"/>
              <w:rPr>
                <w:b/>
              </w:rPr>
            </w:pPr>
            <w:r>
              <w:rPr>
                <w:rFonts w:eastAsia="Times New Roman" w:cs="Times New Roman"/>
                <w:b/>
                <w:color w:val="000000"/>
                <w:szCs w:val="24"/>
              </w:rPr>
              <w:t>Układ ARNE</w:t>
            </w:r>
          </w:p>
        </w:tc>
        <w:tc>
          <w:tcPr>
            <w:tcW w:w="6025" w:type="dxa"/>
          </w:tcPr>
          <w:p w14:paraId="4A68324F" w14:textId="77777777" w:rsidR="00085EC5" w:rsidRPr="009F21BD" w:rsidRDefault="00085EC5" w:rsidP="00085EC5">
            <w:pPr>
              <w:pStyle w:val="Default"/>
              <w:spacing w:before="120"/>
              <w:jc w:val="both"/>
              <w:rPr>
                <w:color w:val="auto"/>
              </w:rPr>
            </w:pPr>
            <w:r w:rsidRPr="00851F3A">
              <w:t xml:space="preserve">Układ automatycznej regulacji napięcia i mocy biernej </w:t>
            </w:r>
            <w:r>
              <w:br/>
            </w:r>
            <w:r w:rsidRPr="00851F3A">
              <w:t>w węźle wytwórczym</w:t>
            </w:r>
            <w:r>
              <w:t>.</w:t>
            </w:r>
          </w:p>
        </w:tc>
      </w:tr>
      <w:tr w:rsidR="00085EC5" w:rsidRPr="009F21BD" w14:paraId="0688E7CD" w14:textId="77777777" w:rsidTr="00A9381E">
        <w:tc>
          <w:tcPr>
            <w:tcW w:w="3261" w:type="dxa"/>
            <w:gridSpan w:val="2"/>
          </w:tcPr>
          <w:p w14:paraId="445D0D05" w14:textId="77777777" w:rsidR="00085EC5" w:rsidRPr="009F21BD" w:rsidRDefault="00085EC5" w:rsidP="00085EC5">
            <w:pPr>
              <w:ind w:left="-48"/>
              <w:rPr>
                <w:b/>
                <w:bCs/>
              </w:rPr>
            </w:pPr>
            <w:r w:rsidRPr="009F21BD">
              <w:rPr>
                <w:b/>
                <w:bCs/>
              </w:rPr>
              <w:t>Układ pomiarowo-rozliczeniowy</w:t>
            </w:r>
          </w:p>
        </w:tc>
        <w:tc>
          <w:tcPr>
            <w:tcW w:w="6025" w:type="dxa"/>
            <w:shd w:val="clear" w:color="auto" w:fill="auto"/>
          </w:tcPr>
          <w:p w14:paraId="40C9532E" w14:textId="7CA7439D" w:rsidR="00085EC5" w:rsidRPr="009F21BD" w:rsidRDefault="00085EC5" w:rsidP="00085EC5">
            <w:pPr>
              <w:pStyle w:val="Tekstpodstawowy"/>
              <w:spacing w:before="0" w:line="240" w:lineRule="auto"/>
              <w:ind w:hanging="5"/>
            </w:pPr>
            <w:r>
              <w:t xml:space="preserve">Urządzenia pomiarowo-rozliczeniowe, liczniki i inne przyrządy pomiarowe, a także układy połączeń między nimi, służące bezpośrednio lub pośrednio do pomiarów ilości energii elektrycznej i rozliczeń za tę energię, </w:t>
            </w:r>
            <w:r>
              <w:br/>
              <w:t xml:space="preserve">w szczególności liczniki energii czynnej i liczniki energii </w:t>
            </w:r>
            <w:r>
              <w:lastRenderedPageBreak/>
              <w:t>biernej, w tym takie liczniki wraz z przekładnikami prądowymi i</w:t>
            </w:r>
            <w:r>
              <w:rPr>
                <w:spacing w:val="-33"/>
              </w:rPr>
              <w:t xml:space="preserve"> </w:t>
            </w:r>
            <w:r>
              <w:t>napięciowymi.</w:t>
            </w:r>
          </w:p>
        </w:tc>
      </w:tr>
      <w:tr w:rsidR="00085EC5" w:rsidRPr="009F21BD" w14:paraId="1C584571" w14:textId="77777777" w:rsidTr="00A9381E">
        <w:tc>
          <w:tcPr>
            <w:tcW w:w="3261" w:type="dxa"/>
            <w:gridSpan w:val="2"/>
          </w:tcPr>
          <w:p w14:paraId="4D316004" w14:textId="77777777" w:rsidR="00085EC5" w:rsidRPr="009F21BD" w:rsidRDefault="00085EC5" w:rsidP="00085EC5">
            <w:pPr>
              <w:spacing w:before="120"/>
              <w:ind w:left="-48"/>
              <w:rPr>
                <w:b/>
                <w:bCs/>
              </w:rPr>
            </w:pPr>
            <w:r w:rsidRPr="009F21BD">
              <w:rPr>
                <w:b/>
                <w:bCs/>
              </w:rPr>
              <w:lastRenderedPageBreak/>
              <w:t>Układ pomiarowo-rozliczeniowy podstawowy</w:t>
            </w:r>
          </w:p>
        </w:tc>
        <w:tc>
          <w:tcPr>
            <w:tcW w:w="6025" w:type="dxa"/>
            <w:shd w:val="clear" w:color="auto" w:fill="auto"/>
          </w:tcPr>
          <w:p w14:paraId="7A3D4A4C" w14:textId="77777777" w:rsidR="00085EC5" w:rsidRPr="009F21BD" w:rsidRDefault="00085EC5" w:rsidP="00085EC5">
            <w:pPr>
              <w:autoSpaceDE w:val="0"/>
              <w:autoSpaceDN w:val="0"/>
              <w:adjustRightInd w:val="0"/>
              <w:spacing w:before="120"/>
              <w:jc w:val="both"/>
            </w:pPr>
            <w:r w:rsidRPr="009F21BD">
              <w:t xml:space="preserve">Układ pomiarowo - rozliczeniowy, którego wskazania stanowią podstawę do rozliczeń ilościowych </w:t>
            </w:r>
            <w:r w:rsidRPr="009F21BD">
              <w:br/>
              <w:t>i wartościowych.</w:t>
            </w:r>
          </w:p>
        </w:tc>
      </w:tr>
      <w:tr w:rsidR="00085EC5" w:rsidRPr="009F21BD" w14:paraId="70F05B6E" w14:textId="77777777" w:rsidTr="00A9381E">
        <w:tc>
          <w:tcPr>
            <w:tcW w:w="3261" w:type="dxa"/>
            <w:gridSpan w:val="2"/>
          </w:tcPr>
          <w:p w14:paraId="016CAF09" w14:textId="77777777" w:rsidR="00085EC5" w:rsidRPr="009F21BD" w:rsidRDefault="00085EC5" w:rsidP="00085EC5">
            <w:pPr>
              <w:spacing w:before="120"/>
              <w:ind w:left="-48"/>
              <w:rPr>
                <w:b/>
                <w:bCs/>
                <w:vertAlign w:val="subscript"/>
              </w:rPr>
            </w:pPr>
            <w:r w:rsidRPr="009F21BD">
              <w:rPr>
                <w:b/>
                <w:bCs/>
              </w:rPr>
              <w:t>Układ pomiarowo-rozliczeniowy rezerwowy</w:t>
            </w:r>
          </w:p>
        </w:tc>
        <w:tc>
          <w:tcPr>
            <w:tcW w:w="6025" w:type="dxa"/>
            <w:shd w:val="clear" w:color="auto" w:fill="auto"/>
          </w:tcPr>
          <w:p w14:paraId="41839B79" w14:textId="77777777" w:rsidR="00085EC5" w:rsidRPr="009F21BD" w:rsidRDefault="00085EC5" w:rsidP="00085EC5">
            <w:pPr>
              <w:autoSpaceDE w:val="0"/>
              <w:autoSpaceDN w:val="0"/>
              <w:adjustRightInd w:val="0"/>
              <w:spacing w:before="120"/>
              <w:jc w:val="both"/>
            </w:pPr>
            <w:r w:rsidRPr="009F21BD">
              <w:t xml:space="preserve">Układ pomiarowo - rozliczeniowy, którego wskazania stanowią podstawę do rozliczeń ilościowych </w:t>
            </w:r>
            <w:r w:rsidRPr="009F21BD">
              <w:br/>
              <w:t>i wartościowych w przypadku nieprawidłowego działania układu pomiarowo - rozliczeniowego podstawowego.</w:t>
            </w:r>
          </w:p>
        </w:tc>
      </w:tr>
      <w:tr w:rsidR="00085EC5" w:rsidRPr="009F21BD" w14:paraId="3FB7C7BE" w14:textId="77777777" w:rsidTr="00A9381E">
        <w:tc>
          <w:tcPr>
            <w:tcW w:w="3261" w:type="dxa"/>
            <w:gridSpan w:val="2"/>
          </w:tcPr>
          <w:p w14:paraId="4FF07489" w14:textId="77777777" w:rsidR="00085EC5" w:rsidRPr="009F21BD" w:rsidRDefault="00085EC5" w:rsidP="00085EC5">
            <w:pPr>
              <w:pStyle w:val="styl0"/>
              <w:spacing w:before="120"/>
              <w:rPr>
                <w:b/>
              </w:rPr>
            </w:pPr>
            <w:r w:rsidRPr="009F21BD">
              <w:rPr>
                <w:b/>
              </w:rPr>
              <w:t>Układ pomiarowo -kontrolny</w:t>
            </w:r>
          </w:p>
        </w:tc>
        <w:tc>
          <w:tcPr>
            <w:tcW w:w="6025" w:type="dxa"/>
          </w:tcPr>
          <w:p w14:paraId="56B3830F" w14:textId="77777777" w:rsidR="00085EC5" w:rsidRPr="009F21BD" w:rsidRDefault="00085EC5" w:rsidP="00085EC5">
            <w:pPr>
              <w:pStyle w:val="styl0"/>
              <w:spacing w:before="120"/>
              <w:rPr>
                <w:szCs w:val="24"/>
              </w:rPr>
            </w:pPr>
            <w:r w:rsidRPr="009F21BD">
              <w:rPr>
                <w:szCs w:val="24"/>
              </w:rPr>
              <w:t>Układ pomiarowy, którego wskazania stanowią podstawę do monitorowania prawidłowości wskazań układów pomiarowo-rozliczeniowych poprzez porównywanie zmierzonych wielkości i/lub bilansowanie obiektów elektroenergetycznych lub obszarów sieci.</w:t>
            </w:r>
          </w:p>
        </w:tc>
      </w:tr>
      <w:tr w:rsidR="00085EC5" w:rsidRPr="009F21BD" w14:paraId="63C98C82" w14:textId="77777777" w:rsidTr="00A9381E">
        <w:tc>
          <w:tcPr>
            <w:tcW w:w="3261" w:type="dxa"/>
            <w:gridSpan w:val="2"/>
          </w:tcPr>
          <w:p w14:paraId="08769014" w14:textId="77777777" w:rsidR="00085EC5" w:rsidRPr="009F21BD" w:rsidRDefault="00085EC5" w:rsidP="00085EC5">
            <w:pPr>
              <w:spacing w:before="120"/>
              <w:ind w:left="-48"/>
              <w:rPr>
                <w:b/>
                <w:bCs/>
              </w:rPr>
            </w:pPr>
            <w:r w:rsidRPr="009F21BD">
              <w:rPr>
                <w:b/>
                <w:bCs/>
              </w:rPr>
              <w:t>Układ zabezpieczeniowy</w:t>
            </w:r>
          </w:p>
        </w:tc>
        <w:tc>
          <w:tcPr>
            <w:tcW w:w="6025" w:type="dxa"/>
          </w:tcPr>
          <w:p w14:paraId="478210C1" w14:textId="77777777" w:rsidR="00085EC5" w:rsidRPr="009F21BD" w:rsidRDefault="00085EC5" w:rsidP="00085EC5">
            <w:pPr>
              <w:pStyle w:val="Default"/>
              <w:spacing w:before="120"/>
              <w:jc w:val="both"/>
              <w:rPr>
                <w:color w:val="auto"/>
              </w:rPr>
            </w:pPr>
            <w:r w:rsidRPr="009F21BD">
              <w:rPr>
                <w:color w:val="auto"/>
              </w:rPr>
              <w:t xml:space="preserve">Zespół złożony z jednego lub kilku urządzeń zabezpieczeniowych i innych urządzeń współpracujących przeznaczony do spełniania jednej lub wielu określonych funkcji zabezpieczeniowych. </w:t>
            </w:r>
          </w:p>
        </w:tc>
      </w:tr>
      <w:tr w:rsidR="00085EC5" w:rsidRPr="00A55301" w14:paraId="2ED04FD2" w14:textId="77777777" w:rsidTr="00A9381E">
        <w:tc>
          <w:tcPr>
            <w:tcW w:w="3261" w:type="dxa"/>
            <w:gridSpan w:val="2"/>
            <w:shd w:val="clear" w:color="auto" w:fill="auto"/>
          </w:tcPr>
          <w:p w14:paraId="4620539C" w14:textId="77777777" w:rsidR="00085EC5" w:rsidRPr="009F21BD" w:rsidRDefault="00085EC5" w:rsidP="00085EC5">
            <w:pPr>
              <w:spacing w:before="120"/>
              <w:ind w:left="-48"/>
              <w:rPr>
                <w:b/>
                <w:bCs/>
              </w:rPr>
            </w:pPr>
            <w:r w:rsidRPr="009F21BD">
              <w:rPr>
                <w:b/>
                <w:bCs/>
              </w:rPr>
              <w:t>Umowa o świadczenie usług dystrybucji energii elektrycznej</w:t>
            </w:r>
          </w:p>
        </w:tc>
        <w:tc>
          <w:tcPr>
            <w:tcW w:w="6025" w:type="dxa"/>
            <w:shd w:val="clear" w:color="auto" w:fill="auto"/>
          </w:tcPr>
          <w:p w14:paraId="61344F3A" w14:textId="77777777" w:rsidR="00085EC5" w:rsidRPr="00A55301" w:rsidRDefault="00085EC5" w:rsidP="00085EC5">
            <w:pPr>
              <w:pStyle w:val="Default"/>
              <w:spacing w:before="120"/>
              <w:jc w:val="both"/>
              <w:rPr>
                <w:color w:val="auto"/>
                <w:sz w:val="23"/>
                <w:szCs w:val="23"/>
              </w:rPr>
            </w:pPr>
            <w:r w:rsidRPr="00A55301">
              <w:rPr>
                <w:color w:val="auto"/>
                <w:sz w:val="23"/>
                <w:szCs w:val="23"/>
              </w:rPr>
              <w:t>Umowa o świadczenie usług dystrybucji reguluje kompleksowo stosunki pomiędzy OSDn i URDo lub URDw oraz określa warunki świadczenia usług dystrybucji energii elektrycznej dla wszystkich odbiorców przyłączonych do sieci dystrybucyjnej OSDn, którym OSDn dostarcza energię elektryczną lub pobiera energię elektryczną w przypadku URDw. Rozliczenia wynikające z umowy o świadczenie usług dystrybucji dokonywane są w oparciu o Taryfę dla energii elektrycznej OSDn w zakresie dystrybucji.</w:t>
            </w:r>
          </w:p>
        </w:tc>
      </w:tr>
      <w:tr w:rsidR="00085EC5" w:rsidRPr="00A55301" w14:paraId="77E6599C" w14:textId="77777777" w:rsidTr="00A9381E">
        <w:tc>
          <w:tcPr>
            <w:tcW w:w="3261" w:type="dxa"/>
            <w:gridSpan w:val="2"/>
          </w:tcPr>
          <w:p w14:paraId="0892E669" w14:textId="77777777" w:rsidR="00085EC5" w:rsidRPr="009F21BD" w:rsidRDefault="00085EC5" w:rsidP="00085EC5">
            <w:pPr>
              <w:spacing w:before="120"/>
              <w:ind w:left="-48"/>
              <w:rPr>
                <w:b/>
                <w:bCs/>
              </w:rPr>
            </w:pPr>
            <w:r w:rsidRPr="009F21BD">
              <w:rPr>
                <w:b/>
                <w:bCs/>
              </w:rPr>
              <w:t>Urządzenia</w:t>
            </w:r>
          </w:p>
        </w:tc>
        <w:tc>
          <w:tcPr>
            <w:tcW w:w="6025" w:type="dxa"/>
          </w:tcPr>
          <w:p w14:paraId="069E09B0" w14:textId="77777777" w:rsidR="00085EC5" w:rsidRPr="00A55301" w:rsidRDefault="00085EC5" w:rsidP="00085EC5">
            <w:pPr>
              <w:spacing w:before="120"/>
              <w:jc w:val="both"/>
              <w:rPr>
                <w:sz w:val="23"/>
                <w:szCs w:val="23"/>
              </w:rPr>
            </w:pPr>
            <w:r w:rsidRPr="00A55301">
              <w:rPr>
                <w:sz w:val="23"/>
                <w:szCs w:val="23"/>
              </w:rPr>
              <w:t>Urządzenia techniczne stosowane w procesach energetycznych.</w:t>
            </w:r>
          </w:p>
        </w:tc>
      </w:tr>
      <w:tr w:rsidR="00085EC5" w:rsidRPr="00A55301" w14:paraId="2EE888A8" w14:textId="77777777" w:rsidTr="00A9381E">
        <w:tc>
          <w:tcPr>
            <w:tcW w:w="3261" w:type="dxa"/>
            <w:gridSpan w:val="2"/>
          </w:tcPr>
          <w:p w14:paraId="5B08AA1C" w14:textId="77777777" w:rsidR="00085EC5" w:rsidRPr="009F21BD" w:rsidRDefault="00085EC5" w:rsidP="00085EC5">
            <w:pPr>
              <w:spacing w:before="120"/>
              <w:ind w:left="-48"/>
              <w:rPr>
                <w:b/>
                <w:bCs/>
              </w:rPr>
            </w:pPr>
            <w:r w:rsidRPr="009F21BD">
              <w:rPr>
                <w:b/>
                <w:bCs/>
              </w:rPr>
              <w:t>Usługa kompleksowa</w:t>
            </w:r>
          </w:p>
        </w:tc>
        <w:tc>
          <w:tcPr>
            <w:tcW w:w="6025" w:type="dxa"/>
          </w:tcPr>
          <w:p w14:paraId="7672D87F" w14:textId="77777777" w:rsidR="00085EC5" w:rsidRPr="00A55301" w:rsidRDefault="00085EC5" w:rsidP="00085EC5">
            <w:pPr>
              <w:spacing w:before="120"/>
              <w:jc w:val="both"/>
              <w:rPr>
                <w:sz w:val="23"/>
                <w:szCs w:val="23"/>
              </w:rPr>
            </w:pPr>
            <w:r w:rsidRPr="00A55301">
              <w:rPr>
                <w:sz w:val="23"/>
                <w:szCs w:val="23"/>
              </w:rPr>
              <w:t>Usługa świadczona na podstawie umowy zawierającej postanowienia umowy sprzedaży i umowy o świadczenie usługi przesyłania lub dystrybucji energii.</w:t>
            </w:r>
          </w:p>
        </w:tc>
      </w:tr>
      <w:tr w:rsidR="00085EC5" w:rsidRPr="00A55301" w14:paraId="0B544F97" w14:textId="77777777" w:rsidTr="00A9381E">
        <w:tc>
          <w:tcPr>
            <w:tcW w:w="3261" w:type="dxa"/>
            <w:gridSpan w:val="2"/>
          </w:tcPr>
          <w:p w14:paraId="29CF6D13" w14:textId="77777777" w:rsidR="00085EC5" w:rsidRPr="009F21BD" w:rsidRDefault="00085EC5" w:rsidP="00085EC5">
            <w:pPr>
              <w:spacing w:before="120"/>
              <w:ind w:left="-48"/>
              <w:rPr>
                <w:b/>
                <w:bCs/>
              </w:rPr>
            </w:pPr>
            <w:r w:rsidRPr="009F21BD">
              <w:rPr>
                <w:b/>
                <w:bCs/>
              </w:rPr>
              <w:t>Usługi systemowe</w:t>
            </w:r>
          </w:p>
        </w:tc>
        <w:tc>
          <w:tcPr>
            <w:tcW w:w="6025" w:type="dxa"/>
            <w:shd w:val="clear" w:color="auto" w:fill="auto"/>
          </w:tcPr>
          <w:p w14:paraId="159835CA" w14:textId="77777777" w:rsidR="00085EC5" w:rsidRPr="00A55301" w:rsidRDefault="00085EC5" w:rsidP="00085EC5">
            <w:pPr>
              <w:autoSpaceDE w:val="0"/>
              <w:autoSpaceDN w:val="0"/>
              <w:adjustRightInd w:val="0"/>
              <w:spacing w:before="120"/>
              <w:jc w:val="both"/>
              <w:rPr>
                <w:sz w:val="23"/>
                <w:szCs w:val="23"/>
              </w:rPr>
            </w:pPr>
            <w:r w:rsidRPr="00A55301">
              <w:rPr>
                <w:sz w:val="23"/>
                <w:szCs w:val="23"/>
              </w:rPr>
              <w:t>Usługi świadczone na rzecz OSP, niezbędne do zapewnienia przez OSP prawidłowego funkcjonowania KSE, niezawodności jego pracy i utrzymywania parametrów jakościowych energii elektrycznej.</w:t>
            </w:r>
          </w:p>
        </w:tc>
      </w:tr>
      <w:tr w:rsidR="00085EC5" w:rsidRPr="00A55301" w14:paraId="18CD17B4" w14:textId="77777777" w:rsidTr="00A9381E">
        <w:tc>
          <w:tcPr>
            <w:tcW w:w="3261" w:type="dxa"/>
            <w:gridSpan w:val="2"/>
          </w:tcPr>
          <w:p w14:paraId="3C7E1917" w14:textId="77777777" w:rsidR="00085EC5" w:rsidRPr="009F21BD" w:rsidRDefault="00085EC5" w:rsidP="00085EC5">
            <w:pPr>
              <w:spacing w:before="120"/>
              <w:ind w:left="-48"/>
              <w:rPr>
                <w:b/>
                <w:bCs/>
              </w:rPr>
            </w:pPr>
            <w:r w:rsidRPr="009F21BD">
              <w:rPr>
                <w:b/>
                <w:bCs/>
              </w:rPr>
              <w:t>Ustawa</w:t>
            </w:r>
          </w:p>
        </w:tc>
        <w:tc>
          <w:tcPr>
            <w:tcW w:w="6025" w:type="dxa"/>
            <w:shd w:val="clear" w:color="auto" w:fill="auto"/>
          </w:tcPr>
          <w:p w14:paraId="4C955AE6" w14:textId="77777777" w:rsidR="00085EC5" w:rsidRPr="00A55301" w:rsidRDefault="00085EC5" w:rsidP="00085EC5">
            <w:pPr>
              <w:autoSpaceDE w:val="0"/>
              <w:autoSpaceDN w:val="0"/>
              <w:adjustRightInd w:val="0"/>
              <w:spacing w:before="120"/>
              <w:jc w:val="both"/>
              <w:rPr>
                <w:sz w:val="23"/>
                <w:szCs w:val="23"/>
              </w:rPr>
            </w:pPr>
            <w:r w:rsidRPr="00A55301">
              <w:rPr>
                <w:sz w:val="23"/>
                <w:szCs w:val="23"/>
              </w:rPr>
              <w:t>Ustawa z dnia 10.04.1997r. –Prawo energetyczne z późn.zm.</w:t>
            </w:r>
          </w:p>
        </w:tc>
      </w:tr>
      <w:tr w:rsidR="00085EC5" w:rsidRPr="00A55301" w14:paraId="02DD1B87" w14:textId="77777777" w:rsidTr="00A9381E">
        <w:tc>
          <w:tcPr>
            <w:tcW w:w="3261" w:type="dxa"/>
            <w:gridSpan w:val="2"/>
          </w:tcPr>
          <w:p w14:paraId="0F130852" w14:textId="77777777" w:rsidR="00085EC5" w:rsidRPr="009F21BD" w:rsidRDefault="00085EC5" w:rsidP="00085EC5">
            <w:pPr>
              <w:spacing w:before="120"/>
              <w:ind w:left="-48"/>
              <w:rPr>
                <w:b/>
                <w:bCs/>
              </w:rPr>
            </w:pPr>
            <w:r w:rsidRPr="009F21BD">
              <w:rPr>
                <w:b/>
                <w:bCs/>
              </w:rPr>
              <w:t>Użytkownik systemu</w:t>
            </w:r>
          </w:p>
        </w:tc>
        <w:tc>
          <w:tcPr>
            <w:tcW w:w="6025" w:type="dxa"/>
          </w:tcPr>
          <w:p w14:paraId="6832E08B" w14:textId="77777777" w:rsidR="00085EC5" w:rsidRPr="00A55301" w:rsidRDefault="00085EC5" w:rsidP="00085EC5">
            <w:pPr>
              <w:spacing w:before="120"/>
              <w:jc w:val="both"/>
              <w:rPr>
                <w:sz w:val="23"/>
                <w:szCs w:val="23"/>
              </w:rPr>
            </w:pPr>
            <w:r w:rsidRPr="00A55301">
              <w:rPr>
                <w:sz w:val="23"/>
                <w:szCs w:val="23"/>
              </w:rPr>
              <w:t>Podmiot dostarczający energię elektryczną do systemu elektroenergetycznego lub zaopatrywany z tego systemu.</w:t>
            </w:r>
          </w:p>
        </w:tc>
      </w:tr>
      <w:tr w:rsidR="00085EC5" w:rsidRPr="00A55301" w14:paraId="350AEDF8" w14:textId="77777777" w:rsidTr="00A9381E">
        <w:tc>
          <w:tcPr>
            <w:tcW w:w="3261" w:type="dxa"/>
            <w:gridSpan w:val="2"/>
          </w:tcPr>
          <w:p w14:paraId="7775B426" w14:textId="77777777" w:rsidR="00085EC5" w:rsidRPr="009F21BD" w:rsidRDefault="00085EC5" w:rsidP="00085EC5">
            <w:pPr>
              <w:spacing w:before="120"/>
              <w:ind w:left="-48"/>
              <w:rPr>
                <w:b/>
                <w:bCs/>
              </w:rPr>
            </w:pPr>
            <w:r>
              <w:rPr>
                <w:b/>
                <w:bCs/>
                <w:sz w:val="23"/>
                <w:szCs w:val="23"/>
              </w:rPr>
              <w:t>Warunki dotyczące bilansowania</w:t>
            </w:r>
          </w:p>
        </w:tc>
        <w:tc>
          <w:tcPr>
            <w:tcW w:w="6025" w:type="dxa"/>
          </w:tcPr>
          <w:p w14:paraId="798D1927" w14:textId="77777777" w:rsidR="00085EC5" w:rsidRPr="00A55301" w:rsidRDefault="00085EC5" w:rsidP="00085EC5">
            <w:pPr>
              <w:spacing w:before="120"/>
              <w:jc w:val="both"/>
              <w:rPr>
                <w:sz w:val="23"/>
                <w:szCs w:val="23"/>
              </w:rPr>
            </w:pPr>
            <w:r w:rsidRPr="008A631D">
              <w:rPr>
                <w:sz w:val="23"/>
                <w:szCs w:val="23"/>
              </w:rPr>
              <w:t>Dokument opracowany przez OSP na podstawie art. 18 rozporządzenia Komisji (UE) 2017/2195 z dnia 23 listopada 2017 r. ustanawiającym wytyczne dotyczące bilansowania (Dz. Urz. UE L 312/6 z 28.11.2017 r.) - EB GL, zatwierdzony decyzją Prezesa URE</w:t>
            </w:r>
          </w:p>
        </w:tc>
      </w:tr>
      <w:tr w:rsidR="00085EC5" w:rsidRPr="00A55301" w14:paraId="5707B4F6" w14:textId="77777777" w:rsidTr="00A9381E">
        <w:tc>
          <w:tcPr>
            <w:tcW w:w="3261" w:type="dxa"/>
            <w:gridSpan w:val="2"/>
          </w:tcPr>
          <w:p w14:paraId="4F7A1D3A" w14:textId="77777777" w:rsidR="00085EC5" w:rsidRPr="009F21BD" w:rsidRDefault="00085EC5" w:rsidP="00085EC5">
            <w:pPr>
              <w:spacing w:before="120"/>
              <w:ind w:left="-48"/>
              <w:rPr>
                <w:b/>
                <w:bCs/>
              </w:rPr>
            </w:pPr>
            <w:r w:rsidRPr="009F21BD">
              <w:rPr>
                <w:b/>
                <w:bCs/>
              </w:rPr>
              <w:t>Wyłączenie awaryjne</w:t>
            </w:r>
          </w:p>
        </w:tc>
        <w:tc>
          <w:tcPr>
            <w:tcW w:w="6025" w:type="dxa"/>
          </w:tcPr>
          <w:p w14:paraId="1AC01C3B" w14:textId="77777777" w:rsidR="00085EC5" w:rsidRPr="00A55301" w:rsidRDefault="00085EC5" w:rsidP="00085EC5">
            <w:pPr>
              <w:spacing w:before="120"/>
              <w:jc w:val="both"/>
              <w:rPr>
                <w:sz w:val="23"/>
                <w:szCs w:val="23"/>
              </w:rPr>
            </w:pPr>
            <w:r w:rsidRPr="00A55301">
              <w:rPr>
                <w:sz w:val="23"/>
                <w:szCs w:val="23"/>
              </w:rPr>
              <w:t xml:space="preserve">Wyłączenie urządzeń automatyczne lub ręczne, </w:t>
            </w:r>
            <w:r w:rsidRPr="00A55301">
              <w:rPr>
                <w:sz w:val="23"/>
                <w:szCs w:val="23"/>
              </w:rPr>
              <w:br/>
              <w:t xml:space="preserve">w przypadku zagrożenia bezpieczeństwa tego urządzenia lub </w:t>
            </w:r>
            <w:r w:rsidRPr="00A55301">
              <w:rPr>
                <w:sz w:val="23"/>
                <w:szCs w:val="23"/>
              </w:rPr>
              <w:lastRenderedPageBreak/>
              <w:t>innych urządzeń, instalacji i sieci albo zagrożenia bezpieczeństwa osób, mienia lub środowiska.</w:t>
            </w:r>
          </w:p>
        </w:tc>
      </w:tr>
      <w:tr w:rsidR="00085EC5" w:rsidRPr="00A55301" w14:paraId="6884B0E0" w14:textId="77777777" w:rsidTr="00A9381E">
        <w:tc>
          <w:tcPr>
            <w:tcW w:w="3261" w:type="dxa"/>
            <w:gridSpan w:val="2"/>
          </w:tcPr>
          <w:p w14:paraId="5DB61DAD" w14:textId="77777777" w:rsidR="00085EC5" w:rsidRPr="009F21BD" w:rsidRDefault="00085EC5" w:rsidP="00085EC5">
            <w:pPr>
              <w:spacing w:before="120"/>
              <w:ind w:left="-48"/>
              <w:rPr>
                <w:b/>
                <w:bCs/>
              </w:rPr>
            </w:pPr>
            <w:r w:rsidRPr="009F21BD">
              <w:rPr>
                <w:b/>
                <w:bCs/>
              </w:rPr>
              <w:lastRenderedPageBreak/>
              <w:t>Wytwórca</w:t>
            </w:r>
          </w:p>
        </w:tc>
        <w:tc>
          <w:tcPr>
            <w:tcW w:w="6025" w:type="dxa"/>
            <w:shd w:val="clear" w:color="auto" w:fill="auto"/>
          </w:tcPr>
          <w:p w14:paraId="2E9D6DA9" w14:textId="77777777" w:rsidR="00085EC5" w:rsidRPr="00A55301" w:rsidRDefault="00085EC5" w:rsidP="00085EC5">
            <w:pPr>
              <w:autoSpaceDE w:val="0"/>
              <w:autoSpaceDN w:val="0"/>
              <w:adjustRightInd w:val="0"/>
              <w:spacing w:before="120"/>
              <w:jc w:val="both"/>
              <w:rPr>
                <w:sz w:val="23"/>
                <w:szCs w:val="23"/>
              </w:rPr>
            </w:pPr>
            <w:r w:rsidRPr="003B5EA2">
              <w:rPr>
                <w:rFonts w:eastAsia="Times New Roman" w:cs="Times New Roman"/>
                <w:bCs/>
                <w:color w:val="000000"/>
                <w:szCs w:val="24"/>
              </w:rPr>
              <w:t>Przedsiębiorstwo energetyczne zajmujące się wytwarzaniem energii elektrycznej, którego jednostki wytwórcze przyłączone są do sieci elektroenergetycznej.</w:t>
            </w:r>
          </w:p>
        </w:tc>
      </w:tr>
      <w:tr w:rsidR="009B06FF" w:rsidRPr="00A55301" w14:paraId="33845B24" w14:textId="77777777" w:rsidTr="00A9381E">
        <w:tc>
          <w:tcPr>
            <w:tcW w:w="3261" w:type="dxa"/>
            <w:gridSpan w:val="2"/>
          </w:tcPr>
          <w:p w14:paraId="364154FB" w14:textId="77777777" w:rsidR="009B06FF" w:rsidRDefault="009B06FF" w:rsidP="00EA49DE">
            <w:pPr>
              <w:spacing w:line="292" w:lineRule="auto"/>
              <w:ind w:right="-12" w:hanging="5"/>
              <w:rPr>
                <w:rFonts w:cs="Times New Roman"/>
                <w:b/>
                <w:color w:val="000000"/>
                <w:szCs w:val="24"/>
              </w:rPr>
            </w:pPr>
            <w:r>
              <w:rPr>
                <w:rFonts w:cs="Times New Roman"/>
                <w:b/>
                <w:color w:val="000000"/>
                <w:w w:val="105"/>
                <w:szCs w:val="24"/>
              </w:rPr>
              <w:t>Zagregowane</w:t>
            </w:r>
            <w:r>
              <w:rPr>
                <w:rFonts w:cs="Times New Roman"/>
                <w:b/>
                <w:color w:val="000000"/>
                <w:spacing w:val="-12"/>
                <w:w w:val="105"/>
                <w:szCs w:val="24"/>
              </w:rPr>
              <w:t xml:space="preserve"> </w:t>
            </w:r>
            <w:r>
              <w:rPr>
                <w:rFonts w:cs="Times New Roman"/>
                <w:b/>
                <w:color w:val="000000"/>
                <w:w w:val="105"/>
                <w:szCs w:val="24"/>
              </w:rPr>
              <w:t>dane pomiarowe</w:t>
            </w:r>
          </w:p>
          <w:p w14:paraId="0CB4A461" w14:textId="77777777" w:rsidR="009B06FF" w:rsidRPr="009F21BD" w:rsidRDefault="009B06FF" w:rsidP="00085EC5">
            <w:pPr>
              <w:spacing w:before="120"/>
              <w:ind w:left="-48"/>
              <w:rPr>
                <w:b/>
                <w:bCs/>
              </w:rPr>
            </w:pPr>
          </w:p>
        </w:tc>
        <w:tc>
          <w:tcPr>
            <w:tcW w:w="6025" w:type="dxa"/>
            <w:shd w:val="clear" w:color="auto" w:fill="auto"/>
          </w:tcPr>
          <w:p w14:paraId="0912DBBB" w14:textId="17A3DB1C" w:rsidR="009B06FF" w:rsidRPr="003B5EA2" w:rsidRDefault="009B06FF" w:rsidP="009B06FF">
            <w:pPr>
              <w:autoSpaceDE w:val="0"/>
              <w:autoSpaceDN w:val="0"/>
              <w:adjustRightInd w:val="0"/>
              <w:spacing w:before="120"/>
              <w:jc w:val="both"/>
              <w:rPr>
                <w:rFonts w:eastAsia="Times New Roman" w:cs="Times New Roman"/>
                <w:bCs/>
                <w:color w:val="000000"/>
                <w:szCs w:val="24"/>
              </w:rPr>
            </w:pPr>
            <w:r>
              <w:rPr>
                <w:color w:val="000000"/>
              </w:rPr>
              <w:t>Dane pomiarowe dla zbioru punktów pomiarowych, dla których nie jest możliwe przypisanie ich do danego użytkownika systemu elektroenergetycznego.</w:t>
            </w:r>
          </w:p>
        </w:tc>
      </w:tr>
      <w:tr w:rsidR="00085EC5" w:rsidRPr="00A55301" w14:paraId="00CB0E38" w14:textId="77777777" w:rsidTr="00A9381E">
        <w:tc>
          <w:tcPr>
            <w:tcW w:w="3261" w:type="dxa"/>
            <w:gridSpan w:val="2"/>
          </w:tcPr>
          <w:p w14:paraId="45828254" w14:textId="77777777" w:rsidR="00085EC5" w:rsidRPr="00C6236A" w:rsidRDefault="00085EC5" w:rsidP="00085EC5">
            <w:pPr>
              <w:pStyle w:val="Default"/>
              <w:ind w:right="2"/>
              <w:jc w:val="both"/>
            </w:pPr>
            <w:r w:rsidRPr="00C6236A">
              <w:rPr>
                <w:b/>
                <w:bCs/>
              </w:rPr>
              <w:t xml:space="preserve">Zapotrzebowanie sieci </w:t>
            </w:r>
          </w:p>
          <w:p w14:paraId="3ACE9B25" w14:textId="77777777" w:rsidR="00085EC5" w:rsidRPr="009F21BD" w:rsidRDefault="00085EC5" w:rsidP="00085EC5">
            <w:pPr>
              <w:spacing w:before="120"/>
              <w:ind w:left="-48"/>
              <w:rPr>
                <w:b/>
                <w:bCs/>
              </w:rPr>
            </w:pPr>
          </w:p>
        </w:tc>
        <w:tc>
          <w:tcPr>
            <w:tcW w:w="6025" w:type="dxa"/>
            <w:shd w:val="clear" w:color="auto" w:fill="auto"/>
          </w:tcPr>
          <w:p w14:paraId="2322B0FC" w14:textId="77777777" w:rsidR="00085EC5" w:rsidRPr="00C6236A" w:rsidRDefault="00085EC5" w:rsidP="00085EC5">
            <w:pPr>
              <w:pStyle w:val="Default"/>
              <w:ind w:right="2"/>
              <w:jc w:val="both"/>
            </w:pPr>
            <w:r w:rsidRPr="00C6236A">
              <w:t xml:space="preserve">Zapotrzebowanie na moc odbiorców przyłączonych do sieci przesyłowej i dystrybucyjnej oraz bezpośrednio do urządzeń, instalacji lub sieci innych przedsiębiorstw energetycznych, powiększone o straty w sieci przesyłowej i dystrybucyjnej, pomniejszone o moc bezpośrednio dostarczaną przez źródła wytwórcze do odbiorców z pominięciem sieci należącej do innych </w:t>
            </w:r>
          </w:p>
          <w:p w14:paraId="04EC8586" w14:textId="77777777" w:rsidR="00085EC5" w:rsidRPr="003B5EA2" w:rsidRDefault="00085EC5" w:rsidP="00085EC5">
            <w:pPr>
              <w:autoSpaceDE w:val="0"/>
              <w:autoSpaceDN w:val="0"/>
              <w:adjustRightInd w:val="0"/>
              <w:spacing w:before="120"/>
              <w:jc w:val="both"/>
              <w:rPr>
                <w:rFonts w:eastAsia="Times New Roman" w:cs="Times New Roman"/>
                <w:bCs/>
                <w:color w:val="000000"/>
                <w:szCs w:val="24"/>
              </w:rPr>
            </w:pPr>
            <w:r w:rsidRPr="00C6236A">
              <w:t>przedsiębiorstw energetycznych.</w:t>
            </w:r>
            <w:r w:rsidRPr="002F4547">
              <w:t xml:space="preserve"> </w:t>
            </w:r>
          </w:p>
        </w:tc>
      </w:tr>
      <w:tr w:rsidR="00085EC5" w:rsidRPr="00A55301" w14:paraId="403E4747" w14:textId="77777777" w:rsidTr="00A9381E">
        <w:tc>
          <w:tcPr>
            <w:tcW w:w="3261" w:type="dxa"/>
            <w:gridSpan w:val="2"/>
          </w:tcPr>
          <w:p w14:paraId="08ED3817" w14:textId="77777777" w:rsidR="00085EC5" w:rsidRPr="009F21BD" w:rsidRDefault="00085EC5" w:rsidP="00085EC5">
            <w:pPr>
              <w:spacing w:before="120"/>
              <w:ind w:left="-48"/>
              <w:rPr>
                <w:b/>
                <w:bCs/>
              </w:rPr>
            </w:pPr>
            <w:r w:rsidRPr="009F21BD">
              <w:rPr>
                <w:b/>
                <w:bCs/>
              </w:rPr>
              <w:t>Zaprzestanie dostaw energii elektrycznej</w:t>
            </w:r>
          </w:p>
        </w:tc>
        <w:tc>
          <w:tcPr>
            <w:tcW w:w="6025" w:type="dxa"/>
            <w:shd w:val="clear" w:color="auto" w:fill="auto"/>
          </w:tcPr>
          <w:p w14:paraId="0F8D713F" w14:textId="7F82F3F4" w:rsidR="00085EC5" w:rsidRPr="00A55301" w:rsidRDefault="005A5449" w:rsidP="00085EC5">
            <w:pPr>
              <w:pStyle w:val="Default"/>
              <w:spacing w:before="120"/>
              <w:jc w:val="both"/>
              <w:rPr>
                <w:color w:val="auto"/>
                <w:sz w:val="23"/>
                <w:szCs w:val="23"/>
              </w:rPr>
            </w:pPr>
            <w:r w:rsidRPr="005A5449">
              <w:rPr>
                <w:color w:val="000000" w:themeColor="text1"/>
                <w:w w:val="105"/>
              </w:rPr>
              <w:t>Niedostarczanie</w:t>
            </w:r>
            <w:r w:rsidRPr="005A5449">
              <w:rPr>
                <w:color w:val="000000" w:themeColor="text1"/>
                <w:spacing w:val="-28"/>
                <w:w w:val="105"/>
              </w:rPr>
              <w:t xml:space="preserve"> </w:t>
            </w:r>
            <w:r w:rsidRPr="005A5449">
              <w:rPr>
                <w:color w:val="000000" w:themeColor="text1"/>
                <w:w w:val="105"/>
              </w:rPr>
              <w:t>energii</w:t>
            </w:r>
            <w:r w:rsidRPr="005A5449">
              <w:rPr>
                <w:color w:val="000000" w:themeColor="text1"/>
                <w:spacing w:val="-11"/>
                <w:w w:val="105"/>
              </w:rPr>
              <w:t xml:space="preserve"> </w:t>
            </w:r>
            <w:r w:rsidRPr="005A5449">
              <w:rPr>
                <w:color w:val="000000" w:themeColor="text1"/>
                <w:w w:val="105"/>
              </w:rPr>
              <w:t>elektrycznej</w:t>
            </w:r>
            <w:r w:rsidRPr="005A5449">
              <w:rPr>
                <w:color w:val="000000" w:themeColor="text1"/>
                <w:spacing w:val="-12"/>
                <w:w w:val="105"/>
              </w:rPr>
              <w:t xml:space="preserve"> </w:t>
            </w:r>
            <w:r w:rsidRPr="005A5449">
              <w:rPr>
                <w:color w:val="000000" w:themeColor="text1"/>
                <w:w w:val="105"/>
              </w:rPr>
              <w:t>do</w:t>
            </w:r>
            <w:r w:rsidRPr="005A5449">
              <w:rPr>
                <w:color w:val="000000" w:themeColor="text1"/>
                <w:spacing w:val="-20"/>
                <w:w w:val="105"/>
              </w:rPr>
              <w:t xml:space="preserve"> </w:t>
            </w:r>
            <w:r w:rsidRPr="005A5449">
              <w:rPr>
                <w:color w:val="000000" w:themeColor="text1"/>
                <w:w w:val="105"/>
              </w:rPr>
              <w:t>przyłączonego</w:t>
            </w:r>
            <w:r w:rsidRPr="005A5449">
              <w:rPr>
                <w:color w:val="000000" w:themeColor="text1"/>
                <w:spacing w:val="-9"/>
                <w:w w:val="105"/>
              </w:rPr>
              <w:t xml:space="preserve"> </w:t>
            </w:r>
            <w:r w:rsidRPr="005A5449">
              <w:rPr>
                <w:color w:val="000000" w:themeColor="text1"/>
                <w:w w:val="105"/>
              </w:rPr>
              <w:t>obiektu</w:t>
            </w:r>
            <w:r w:rsidRPr="005A5449">
              <w:rPr>
                <w:color w:val="000000" w:themeColor="text1"/>
                <w:spacing w:val="-5"/>
                <w:w w:val="105"/>
              </w:rPr>
              <w:t xml:space="preserve"> </w:t>
            </w:r>
            <w:r w:rsidRPr="005A5449">
              <w:rPr>
                <w:color w:val="000000" w:themeColor="text1"/>
                <w:w w:val="105"/>
              </w:rPr>
              <w:t xml:space="preserve">bez dokonania trwałego demontażu elementów      przyłącza, w szczególności z powodu rozwiązania lub wygaśnięcia umowy o świadczenie usług dystrybucji lub umowy sprzedaży, w tym umowy sprzedaży rezerwowej lub umowy kompleksowej, w tym rezerwowej umowy kompleksowej, lub z powodu zgłoszenia/powiadomienia przez sprzedawcę umowy kompleksowej niezgodnie </w:t>
            </w:r>
            <w:r>
              <w:rPr>
                <w:color w:val="000000" w:themeColor="text1"/>
                <w:w w:val="105"/>
              </w:rPr>
              <w:br/>
            </w:r>
            <w:r w:rsidRPr="005A5449">
              <w:rPr>
                <w:color w:val="000000" w:themeColor="text1"/>
                <w:w w:val="105"/>
              </w:rPr>
              <w:t>z przedmiotem</w:t>
            </w:r>
            <w:r w:rsidRPr="005A5449">
              <w:rPr>
                <w:color w:val="000000" w:themeColor="text1"/>
                <w:spacing w:val="1"/>
                <w:w w:val="105"/>
              </w:rPr>
              <w:t xml:space="preserve"> </w:t>
            </w:r>
            <w:r w:rsidRPr="005A5449">
              <w:rPr>
                <w:color w:val="000000" w:themeColor="text1"/>
                <w:w w:val="105"/>
              </w:rPr>
              <w:t>GUD</w:t>
            </w:r>
            <w:r>
              <w:rPr>
                <w:color w:val="000000" w:themeColor="text1"/>
                <w:w w:val="105"/>
              </w:rPr>
              <w:t>-K.</w:t>
            </w:r>
          </w:p>
        </w:tc>
      </w:tr>
      <w:tr w:rsidR="00085EC5" w:rsidRPr="00A55301" w14:paraId="3E4EEDA9" w14:textId="77777777" w:rsidTr="00A9381E">
        <w:trPr>
          <w:trHeight w:val="80"/>
        </w:trPr>
        <w:tc>
          <w:tcPr>
            <w:tcW w:w="3261" w:type="dxa"/>
            <w:gridSpan w:val="2"/>
          </w:tcPr>
          <w:p w14:paraId="304158A1" w14:textId="77777777" w:rsidR="00085EC5" w:rsidRPr="009F21BD" w:rsidRDefault="00085EC5" w:rsidP="00085EC5">
            <w:pPr>
              <w:spacing w:before="120"/>
              <w:ind w:left="-48"/>
              <w:rPr>
                <w:b/>
                <w:bCs/>
              </w:rPr>
            </w:pPr>
            <w:r w:rsidRPr="009F21BD">
              <w:rPr>
                <w:b/>
                <w:bCs/>
              </w:rPr>
              <w:t>Zarządzanie ograniczeniami systemowymi</w:t>
            </w:r>
          </w:p>
        </w:tc>
        <w:tc>
          <w:tcPr>
            <w:tcW w:w="6025" w:type="dxa"/>
          </w:tcPr>
          <w:p w14:paraId="55F1F4F3" w14:textId="77777777" w:rsidR="00085EC5" w:rsidRPr="00A55301" w:rsidRDefault="00085EC5" w:rsidP="00085EC5">
            <w:pPr>
              <w:spacing w:before="120"/>
              <w:jc w:val="both"/>
              <w:rPr>
                <w:sz w:val="23"/>
                <w:szCs w:val="23"/>
              </w:rPr>
            </w:pPr>
            <w:r w:rsidRPr="00A55301">
              <w:rPr>
                <w:sz w:val="23"/>
                <w:szCs w:val="23"/>
              </w:rPr>
              <w:t xml:space="preserve">Działalność gospodarcza wykonywana przez operatora systemu przesyłowego lub dystrybucyjnego w ramach świadczonych usług przesyłania lub dystrybucji w celu zapewnienia bezpieczeństwa funkcjonowania systemu </w:t>
            </w:r>
            <w:r>
              <w:rPr>
                <w:sz w:val="23"/>
                <w:szCs w:val="23"/>
              </w:rPr>
              <w:t>e</w:t>
            </w:r>
            <w:r w:rsidRPr="00A55301">
              <w:rPr>
                <w:sz w:val="23"/>
                <w:szCs w:val="23"/>
              </w:rPr>
              <w:t xml:space="preserve">lektroenergetycznego oraz zapewnienia, zgodnie z przepisami wydanymi na podstawie ustawy Prawo energetyczne, wymaganych parametrów technicznych energii elektrycznej </w:t>
            </w:r>
            <w:r>
              <w:rPr>
                <w:sz w:val="23"/>
                <w:szCs w:val="23"/>
              </w:rPr>
              <w:br/>
            </w:r>
            <w:r w:rsidRPr="00A55301">
              <w:rPr>
                <w:sz w:val="23"/>
                <w:szCs w:val="23"/>
              </w:rPr>
              <w:t xml:space="preserve">w przypadku wystąpienia ograniczeń technicznych </w:t>
            </w:r>
            <w:r>
              <w:rPr>
                <w:sz w:val="23"/>
                <w:szCs w:val="23"/>
              </w:rPr>
              <w:br/>
            </w:r>
            <w:r w:rsidRPr="00A55301">
              <w:rPr>
                <w:sz w:val="23"/>
                <w:szCs w:val="23"/>
              </w:rPr>
              <w:t>w przepustowości tych systemów.</w:t>
            </w:r>
          </w:p>
        </w:tc>
      </w:tr>
      <w:tr w:rsidR="004B11C9" w:rsidRPr="00A55301" w14:paraId="600784EB" w14:textId="77777777" w:rsidTr="00A9381E">
        <w:trPr>
          <w:trHeight w:val="80"/>
        </w:trPr>
        <w:tc>
          <w:tcPr>
            <w:tcW w:w="3261" w:type="dxa"/>
            <w:gridSpan w:val="2"/>
          </w:tcPr>
          <w:p w14:paraId="75C2AE70" w14:textId="1FD35563" w:rsidR="004B11C9" w:rsidRPr="009F21BD" w:rsidRDefault="004B11C9" w:rsidP="00085EC5">
            <w:pPr>
              <w:spacing w:before="120"/>
              <w:ind w:left="-48"/>
              <w:rPr>
                <w:b/>
                <w:bCs/>
              </w:rPr>
            </w:pPr>
            <w:r>
              <w:rPr>
                <w:b/>
                <w:bCs/>
              </w:rPr>
              <w:t>Zastępcze dane pomiarowe</w:t>
            </w:r>
          </w:p>
        </w:tc>
        <w:tc>
          <w:tcPr>
            <w:tcW w:w="6025" w:type="dxa"/>
          </w:tcPr>
          <w:p w14:paraId="3CCCDEE1" w14:textId="77777777" w:rsidR="004B11C9" w:rsidRPr="004B11C9" w:rsidRDefault="004B11C9" w:rsidP="004B11C9">
            <w:pPr>
              <w:pStyle w:val="Tekstpodstawowy"/>
              <w:spacing w:before="147" w:line="240" w:lineRule="auto"/>
              <w:ind w:right="72"/>
              <w:rPr>
                <w:color w:val="000000" w:themeColor="text1"/>
              </w:rPr>
            </w:pPr>
            <w:r w:rsidRPr="004B11C9">
              <w:rPr>
                <w:color w:val="000000" w:themeColor="text1"/>
                <w:w w:val="105"/>
              </w:rPr>
              <w:t>Dane pomiarowe wyznaczone w przypadku braku możliwości pozyskania rzeczywistych danych pomiarowych z licznika konwencjonalnego lub z</w:t>
            </w:r>
            <w:r w:rsidRPr="004B11C9">
              <w:rPr>
                <w:color w:val="000000" w:themeColor="text1"/>
                <w:spacing w:val="-37"/>
                <w:w w:val="105"/>
              </w:rPr>
              <w:t xml:space="preserve"> </w:t>
            </w:r>
            <w:r w:rsidRPr="004B11C9">
              <w:rPr>
                <w:color w:val="000000" w:themeColor="text1"/>
                <w:w w:val="105"/>
              </w:rPr>
              <w:t>licznika zdalnego</w:t>
            </w:r>
            <w:r w:rsidRPr="004B11C9">
              <w:rPr>
                <w:color w:val="000000" w:themeColor="text1"/>
                <w:spacing w:val="10"/>
                <w:w w:val="105"/>
              </w:rPr>
              <w:t xml:space="preserve"> </w:t>
            </w:r>
            <w:r w:rsidRPr="004B11C9">
              <w:rPr>
                <w:color w:val="000000" w:themeColor="text1"/>
                <w:w w:val="105"/>
              </w:rPr>
              <w:t>odczytu.</w:t>
            </w:r>
          </w:p>
          <w:p w14:paraId="48AAEB09" w14:textId="77777777" w:rsidR="004B11C9" w:rsidRPr="00A55301" w:rsidRDefault="004B11C9" w:rsidP="00085EC5">
            <w:pPr>
              <w:spacing w:before="120"/>
              <w:jc w:val="both"/>
              <w:rPr>
                <w:sz w:val="23"/>
                <w:szCs w:val="23"/>
              </w:rPr>
            </w:pPr>
          </w:p>
        </w:tc>
      </w:tr>
    </w:tbl>
    <w:p w14:paraId="75004EFF" w14:textId="77777777" w:rsidR="00572BA3" w:rsidRDefault="00572BA3">
      <w:pPr>
        <w:rPr>
          <w:rFonts w:eastAsia="Times New Roman"/>
        </w:rPr>
        <w:sectPr w:rsidR="00572BA3" w:rsidSect="009B0D5E">
          <w:type w:val="continuous"/>
          <w:pgSz w:w="11900" w:h="16841"/>
          <w:pgMar w:top="909" w:right="1346" w:bottom="624" w:left="1420" w:header="454" w:footer="0" w:gutter="0"/>
          <w:cols w:space="0" w:equalWidth="0">
            <w:col w:w="9140"/>
          </w:cols>
          <w:docGrid w:linePitch="360"/>
        </w:sectPr>
      </w:pPr>
    </w:p>
    <w:p w14:paraId="27E38E57" w14:textId="13219491" w:rsidR="00572BA3" w:rsidRPr="000D3022" w:rsidRDefault="00510738" w:rsidP="002C71EE">
      <w:pPr>
        <w:pStyle w:val="Nagwek1"/>
        <w:jc w:val="both"/>
        <w:rPr>
          <w:b w:val="0"/>
          <w:bCs w:val="0"/>
          <w:i/>
          <w:sz w:val="24"/>
          <w:szCs w:val="24"/>
        </w:rPr>
      </w:pPr>
      <w:bookmarkStart w:id="139" w:name="page189"/>
      <w:bookmarkStart w:id="140" w:name="page190"/>
      <w:bookmarkStart w:id="141" w:name="page205"/>
      <w:bookmarkStart w:id="142" w:name="_Ref205605322"/>
      <w:bookmarkStart w:id="143" w:name="_Toc205689345"/>
      <w:bookmarkStart w:id="144" w:name="_Toc205801459"/>
      <w:bookmarkStart w:id="145" w:name="_Toc532193603"/>
      <w:bookmarkStart w:id="146" w:name="_Toc141963932"/>
      <w:bookmarkEnd w:id="139"/>
      <w:bookmarkEnd w:id="140"/>
      <w:bookmarkEnd w:id="141"/>
      <w:r w:rsidRPr="002B6B2D">
        <w:rPr>
          <w:sz w:val="28"/>
          <w:szCs w:val="28"/>
        </w:rPr>
        <w:lastRenderedPageBreak/>
        <w:t xml:space="preserve">Załącznik nr </w:t>
      </w:r>
      <w:bookmarkEnd w:id="142"/>
      <w:bookmarkEnd w:id="143"/>
      <w:bookmarkEnd w:id="144"/>
      <w:r w:rsidRPr="002B6B2D">
        <w:rPr>
          <w:sz w:val="28"/>
          <w:szCs w:val="28"/>
        </w:rPr>
        <w:t>1</w:t>
      </w:r>
      <w:r>
        <w:rPr>
          <w:sz w:val="28"/>
          <w:szCs w:val="28"/>
        </w:rPr>
        <w:t xml:space="preserve"> </w:t>
      </w:r>
      <w:r w:rsidRPr="00346393">
        <w:rPr>
          <w:i/>
          <w:sz w:val="28"/>
          <w:szCs w:val="28"/>
        </w:rPr>
        <w:t xml:space="preserve">– </w:t>
      </w:r>
      <w:r w:rsidRPr="00346393">
        <w:rPr>
          <w:b w:val="0"/>
          <w:bCs w:val="0"/>
          <w:i/>
          <w:sz w:val="24"/>
          <w:szCs w:val="24"/>
        </w:rPr>
        <w:t xml:space="preserve">Szczegółowe wymagania techniczne dla jednostek wytwórczych </w:t>
      </w:r>
      <w:r w:rsidR="00706650">
        <w:rPr>
          <w:b w:val="0"/>
          <w:bCs w:val="0"/>
          <w:i/>
          <w:sz w:val="24"/>
          <w:szCs w:val="24"/>
        </w:rPr>
        <w:t xml:space="preserve">oraz magazynów energii elektrycznej </w:t>
      </w:r>
      <w:r w:rsidRPr="00346393">
        <w:rPr>
          <w:b w:val="0"/>
          <w:bCs w:val="0"/>
          <w:i/>
          <w:sz w:val="24"/>
          <w:szCs w:val="24"/>
        </w:rPr>
        <w:t>przyłączanych</w:t>
      </w:r>
      <w:r w:rsidR="00706650">
        <w:rPr>
          <w:b w:val="0"/>
          <w:bCs w:val="0"/>
          <w:i/>
          <w:sz w:val="24"/>
          <w:szCs w:val="24"/>
        </w:rPr>
        <w:t xml:space="preserve"> i przyłączonych</w:t>
      </w:r>
      <w:r w:rsidRPr="00346393">
        <w:rPr>
          <w:b w:val="0"/>
          <w:bCs w:val="0"/>
          <w:i/>
          <w:sz w:val="24"/>
          <w:szCs w:val="24"/>
        </w:rPr>
        <w:t xml:space="preserve"> do sieci </w:t>
      </w:r>
      <w:r w:rsidRPr="004C7345">
        <w:rPr>
          <w:b w:val="0"/>
          <w:bCs w:val="0"/>
          <w:i/>
          <w:sz w:val="24"/>
          <w:szCs w:val="24"/>
        </w:rPr>
        <w:t>dystrybucyjnej</w:t>
      </w:r>
      <w:bookmarkEnd w:id="145"/>
      <w:r w:rsidR="00571C7F">
        <w:rPr>
          <w:b w:val="0"/>
          <w:bCs w:val="0"/>
          <w:i/>
          <w:iCs/>
        </w:rPr>
        <w:t>.</w:t>
      </w:r>
      <w:bookmarkEnd w:id="146"/>
    </w:p>
    <w:p w14:paraId="5FD86344" w14:textId="77777777" w:rsidR="00115DCE" w:rsidRPr="00115DCE" w:rsidRDefault="00115DCE" w:rsidP="00115DCE"/>
    <w:p w14:paraId="0B65025F" w14:textId="77777777" w:rsidR="00572BA3" w:rsidRDefault="00572BA3">
      <w:pPr>
        <w:spacing w:line="200" w:lineRule="exact"/>
        <w:rPr>
          <w:rFonts w:eastAsia="Times New Roman"/>
        </w:rPr>
      </w:pPr>
    </w:p>
    <w:p w14:paraId="3D18A1BF" w14:textId="77777777" w:rsidR="00572BA3" w:rsidRDefault="00572BA3">
      <w:pPr>
        <w:spacing w:line="200" w:lineRule="exact"/>
        <w:rPr>
          <w:rFonts w:eastAsia="Times New Roman"/>
        </w:rPr>
      </w:pPr>
    </w:p>
    <w:p w14:paraId="7501EECE" w14:textId="77777777" w:rsidR="00572BA3" w:rsidRDefault="00572BA3">
      <w:pPr>
        <w:spacing w:line="200" w:lineRule="exact"/>
        <w:rPr>
          <w:rFonts w:eastAsia="Times New Roman"/>
        </w:rPr>
      </w:pPr>
    </w:p>
    <w:p w14:paraId="66334D8B" w14:textId="77777777" w:rsidR="00572BA3" w:rsidRDefault="00572BA3">
      <w:pPr>
        <w:spacing w:line="200" w:lineRule="exact"/>
        <w:rPr>
          <w:rFonts w:eastAsia="Times New Roman"/>
        </w:rPr>
      </w:pPr>
    </w:p>
    <w:p w14:paraId="5932BF50" w14:textId="77777777" w:rsidR="00572BA3" w:rsidRDefault="00572BA3">
      <w:pPr>
        <w:spacing w:line="200" w:lineRule="exact"/>
        <w:rPr>
          <w:rFonts w:eastAsia="Times New Roman"/>
        </w:rPr>
      </w:pPr>
    </w:p>
    <w:p w14:paraId="0AE23689" w14:textId="77777777" w:rsidR="00572BA3" w:rsidRDefault="00572BA3">
      <w:pPr>
        <w:spacing w:line="200" w:lineRule="exact"/>
        <w:rPr>
          <w:rFonts w:eastAsia="Times New Roman"/>
        </w:rPr>
      </w:pPr>
    </w:p>
    <w:p w14:paraId="2352CA69" w14:textId="77777777" w:rsidR="00572BA3" w:rsidRDefault="00572BA3">
      <w:pPr>
        <w:spacing w:line="200" w:lineRule="exact"/>
        <w:rPr>
          <w:rFonts w:eastAsia="Times New Roman"/>
        </w:rPr>
      </w:pPr>
    </w:p>
    <w:p w14:paraId="3A2BF12A" w14:textId="77777777" w:rsidR="00572BA3" w:rsidRDefault="00572BA3">
      <w:pPr>
        <w:spacing w:line="200" w:lineRule="exact"/>
        <w:rPr>
          <w:rFonts w:eastAsia="Times New Roman"/>
        </w:rPr>
      </w:pPr>
    </w:p>
    <w:p w14:paraId="42CFBBFD" w14:textId="77777777" w:rsidR="00572BA3" w:rsidRDefault="00572BA3">
      <w:pPr>
        <w:spacing w:line="200" w:lineRule="exact"/>
        <w:rPr>
          <w:rFonts w:eastAsia="Times New Roman"/>
        </w:rPr>
      </w:pPr>
    </w:p>
    <w:p w14:paraId="366BA9AF" w14:textId="77777777" w:rsidR="00572BA3" w:rsidRDefault="00572BA3">
      <w:pPr>
        <w:spacing w:line="200" w:lineRule="exact"/>
        <w:rPr>
          <w:rFonts w:eastAsia="Times New Roman"/>
        </w:rPr>
      </w:pPr>
    </w:p>
    <w:p w14:paraId="5B597112" w14:textId="77777777" w:rsidR="00572BA3" w:rsidRDefault="00572BA3">
      <w:pPr>
        <w:spacing w:line="200" w:lineRule="exact"/>
        <w:rPr>
          <w:rFonts w:eastAsia="Times New Roman"/>
        </w:rPr>
      </w:pPr>
    </w:p>
    <w:p w14:paraId="115398DB" w14:textId="77777777" w:rsidR="00572BA3" w:rsidRDefault="00572BA3">
      <w:pPr>
        <w:spacing w:line="200" w:lineRule="exact"/>
        <w:rPr>
          <w:rFonts w:eastAsia="Times New Roman"/>
        </w:rPr>
      </w:pPr>
    </w:p>
    <w:p w14:paraId="4F1BD0D1" w14:textId="77777777" w:rsidR="00572BA3" w:rsidRDefault="00572BA3">
      <w:pPr>
        <w:spacing w:line="200" w:lineRule="exact"/>
        <w:rPr>
          <w:rFonts w:eastAsia="Times New Roman"/>
        </w:rPr>
      </w:pPr>
    </w:p>
    <w:p w14:paraId="7926B1CC" w14:textId="77777777" w:rsidR="00572BA3" w:rsidRDefault="00572BA3">
      <w:pPr>
        <w:spacing w:line="200" w:lineRule="exact"/>
        <w:rPr>
          <w:rFonts w:eastAsia="Times New Roman"/>
        </w:rPr>
      </w:pPr>
    </w:p>
    <w:p w14:paraId="5C7FD113" w14:textId="77777777" w:rsidR="00572BA3" w:rsidRDefault="00572BA3">
      <w:pPr>
        <w:spacing w:line="200" w:lineRule="exact"/>
        <w:rPr>
          <w:rFonts w:eastAsia="Times New Roman"/>
        </w:rPr>
      </w:pPr>
    </w:p>
    <w:p w14:paraId="2E84AA62" w14:textId="77777777" w:rsidR="00572BA3" w:rsidRDefault="00572BA3">
      <w:pPr>
        <w:spacing w:line="200" w:lineRule="exact"/>
        <w:rPr>
          <w:rFonts w:eastAsia="Times New Roman"/>
        </w:rPr>
      </w:pPr>
    </w:p>
    <w:p w14:paraId="32893B55" w14:textId="77777777" w:rsidR="00572BA3" w:rsidRDefault="00572BA3">
      <w:pPr>
        <w:spacing w:line="200" w:lineRule="exact"/>
        <w:rPr>
          <w:rFonts w:eastAsia="Times New Roman"/>
        </w:rPr>
      </w:pPr>
    </w:p>
    <w:p w14:paraId="55B5FB87" w14:textId="77777777" w:rsidR="00572BA3" w:rsidRDefault="00572BA3">
      <w:pPr>
        <w:spacing w:line="200" w:lineRule="exact"/>
        <w:rPr>
          <w:rFonts w:eastAsia="Times New Roman"/>
        </w:rPr>
      </w:pPr>
    </w:p>
    <w:p w14:paraId="417F471B" w14:textId="77777777" w:rsidR="00572BA3" w:rsidRDefault="00572BA3">
      <w:pPr>
        <w:spacing w:line="200" w:lineRule="exact"/>
        <w:rPr>
          <w:rFonts w:eastAsia="Times New Roman"/>
        </w:rPr>
      </w:pPr>
    </w:p>
    <w:p w14:paraId="4AD7A136" w14:textId="77777777" w:rsidR="00572BA3" w:rsidRDefault="00572BA3">
      <w:pPr>
        <w:spacing w:line="200" w:lineRule="exact"/>
        <w:rPr>
          <w:rFonts w:eastAsia="Times New Roman"/>
        </w:rPr>
      </w:pPr>
    </w:p>
    <w:p w14:paraId="4D507C9E" w14:textId="77777777" w:rsidR="00572BA3" w:rsidRDefault="00572BA3">
      <w:pPr>
        <w:spacing w:line="200" w:lineRule="exact"/>
        <w:rPr>
          <w:rFonts w:eastAsia="Times New Roman"/>
        </w:rPr>
      </w:pPr>
    </w:p>
    <w:p w14:paraId="23C997BC" w14:textId="77777777" w:rsidR="00572BA3" w:rsidRPr="00706650" w:rsidRDefault="00572BA3">
      <w:pPr>
        <w:spacing w:line="200" w:lineRule="exact"/>
        <w:rPr>
          <w:rFonts w:eastAsia="Times New Roman"/>
          <w:sz w:val="32"/>
          <w:szCs w:val="32"/>
        </w:rPr>
      </w:pPr>
    </w:p>
    <w:p w14:paraId="24D10236" w14:textId="770671AA" w:rsidR="00572BA3" w:rsidRPr="00706650" w:rsidRDefault="00706650">
      <w:pPr>
        <w:spacing w:line="235" w:lineRule="auto"/>
        <w:ind w:left="260" w:right="300"/>
        <w:jc w:val="center"/>
        <w:rPr>
          <w:rFonts w:eastAsia="Times New Roman"/>
          <w:b/>
          <w:sz w:val="32"/>
          <w:szCs w:val="32"/>
        </w:rPr>
        <w:sectPr w:rsidR="00572BA3" w:rsidRPr="00706650" w:rsidSect="009B0D5E">
          <w:pgSz w:w="11900" w:h="16841"/>
          <w:pgMar w:top="1410" w:right="1406" w:bottom="1440" w:left="1440" w:header="454" w:footer="0" w:gutter="0"/>
          <w:cols w:space="0" w:equalWidth="0">
            <w:col w:w="9060"/>
          </w:cols>
          <w:docGrid w:linePitch="360"/>
        </w:sectPr>
      </w:pPr>
      <w:r w:rsidRPr="00706650">
        <w:rPr>
          <w:b/>
          <w:bCs/>
          <w:color w:val="000000"/>
          <w:sz w:val="32"/>
          <w:szCs w:val="32"/>
        </w:rPr>
        <w:t>SZCZEGÓŁOWE WYMAGANIA TECHNICZNE DLA JEDNOSTEK WYTWÓRCZYCH ORAZ MAGAZYNÓW ENERGII ELEKTRYCZNEJ PRZYŁĄCZANYCH I PRZYŁĄCZONYCH DO SIECI DYSTRYBUCYJNEJ</w:t>
      </w:r>
    </w:p>
    <w:tbl>
      <w:tblPr>
        <w:tblW w:w="0" w:type="auto"/>
        <w:tblLayout w:type="fixed"/>
        <w:tblCellMar>
          <w:left w:w="70" w:type="dxa"/>
          <w:right w:w="70" w:type="dxa"/>
        </w:tblCellMar>
        <w:tblLook w:val="0000" w:firstRow="0" w:lastRow="0" w:firstColumn="0" w:lastColumn="0" w:noHBand="0" w:noVBand="0"/>
      </w:tblPr>
      <w:tblGrid>
        <w:gridCol w:w="1063"/>
        <w:gridCol w:w="8147"/>
      </w:tblGrid>
      <w:tr w:rsidR="00780ED2" w:rsidRPr="009F21BD" w14:paraId="0F87BEDE" w14:textId="77777777" w:rsidTr="00F5641B">
        <w:tc>
          <w:tcPr>
            <w:tcW w:w="9210" w:type="dxa"/>
            <w:gridSpan w:val="2"/>
            <w:shd w:val="clear" w:color="auto" w:fill="auto"/>
          </w:tcPr>
          <w:p w14:paraId="014E8FF6" w14:textId="77777777" w:rsidR="00780ED2" w:rsidRDefault="00780ED2" w:rsidP="00F5641B">
            <w:pPr>
              <w:spacing w:before="120"/>
              <w:rPr>
                <w:b/>
                <w:bCs/>
              </w:rPr>
            </w:pPr>
            <w:bookmarkStart w:id="147" w:name="page206"/>
            <w:bookmarkEnd w:id="147"/>
            <w:r w:rsidRPr="009F21BD">
              <w:rPr>
                <w:b/>
                <w:bCs/>
              </w:rPr>
              <w:lastRenderedPageBreak/>
              <w:t>1. POSTANOWIENIA OGÓLNE</w:t>
            </w:r>
          </w:p>
          <w:p w14:paraId="3DF588A4" w14:textId="77777777" w:rsidR="00E72E03" w:rsidRPr="009F21BD" w:rsidRDefault="00E72E03" w:rsidP="00F5641B">
            <w:pPr>
              <w:spacing w:before="120"/>
              <w:rPr>
                <w:b/>
                <w:bCs/>
              </w:rPr>
            </w:pPr>
          </w:p>
        </w:tc>
      </w:tr>
      <w:tr w:rsidR="001026C9" w:rsidRPr="009F21BD" w14:paraId="351BFAEE" w14:textId="77777777" w:rsidTr="00F5641B">
        <w:tc>
          <w:tcPr>
            <w:tcW w:w="1063" w:type="dxa"/>
            <w:shd w:val="clear" w:color="auto" w:fill="auto"/>
          </w:tcPr>
          <w:p w14:paraId="65B20DEF" w14:textId="77777777" w:rsidR="001026C9" w:rsidRPr="003B5EA2" w:rsidRDefault="001026C9" w:rsidP="00E72E03">
            <w:pPr>
              <w:pStyle w:val="StylTcd"/>
              <w:keepLines w:val="0"/>
              <w:pageBreakBefore w:val="0"/>
              <w:spacing w:before="0" w:after="0"/>
              <w:ind w:right="-70"/>
              <w:jc w:val="left"/>
              <w:rPr>
                <w:szCs w:val="24"/>
              </w:rPr>
            </w:pPr>
            <w:r w:rsidRPr="003B5EA2">
              <w:rPr>
                <w:szCs w:val="24"/>
              </w:rPr>
              <w:t>1.1.</w:t>
            </w:r>
          </w:p>
        </w:tc>
        <w:tc>
          <w:tcPr>
            <w:tcW w:w="8147" w:type="dxa"/>
            <w:shd w:val="clear" w:color="auto" w:fill="auto"/>
          </w:tcPr>
          <w:p w14:paraId="7ACD6801" w14:textId="77F0B321" w:rsidR="001026C9" w:rsidRPr="003B5EA2" w:rsidRDefault="009F1A50" w:rsidP="00E72E03">
            <w:pPr>
              <w:jc w:val="both"/>
              <w:rPr>
                <w:rFonts w:cs="Times New Roman"/>
                <w:color w:val="000000"/>
                <w:szCs w:val="24"/>
              </w:rPr>
            </w:pPr>
            <w:r>
              <w:rPr>
                <w:color w:val="000000"/>
              </w:rPr>
              <w:t>Wymagania zawarte w niniejszym załączniku dotyczą jednostek wytwórczych przyłączanych lub przyłączonych do sieci dystrybucyjnej, z zastrzeżeniem pkt. II.3.1.5 - II.3.1.7. IRiESD oraz magazynów energii elektrycznej przyłączanych lub przyłączonych do sieci dystrybucyjnej. Przyłączone do sieci jednostki wytwórcze oraz magazyny energii elektrycznej</w:t>
            </w:r>
            <w:r>
              <w:rPr>
                <w:color w:val="000000"/>
                <w:spacing w:val="-9"/>
              </w:rPr>
              <w:t xml:space="preserve"> </w:t>
            </w:r>
            <w:r>
              <w:rPr>
                <w:color w:val="000000"/>
              </w:rPr>
              <w:t>muszą</w:t>
            </w:r>
            <w:r>
              <w:rPr>
                <w:color w:val="000000"/>
                <w:spacing w:val="-11"/>
              </w:rPr>
              <w:t xml:space="preserve"> </w:t>
            </w:r>
            <w:r>
              <w:rPr>
                <w:color w:val="000000"/>
              </w:rPr>
              <w:t>spełniać</w:t>
            </w:r>
            <w:r>
              <w:rPr>
                <w:color w:val="000000"/>
                <w:spacing w:val="-8"/>
              </w:rPr>
              <w:t xml:space="preserve"> </w:t>
            </w:r>
            <w:r>
              <w:rPr>
                <w:color w:val="000000"/>
              </w:rPr>
              <w:t>wymagania</w:t>
            </w:r>
            <w:r>
              <w:rPr>
                <w:color w:val="000000"/>
                <w:spacing w:val="-1"/>
              </w:rPr>
              <w:t xml:space="preserve"> </w:t>
            </w:r>
            <w:r>
              <w:rPr>
                <w:color w:val="000000"/>
              </w:rPr>
              <w:t>zawarte</w:t>
            </w:r>
            <w:r>
              <w:rPr>
                <w:color w:val="000000"/>
                <w:spacing w:val="-10"/>
              </w:rPr>
              <w:t xml:space="preserve"> </w:t>
            </w:r>
            <w:r>
              <w:rPr>
                <w:color w:val="000000"/>
                <w:spacing w:val="-10"/>
              </w:rPr>
              <w:br/>
            </w:r>
            <w:r>
              <w:rPr>
                <w:color w:val="000000"/>
              </w:rPr>
              <w:t>w</w:t>
            </w:r>
            <w:r>
              <w:rPr>
                <w:color w:val="000000"/>
                <w:spacing w:val="-17"/>
              </w:rPr>
              <w:t xml:space="preserve"> </w:t>
            </w:r>
            <w:r>
              <w:rPr>
                <w:color w:val="000000"/>
              </w:rPr>
              <w:t>niniejszym</w:t>
            </w:r>
            <w:r>
              <w:rPr>
                <w:color w:val="000000"/>
                <w:spacing w:val="-4"/>
              </w:rPr>
              <w:t xml:space="preserve"> </w:t>
            </w:r>
            <w:r>
              <w:rPr>
                <w:color w:val="000000"/>
              </w:rPr>
              <w:t>załączniku</w:t>
            </w:r>
            <w:r>
              <w:rPr>
                <w:color w:val="000000"/>
                <w:spacing w:val="-2"/>
              </w:rPr>
              <w:t xml:space="preserve"> </w:t>
            </w:r>
            <w:r>
              <w:rPr>
                <w:color w:val="000000"/>
              </w:rPr>
              <w:t>po</w:t>
            </w:r>
            <w:r>
              <w:rPr>
                <w:color w:val="000000"/>
                <w:spacing w:val="-17"/>
              </w:rPr>
              <w:t xml:space="preserve"> </w:t>
            </w:r>
            <w:r>
              <w:rPr>
                <w:color w:val="000000"/>
              </w:rPr>
              <w:t>ich</w:t>
            </w:r>
            <w:r>
              <w:rPr>
                <w:color w:val="000000"/>
                <w:spacing w:val="-20"/>
              </w:rPr>
              <w:t xml:space="preserve"> </w:t>
            </w:r>
            <w:r>
              <w:rPr>
                <w:color w:val="000000"/>
              </w:rPr>
              <w:t>remoncie lub modernizacji, których zakres obejmuje również urządzenia lub instalacje wchodzące w skład jednostki wytwórczej lub magazyny energii elektrycznej niespełniających tych wymagań.</w:t>
            </w:r>
          </w:p>
        </w:tc>
      </w:tr>
      <w:tr w:rsidR="001026C9" w:rsidRPr="009F21BD" w14:paraId="3FCCDDE4" w14:textId="77777777" w:rsidTr="00F5641B">
        <w:tc>
          <w:tcPr>
            <w:tcW w:w="1063" w:type="dxa"/>
            <w:shd w:val="clear" w:color="auto" w:fill="auto"/>
          </w:tcPr>
          <w:p w14:paraId="0D764D03" w14:textId="77777777" w:rsidR="001026C9" w:rsidRPr="003B5EA2" w:rsidRDefault="001026C9" w:rsidP="00E72E03">
            <w:pPr>
              <w:ind w:right="-70"/>
              <w:rPr>
                <w:rFonts w:cs="Times New Roman"/>
                <w:color w:val="000000"/>
                <w:szCs w:val="24"/>
              </w:rPr>
            </w:pPr>
            <w:r w:rsidRPr="003B5EA2">
              <w:rPr>
                <w:rFonts w:cs="Times New Roman"/>
                <w:color w:val="000000"/>
                <w:szCs w:val="24"/>
              </w:rPr>
              <w:t>1.2.</w:t>
            </w:r>
          </w:p>
        </w:tc>
        <w:tc>
          <w:tcPr>
            <w:tcW w:w="8147" w:type="dxa"/>
            <w:shd w:val="clear" w:color="auto" w:fill="auto"/>
          </w:tcPr>
          <w:p w14:paraId="0E7529AF" w14:textId="232C17FF" w:rsidR="001026C9" w:rsidRPr="003B5EA2" w:rsidRDefault="001026C9" w:rsidP="00E72E03">
            <w:pPr>
              <w:jc w:val="both"/>
              <w:rPr>
                <w:rFonts w:cs="Times New Roman"/>
                <w:color w:val="000000"/>
                <w:szCs w:val="24"/>
              </w:rPr>
            </w:pPr>
            <w:r w:rsidRPr="003B5EA2">
              <w:rPr>
                <w:rFonts w:cs="Times New Roman"/>
                <w:color w:val="000000"/>
                <w:szCs w:val="24"/>
              </w:rPr>
              <w:t>OSDn określa warunki przyłączenia do sieci dla jednostek wytwórczych, w tym ustala do sieci o jakim poziomie napięcia znamionowego należy przyłączyć jednostki wytwórcze, w zależności od wielkości mocy przyłączeniowej i lokalnych warunków pracy sieci dystrybucyjnej oraz z uwzględnieniem wyników ekspertyzy wpływu przyłączanych instalacji na system elektroenergetyczny.</w:t>
            </w:r>
            <w:r w:rsidR="00623800">
              <w:rPr>
                <w:rFonts w:cs="Times New Roman"/>
                <w:color w:val="000000"/>
                <w:szCs w:val="24"/>
              </w:rPr>
              <w:t xml:space="preserve"> </w:t>
            </w:r>
            <w:r w:rsidR="00623800">
              <w:rPr>
                <w:color w:val="000000"/>
              </w:rPr>
              <w:t>Powyższe wymagania dotyczą również magazynów energii elektrycznej</w:t>
            </w:r>
          </w:p>
        </w:tc>
      </w:tr>
      <w:tr w:rsidR="001026C9" w:rsidRPr="009F21BD" w14:paraId="5F17FDE4" w14:textId="77777777" w:rsidTr="00F5641B">
        <w:tc>
          <w:tcPr>
            <w:tcW w:w="1063" w:type="dxa"/>
            <w:shd w:val="clear" w:color="auto" w:fill="auto"/>
          </w:tcPr>
          <w:p w14:paraId="316939F6" w14:textId="77777777" w:rsidR="001026C9" w:rsidRPr="003B5EA2" w:rsidRDefault="001026C9" w:rsidP="00E72E03">
            <w:pPr>
              <w:ind w:right="-70"/>
              <w:rPr>
                <w:rFonts w:cs="Times New Roman"/>
                <w:color w:val="000000"/>
                <w:szCs w:val="24"/>
              </w:rPr>
            </w:pPr>
            <w:r w:rsidRPr="003B5EA2">
              <w:rPr>
                <w:rFonts w:cs="Times New Roman"/>
                <w:color w:val="000000"/>
                <w:szCs w:val="24"/>
              </w:rPr>
              <w:t>1.3.</w:t>
            </w:r>
          </w:p>
        </w:tc>
        <w:tc>
          <w:tcPr>
            <w:tcW w:w="8147" w:type="dxa"/>
            <w:shd w:val="clear" w:color="auto" w:fill="auto"/>
          </w:tcPr>
          <w:p w14:paraId="2CE16CCF" w14:textId="77777777" w:rsidR="001026C9" w:rsidRPr="003B5EA2" w:rsidRDefault="001026C9" w:rsidP="00E72E03">
            <w:pPr>
              <w:jc w:val="both"/>
              <w:rPr>
                <w:rFonts w:cs="Times New Roman"/>
                <w:color w:val="000000"/>
                <w:szCs w:val="24"/>
              </w:rPr>
            </w:pPr>
            <w:r w:rsidRPr="003B5EA2">
              <w:rPr>
                <w:rFonts w:eastAsia="Times New Roman" w:cs="Times New Roman"/>
                <w:bCs/>
                <w:color w:val="000000"/>
                <w:szCs w:val="24"/>
              </w:rPr>
              <w:t>Jednostki wytwórcze o mocy zainstalowanej większej niż 3,68 kW przyłączane są do sieci dystrybucyjnej w sposób trójfazowy.</w:t>
            </w:r>
          </w:p>
        </w:tc>
      </w:tr>
      <w:tr w:rsidR="001026C9" w:rsidRPr="009F21BD" w14:paraId="450DB3EB" w14:textId="77777777" w:rsidTr="00F5641B">
        <w:tc>
          <w:tcPr>
            <w:tcW w:w="1063" w:type="dxa"/>
            <w:shd w:val="clear" w:color="auto" w:fill="auto"/>
          </w:tcPr>
          <w:p w14:paraId="3673F29D" w14:textId="77777777" w:rsidR="001026C9" w:rsidRPr="003B5EA2" w:rsidRDefault="001026C9" w:rsidP="00E72E03">
            <w:pPr>
              <w:pStyle w:val="StylTcd"/>
              <w:keepLines w:val="0"/>
              <w:pageBreakBefore w:val="0"/>
              <w:spacing w:before="0" w:after="0"/>
              <w:ind w:right="-70"/>
              <w:jc w:val="left"/>
              <w:rPr>
                <w:szCs w:val="24"/>
              </w:rPr>
            </w:pPr>
            <w:r w:rsidRPr="003B5EA2">
              <w:rPr>
                <w:szCs w:val="24"/>
              </w:rPr>
              <w:t>1.4.</w:t>
            </w:r>
          </w:p>
        </w:tc>
        <w:tc>
          <w:tcPr>
            <w:tcW w:w="8147" w:type="dxa"/>
            <w:shd w:val="clear" w:color="auto" w:fill="auto"/>
          </w:tcPr>
          <w:p w14:paraId="192F4243" w14:textId="77777777" w:rsidR="001026C9" w:rsidRPr="003B5EA2" w:rsidRDefault="001026C9" w:rsidP="00E72E03">
            <w:pPr>
              <w:jc w:val="both"/>
              <w:rPr>
                <w:rFonts w:cs="Times New Roman"/>
                <w:color w:val="000000"/>
                <w:szCs w:val="24"/>
              </w:rPr>
            </w:pPr>
            <w:r w:rsidRPr="003B5EA2">
              <w:rPr>
                <w:rFonts w:cs="Times New Roman"/>
                <w:color w:val="000000"/>
                <w:szCs w:val="24"/>
              </w:rPr>
              <w:t>Sposób przyłączenia jednostek wytwórczych do sieci dystrybucyjnej, powinien umożliwiać ich odłączenie oraz stworzenie przerwy izolacyjnej, w sposób nieograniczony dla OSDn.</w:t>
            </w:r>
          </w:p>
        </w:tc>
      </w:tr>
      <w:tr w:rsidR="001026C9" w:rsidRPr="009F21BD" w14:paraId="08CFD024" w14:textId="77777777" w:rsidTr="00F5641B">
        <w:tc>
          <w:tcPr>
            <w:tcW w:w="1063" w:type="dxa"/>
            <w:shd w:val="clear" w:color="auto" w:fill="auto"/>
          </w:tcPr>
          <w:p w14:paraId="39BC2553" w14:textId="77777777" w:rsidR="001026C9" w:rsidRPr="003B5EA2" w:rsidRDefault="001026C9" w:rsidP="00E72E03">
            <w:pPr>
              <w:pStyle w:val="StylTcd"/>
              <w:keepLines w:val="0"/>
              <w:pageBreakBefore w:val="0"/>
              <w:spacing w:before="0" w:after="0"/>
              <w:ind w:right="-70"/>
              <w:jc w:val="left"/>
              <w:rPr>
                <w:szCs w:val="24"/>
              </w:rPr>
            </w:pPr>
            <w:r w:rsidRPr="003B5EA2">
              <w:rPr>
                <w:szCs w:val="24"/>
              </w:rPr>
              <w:t>1.5.</w:t>
            </w:r>
          </w:p>
        </w:tc>
        <w:tc>
          <w:tcPr>
            <w:tcW w:w="8147" w:type="dxa"/>
            <w:shd w:val="clear" w:color="auto" w:fill="auto"/>
          </w:tcPr>
          <w:p w14:paraId="01F0AAA9" w14:textId="77777777" w:rsidR="001026C9" w:rsidRPr="003B5EA2" w:rsidRDefault="001026C9" w:rsidP="00E72E03">
            <w:pPr>
              <w:jc w:val="both"/>
              <w:rPr>
                <w:rFonts w:cs="Times New Roman"/>
                <w:color w:val="000000"/>
                <w:szCs w:val="24"/>
              </w:rPr>
            </w:pPr>
            <w:r w:rsidRPr="003B5EA2">
              <w:rPr>
                <w:rFonts w:cs="Times New Roman"/>
                <w:color w:val="000000"/>
                <w:szCs w:val="24"/>
              </w:rPr>
              <w:t>Jednostki wytwórcze o mocy osiągalnej powyżej 200 kVA przyłączane do sieci dystrybucyjnej powinny być zautomatyzowane i dostosowane do zdalnego sterowania. OSDn decyduje o konieczności wyposażenia łącznika sprzęgającego jednostkę wytwórczą z siecią dystrybucyjną w urządzenia umożliwiające zdalne sterowanie.</w:t>
            </w:r>
          </w:p>
        </w:tc>
      </w:tr>
      <w:tr w:rsidR="001026C9" w:rsidRPr="009F21BD" w14:paraId="1E53DFF3" w14:textId="77777777" w:rsidTr="00F5641B">
        <w:tc>
          <w:tcPr>
            <w:tcW w:w="1063" w:type="dxa"/>
            <w:shd w:val="clear" w:color="auto" w:fill="auto"/>
          </w:tcPr>
          <w:p w14:paraId="2770B825" w14:textId="77777777" w:rsidR="001026C9" w:rsidRPr="003B5EA2" w:rsidRDefault="001026C9" w:rsidP="00E72E03">
            <w:pPr>
              <w:pStyle w:val="StylTcd"/>
              <w:keepLines w:val="0"/>
              <w:pageBreakBefore w:val="0"/>
              <w:spacing w:before="0" w:after="0"/>
              <w:ind w:right="-70"/>
              <w:jc w:val="left"/>
              <w:rPr>
                <w:szCs w:val="24"/>
              </w:rPr>
            </w:pPr>
            <w:r w:rsidRPr="003B5EA2">
              <w:rPr>
                <w:szCs w:val="24"/>
              </w:rPr>
              <w:t>1.6.</w:t>
            </w:r>
          </w:p>
        </w:tc>
        <w:tc>
          <w:tcPr>
            <w:tcW w:w="8147" w:type="dxa"/>
            <w:shd w:val="clear" w:color="auto" w:fill="auto"/>
          </w:tcPr>
          <w:p w14:paraId="2A551D5A" w14:textId="77777777" w:rsidR="001026C9" w:rsidRPr="003B5EA2" w:rsidRDefault="001026C9" w:rsidP="00E72E03">
            <w:pPr>
              <w:jc w:val="both"/>
              <w:rPr>
                <w:rFonts w:cs="Times New Roman"/>
                <w:color w:val="000000"/>
                <w:szCs w:val="24"/>
              </w:rPr>
            </w:pPr>
            <w:r w:rsidRPr="003B5EA2">
              <w:rPr>
                <w:rFonts w:cs="Times New Roman"/>
                <w:color w:val="000000"/>
                <w:szCs w:val="24"/>
              </w:rPr>
              <w:t>Praca wyspowa jednostek wytwórczych jest możliwa jedynie na wyspę urządzeń tego wytwórcy, o ile uwzględniono to w warunkach przyłączenia.</w:t>
            </w:r>
          </w:p>
        </w:tc>
      </w:tr>
      <w:tr w:rsidR="001026C9" w:rsidRPr="009F21BD" w14:paraId="70825A63" w14:textId="77777777" w:rsidTr="00F5641B">
        <w:tc>
          <w:tcPr>
            <w:tcW w:w="1063" w:type="dxa"/>
            <w:shd w:val="clear" w:color="auto" w:fill="auto"/>
          </w:tcPr>
          <w:p w14:paraId="0C597E8C" w14:textId="77777777" w:rsidR="001026C9" w:rsidRDefault="001026C9" w:rsidP="00E72E03">
            <w:pPr>
              <w:pStyle w:val="StylTcd"/>
              <w:keepLines w:val="0"/>
              <w:pageBreakBefore w:val="0"/>
              <w:spacing w:before="0" w:after="0"/>
              <w:ind w:right="-70"/>
              <w:jc w:val="left"/>
              <w:rPr>
                <w:szCs w:val="24"/>
              </w:rPr>
            </w:pPr>
            <w:r w:rsidRPr="003B5EA2">
              <w:rPr>
                <w:szCs w:val="24"/>
              </w:rPr>
              <w:t>1.7.</w:t>
            </w:r>
          </w:p>
          <w:p w14:paraId="3E932079" w14:textId="77777777" w:rsidR="00565FEF" w:rsidRDefault="00565FEF" w:rsidP="00565FEF">
            <w:pPr>
              <w:pStyle w:val="styl0"/>
            </w:pPr>
          </w:p>
          <w:p w14:paraId="2D03E79B" w14:textId="77777777" w:rsidR="00565FEF" w:rsidRDefault="00565FEF" w:rsidP="00565FEF">
            <w:pPr>
              <w:pStyle w:val="styl0"/>
            </w:pPr>
          </w:p>
          <w:p w14:paraId="12C32BBC" w14:textId="68AAECED" w:rsidR="00565FEF" w:rsidRPr="00565FEF" w:rsidRDefault="00565FEF" w:rsidP="00565FEF">
            <w:pPr>
              <w:pStyle w:val="styl0"/>
            </w:pPr>
            <w:r>
              <w:t>1.8.</w:t>
            </w:r>
          </w:p>
        </w:tc>
        <w:tc>
          <w:tcPr>
            <w:tcW w:w="8147" w:type="dxa"/>
            <w:shd w:val="clear" w:color="auto" w:fill="auto"/>
          </w:tcPr>
          <w:p w14:paraId="1DDA2886" w14:textId="77777777" w:rsidR="001026C9" w:rsidRDefault="001026C9" w:rsidP="00E72E03">
            <w:pPr>
              <w:pStyle w:val="Default"/>
              <w:jc w:val="both"/>
            </w:pPr>
            <w:r w:rsidRPr="003B5EA2">
              <w:t>Załączanie nowych lub modernizowanych jednostek wytwórczych do sieci dystrybucyjnej, powinno być poprzedzone przeprowadzeniem prób funkcjonalnych urządzeń w zakresie uzgodnionym z OSDn i w obecności jego przedstawiciela.</w:t>
            </w:r>
          </w:p>
          <w:p w14:paraId="64717AD6" w14:textId="7AE1E1E5" w:rsidR="00565FEF" w:rsidRPr="003B5EA2" w:rsidRDefault="00565FEF" w:rsidP="00E72E03">
            <w:pPr>
              <w:pStyle w:val="Default"/>
              <w:jc w:val="both"/>
            </w:pPr>
            <w:r>
              <w:t>Instalacja odnawialnego źródła energii wykorzystywana przez Prosumenta, Prosumenta zbiorowego lub Prosumenta wirtualnego powinna spełniać wymogi określone dla jednostek wytwórczych w IRiESD oraz w przepisach odrębnych.</w:t>
            </w:r>
          </w:p>
        </w:tc>
      </w:tr>
      <w:tr w:rsidR="001026C9" w:rsidRPr="009F21BD" w14:paraId="039F1888" w14:textId="77777777" w:rsidTr="00F5641B">
        <w:tc>
          <w:tcPr>
            <w:tcW w:w="1063" w:type="dxa"/>
            <w:shd w:val="clear" w:color="auto" w:fill="auto"/>
          </w:tcPr>
          <w:p w14:paraId="53D28D09" w14:textId="77777777" w:rsidR="001026C9" w:rsidRPr="009F21BD" w:rsidRDefault="001026C9" w:rsidP="00E72E03">
            <w:pPr>
              <w:pStyle w:val="StylTcd"/>
              <w:keepLines w:val="0"/>
              <w:pageBreakBefore w:val="0"/>
              <w:spacing w:before="0" w:after="0"/>
              <w:ind w:right="-70"/>
              <w:jc w:val="left"/>
              <w:rPr>
                <w:color w:val="auto"/>
              </w:rPr>
            </w:pPr>
          </w:p>
        </w:tc>
        <w:tc>
          <w:tcPr>
            <w:tcW w:w="8147" w:type="dxa"/>
            <w:shd w:val="clear" w:color="auto" w:fill="auto"/>
          </w:tcPr>
          <w:p w14:paraId="4F7982E3" w14:textId="77777777" w:rsidR="001026C9" w:rsidRPr="009F21BD" w:rsidRDefault="001026C9" w:rsidP="00E72E03">
            <w:pPr>
              <w:jc w:val="both"/>
            </w:pPr>
          </w:p>
        </w:tc>
      </w:tr>
      <w:tr w:rsidR="001026C9" w:rsidRPr="009F21BD" w14:paraId="6D7495BB" w14:textId="77777777" w:rsidTr="00F5641B">
        <w:tc>
          <w:tcPr>
            <w:tcW w:w="9210" w:type="dxa"/>
            <w:gridSpan w:val="2"/>
            <w:shd w:val="clear" w:color="auto" w:fill="auto"/>
          </w:tcPr>
          <w:p w14:paraId="097CD9A0" w14:textId="77777777" w:rsidR="001026C9" w:rsidRDefault="001026C9" w:rsidP="00E72E03">
            <w:pPr>
              <w:rPr>
                <w:b/>
                <w:bCs/>
              </w:rPr>
            </w:pPr>
            <w:r w:rsidRPr="009F21BD">
              <w:rPr>
                <w:b/>
                <w:bCs/>
              </w:rPr>
              <w:t>2. URZĄDZENIA ŁĄCZENIOWE</w:t>
            </w:r>
          </w:p>
          <w:p w14:paraId="15B575CA" w14:textId="77777777" w:rsidR="00E72E03" w:rsidRPr="009F21BD" w:rsidRDefault="00E72E03" w:rsidP="00E72E03">
            <w:pPr>
              <w:rPr>
                <w:b/>
                <w:bCs/>
              </w:rPr>
            </w:pPr>
          </w:p>
        </w:tc>
      </w:tr>
      <w:tr w:rsidR="0088190B" w:rsidRPr="009F21BD" w14:paraId="13ACDDAA" w14:textId="77777777" w:rsidTr="00F5641B">
        <w:tc>
          <w:tcPr>
            <w:tcW w:w="1063" w:type="dxa"/>
            <w:shd w:val="clear" w:color="auto" w:fill="auto"/>
          </w:tcPr>
          <w:p w14:paraId="2CA10E7C" w14:textId="77777777" w:rsidR="0088190B" w:rsidRPr="003B5EA2" w:rsidRDefault="0088190B" w:rsidP="00E72E03">
            <w:pPr>
              <w:pStyle w:val="StylTcd"/>
              <w:keepLines w:val="0"/>
              <w:pageBreakBefore w:val="0"/>
              <w:spacing w:before="0" w:after="0"/>
              <w:ind w:right="-70"/>
              <w:jc w:val="left"/>
              <w:rPr>
                <w:szCs w:val="24"/>
              </w:rPr>
            </w:pPr>
            <w:r w:rsidRPr="003B5EA2">
              <w:rPr>
                <w:szCs w:val="24"/>
              </w:rPr>
              <w:t>2.1</w:t>
            </w:r>
          </w:p>
        </w:tc>
        <w:tc>
          <w:tcPr>
            <w:tcW w:w="8147" w:type="dxa"/>
            <w:shd w:val="clear" w:color="auto" w:fill="auto"/>
          </w:tcPr>
          <w:p w14:paraId="39B58616" w14:textId="77777777" w:rsidR="0088190B" w:rsidRPr="003B5EA2" w:rsidRDefault="0088190B" w:rsidP="00E72E03">
            <w:pPr>
              <w:jc w:val="both"/>
              <w:rPr>
                <w:rFonts w:cs="Times New Roman"/>
                <w:color w:val="000000"/>
                <w:szCs w:val="24"/>
              </w:rPr>
            </w:pPr>
            <w:r w:rsidRPr="003B5EA2">
              <w:rPr>
                <w:rFonts w:cs="Times New Roman"/>
                <w:color w:val="000000"/>
                <w:szCs w:val="24"/>
              </w:rPr>
              <w:t>Jednostki wytwórcze muszą posiadać następujące urządzenia łączeniowe:</w:t>
            </w:r>
          </w:p>
          <w:p w14:paraId="03E5C812" w14:textId="77777777" w:rsidR="0088190B" w:rsidRPr="003B5EA2" w:rsidRDefault="0088190B">
            <w:pPr>
              <w:numPr>
                <w:ilvl w:val="0"/>
                <w:numId w:val="162"/>
              </w:numPr>
              <w:ind w:hanging="777"/>
              <w:jc w:val="both"/>
              <w:rPr>
                <w:rFonts w:cs="Times New Roman"/>
                <w:color w:val="000000"/>
                <w:szCs w:val="24"/>
              </w:rPr>
            </w:pPr>
            <w:r w:rsidRPr="003B5EA2">
              <w:rPr>
                <w:rFonts w:cs="Times New Roman"/>
                <w:color w:val="000000"/>
                <w:szCs w:val="24"/>
              </w:rPr>
              <w:t>łącznik dostosowany do wyłączania jednostki wytwórczej,</w:t>
            </w:r>
          </w:p>
          <w:p w14:paraId="2139185B" w14:textId="77777777" w:rsidR="0088190B" w:rsidRPr="003B5EA2" w:rsidRDefault="0088190B">
            <w:pPr>
              <w:numPr>
                <w:ilvl w:val="0"/>
                <w:numId w:val="162"/>
              </w:numPr>
              <w:ind w:hanging="777"/>
              <w:jc w:val="both"/>
              <w:rPr>
                <w:rFonts w:cs="Times New Roman"/>
                <w:color w:val="000000"/>
                <w:szCs w:val="24"/>
              </w:rPr>
            </w:pPr>
            <w:r w:rsidRPr="003B5EA2">
              <w:rPr>
                <w:rFonts w:cs="Times New Roman"/>
                <w:color w:val="000000"/>
                <w:szCs w:val="24"/>
              </w:rPr>
              <w:t>łącznik do odłączania jednostki wytwórczej i stwarzania przerwy izolacyjnej.</w:t>
            </w:r>
          </w:p>
          <w:p w14:paraId="26682F48" w14:textId="77777777" w:rsidR="0088190B" w:rsidRPr="003B5EA2" w:rsidRDefault="0088190B" w:rsidP="00E72E03">
            <w:pPr>
              <w:pStyle w:val="Default"/>
              <w:jc w:val="both"/>
            </w:pPr>
            <w:r w:rsidRPr="003B5EA2">
              <w:t xml:space="preserve">Jeśli w skład jednostki wytwórczej wchodzi transformator, to łączniki te powinny być zainstalowane od strony sieci, z którą jednostka wytwórcza współpracuje. </w:t>
            </w:r>
          </w:p>
          <w:p w14:paraId="05EA96EE" w14:textId="77777777" w:rsidR="0088190B" w:rsidRPr="003B5EA2" w:rsidRDefault="0088190B" w:rsidP="00E72E03">
            <w:pPr>
              <w:ind w:left="17"/>
              <w:jc w:val="both"/>
              <w:rPr>
                <w:rFonts w:cs="Times New Roman"/>
                <w:color w:val="000000"/>
                <w:szCs w:val="24"/>
              </w:rPr>
            </w:pPr>
            <w:r w:rsidRPr="003B5EA2">
              <w:rPr>
                <w:rFonts w:cs="Times New Roman"/>
                <w:color w:val="000000"/>
                <w:szCs w:val="24"/>
              </w:rPr>
              <w:t xml:space="preserve">Dopuszcza się w uzasadnionych przypadkach stosowanie wspólnych obu wymienionych łączników lub jednego z nich dla grupy jednostek wytwórczych przyłączanych do sieci, jeśli to nie wpłynie na pogorszenie warunków zasilania odbiorców. </w:t>
            </w:r>
          </w:p>
        </w:tc>
      </w:tr>
      <w:tr w:rsidR="0088190B" w:rsidRPr="009F21BD" w14:paraId="170C3BF4" w14:textId="77777777" w:rsidTr="00F5641B">
        <w:tc>
          <w:tcPr>
            <w:tcW w:w="1063" w:type="dxa"/>
            <w:shd w:val="clear" w:color="auto" w:fill="auto"/>
          </w:tcPr>
          <w:p w14:paraId="69C074E2" w14:textId="77777777" w:rsidR="0088190B" w:rsidRPr="003B5EA2" w:rsidRDefault="0088190B" w:rsidP="00E72E03">
            <w:pPr>
              <w:pStyle w:val="StylTcd"/>
              <w:keepLines w:val="0"/>
              <w:pageBreakBefore w:val="0"/>
              <w:spacing w:before="0" w:after="0"/>
              <w:ind w:right="-70"/>
              <w:jc w:val="left"/>
              <w:rPr>
                <w:szCs w:val="24"/>
              </w:rPr>
            </w:pPr>
            <w:r w:rsidRPr="003B5EA2">
              <w:rPr>
                <w:szCs w:val="24"/>
              </w:rPr>
              <w:t>2.2</w:t>
            </w:r>
          </w:p>
        </w:tc>
        <w:tc>
          <w:tcPr>
            <w:tcW w:w="8147" w:type="dxa"/>
            <w:shd w:val="clear" w:color="auto" w:fill="auto"/>
          </w:tcPr>
          <w:p w14:paraId="1750EFCD" w14:textId="77777777" w:rsidR="0088190B" w:rsidRPr="003B5EA2" w:rsidRDefault="0088190B" w:rsidP="00E72E03">
            <w:pPr>
              <w:jc w:val="both"/>
              <w:rPr>
                <w:rFonts w:cs="Times New Roman"/>
                <w:color w:val="000000"/>
                <w:szCs w:val="24"/>
              </w:rPr>
            </w:pPr>
            <w:r w:rsidRPr="003B5EA2">
              <w:rPr>
                <w:rFonts w:cs="Times New Roman"/>
                <w:color w:val="000000"/>
                <w:szCs w:val="24"/>
              </w:rPr>
              <w:t>W przypadku, gdy w układzie sieci jest możliwa praca wyspowa jednostki wytwórczej, musi ona posiadać dodatkowy łącznik dostosowany do oddzielenia wyspy od pozostałej części sieci dystrybucyjnej.</w:t>
            </w:r>
          </w:p>
        </w:tc>
      </w:tr>
      <w:tr w:rsidR="0088190B" w:rsidRPr="009F21BD" w14:paraId="1CF4C63D" w14:textId="77777777" w:rsidTr="00F5641B">
        <w:tc>
          <w:tcPr>
            <w:tcW w:w="1063" w:type="dxa"/>
            <w:shd w:val="clear" w:color="auto" w:fill="auto"/>
          </w:tcPr>
          <w:p w14:paraId="4B64C71F" w14:textId="77777777" w:rsidR="0088190B" w:rsidRPr="003B5EA2" w:rsidRDefault="0088190B" w:rsidP="00E72E03">
            <w:pPr>
              <w:pStyle w:val="StylTcd"/>
              <w:keepLines w:val="0"/>
              <w:pageBreakBefore w:val="0"/>
              <w:spacing w:before="0" w:after="0"/>
              <w:ind w:right="-70"/>
              <w:jc w:val="left"/>
              <w:rPr>
                <w:szCs w:val="24"/>
              </w:rPr>
            </w:pPr>
            <w:r w:rsidRPr="003B5EA2">
              <w:rPr>
                <w:szCs w:val="24"/>
              </w:rPr>
              <w:lastRenderedPageBreak/>
              <w:t>2.3</w:t>
            </w:r>
          </w:p>
        </w:tc>
        <w:tc>
          <w:tcPr>
            <w:tcW w:w="8147" w:type="dxa"/>
            <w:shd w:val="clear" w:color="auto" w:fill="auto"/>
          </w:tcPr>
          <w:p w14:paraId="7437D50A" w14:textId="77777777" w:rsidR="0088190B" w:rsidRPr="003B5EA2" w:rsidRDefault="0088190B" w:rsidP="00E72E03">
            <w:pPr>
              <w:jc w:val="both"/>
              <w:rPr>
                <w:rFonts w:cs="Times New Roman"/>
                <w:color w:val="000000"/>
                <w:szCs w:val="24"/>
              </w:rPr>
            </w:pPr>
            <w:r w:rsidRPr="003B5EA2">
              <w:rPr>
                <w:rFonts w:cs="Times New Roman"/>
                <w:color w:val="000000"/>
                <w:szCs w:val="24"/>
              </w:rPr>
              <w:t xml:space="preserve">OSDn koordynuje pracę łączników, o którym mowa w pkt. 2.1. oraz pkt. 2.2. </w:t>
            </w:r>
            <w:r w:rsidRPr="003B5EA2">
              <w:rPr>
                <w:rFonts w:cs="Times New Roman"/>
                <w:color w:val="000000"/>
                <w:szCs w:val="24"/>
              </w:rPr>
              <w:br/>
              <w:t xml:space="preserve">i decyduje o konieczności ich wyposażenia w system zdalnego sterowania lub odwzorowania stanu pracy. </w:t>
            </w:r>
          </w:p>
        </w:tc>
      </w:tr>
      <w:tr w:rsidR="0088190B" w:rsidRPr="009F21BD" w14:paraId="7C2B97F2" w14:textId="77777777" w:rsidTr="00F5641B">
        <w:tc>
          <w:tcPr>
            <w:tcW w:w="1063" w:type="dxa"/>
            <w:shd w:val="clear" w:color="auto" w:fill="auto"/>
          </w:tcPr>
          <w:p w14:paraId="7565D152" w14:textId="77777777" w:rsidR="0088190B" w:rsidRPr="003B5EA2" w:rsidRDefault="0088190B" w:rsidP="00E72E03">
            <w:pPr>
              <w:pStyle w:val="StylTcd"/>
              <w:keepLines w:val="0"/>
              <w:pageBreakBefore w:val="0"/>
              <w:spacing w:before="0" w:after="0"/>
              <w:ind w:right="-70"/>
              <w:jc w:val="left"/>
              <w:rPr>
                <w:szCs w:val="24"/>
              </w:rPr>
            </w:pPr>
            <w:r w:rsidRPr="003B5EA2">
              <w:rPr>
                <w:szCs w:val="24"/>
              </w:rPr>
              <w:t>2.4</w:t>
            </w:r>
          </w:p>
        </w:tc>
        <w:tc>
          <w:tcPr>
            <w:tcW w:w="8147" w:type="dxa"/>
            <w:shd w:val="clear" w:color="auto" w:fill="auto"/>
          </w:tcPr>
          <w:p w14:paraId="5E1C3BB6" w14:textId="77777777" w:rsidR="0088190B" w:rsidRPr="003B5EA2" w:rsidRDefault="0088190B" w:rsidP="00E72E03">
            <w:pPr>
              <w:jc w:val="both"/>
              <w:rPr>
                <w:rFonts w:cs="Times New Roman"/>
                <w:color w:val="000000"/>
                <w:szCs w:val="24"/>
              </w:rPr>
            </w:pPr>
            <w:r w:rsidRPr="003B5EA2">
              <w:rPr>
                <w:rFonts w:cs="Times New Roman"/>
                <w:color w:val="000000"/>
                <w:szCs w:val="24"/>
              </w:rPr>
              <w:t xml:space="preserve">Urządzenia łączeniowe jednostek wytwórczych współpracujących z falownikami, powinny być zlokalizowane po stronie prądu przemiennego falownika. </w:t>
            </w:r>
            <w:r w:rsidRPr="003B5EA2">
              <w:rPr>
                <w:rFonts w:cs="Times New Roman"/>
                <w:color w:val="000000"/>
                <w:szCs w:val="24"/>
              </w:rPr>
              <w:br/>
            </w:r>
            <w:r w:rsidRPr="003B5EA2">
              <w:rPr>
                <w:rFonts w:eastAsia="Times New Roman" w:cs="Times New Roman"/>
                <w:bCs/>
                <w:color w:val="000000"/>
                <w:szCs w:val="24"/>
              </w:rPr>
              <w:t>W przypadku mikroinstalacji wymagane jest, aby po stronie prądu przemiennego falownika zlokalizowany był, co najmniej jeden rozłącznik izolacyjny odpowiadający drugiej kategorii przepięć.</w:t>
            </w:r>
          </w:p>
        </w:tc>
      </w:tr>
      <w:tr w:rsidR="0088190B" w:rsidRPr="009F21BD" w14:paraId="4F7A5FC7" w14:textId="77777777" w:rsidTr="00F5641B">
        <w:tc>
          <w:tcPr>
            <w:tcW w:w="1063" w:type="dxa"/>
            <w:shd w:val="clear" w:color="auto" w:fill="auto"/>
          </w:tcPr>
          <w:p w14:paraId="2F710F28" w14:textId="77777777" w:rsidR="0088190B" w:rsidRPr="003B5EA2" w:rsidRDefault="0088190B" w:rsidP="00E72E03">
            <w:pPr>
              <w:pStyle w:val="StylTcd"/>
              <w:keepLines w:val="0"/>
              <w:pageBreakBefore w:val="0"/>
              <w:spacing w:before="0" w:after="0"/>
              <w:ind w:right="-70"/>
              <w:jc w:val="left"/>
              <w:rPr>
                <w:szCs w:val="24"/>
              </w:rPr>
            </w:pPr>
            <w:r w:rsidRPr="003B5EA2">
              <w:rPr>
                <w:szCs w:val="24"/>
              </w:rPr>
              <w:t>2.5</w:t>
            </w:r>
          </w:p>
        </w:tc>
        <w:tc>
          <w:tcPr>
            <w:tcW w:w="8147" w:type="dxa"/>
            <w:shd w:val="clear" w:color="auto" w:fill="auto"/>
          </w:tcPr>
          <w:p w14:paraId="1F5F4F45" w14:textId="77777777" w:rsidR="0088190B" w:rsidRPr="003B5EA2" w:rsidRDefault="0088190B" w:rsidP="00E72E03">
            <w:pPr>
              <w:jc w:val="both"/>
              <w:rPr>
                <w:rFonts w:cs="Times New Roman"/>
                <w:color w:val="000000"/>
                <w:szCs w:val="24"/>
              </w:rPr>
            </w:pPr>
            <w:r w:rsidRPr="003B5EA2">
              <w:rPr>
                <w:rFonts w:cs="Times New Roman"/>
                <w:color w:val="000000"/>
                <w:szCs w:val="24"/>
              </w:rPr>
              <w:t>Impuls wyłączający przesłany od zabezpieczeń do urządzenia łączeniowego musi powodować bezzwłoczne wyłączenie jednostki wytwórczej przez to urządzenie.</w:t>
            </w:r>
          </w:p>
          <w:p w14:paraId="2670C676" w14:textId="77777777" w:rsidR="0088190B" w:rsidRPr="003B5EA2" w:rsidRDefault="0088190B" w:rsidP="00E72E03">
            <w:pPr>
              <w:jc w:val="both"/>
              <w:rPr>
                <w:rFonts w:cs="Times New Roman"/>
                <w:color w:val="000000"/>
                <w:szCs w:val="24"/>
              </w:rPr>
            </w:pPr>
          </w:p>
        </w:tc>
      </w:tr>
      <w:tr w:rsidR="0088190B" w:rsidRPr="009F21BD" w14:paraId="72461716" w14:textId="77777777" w:rsidTr="00F5641B">
        <w:tc>
          <w:tcPr>
            <w:tcW w:w="9210" w:type="dxa"/>
            <w:gridSpan w:val="2"/>
            <w:shd w:val="clear" w:color="auto" w:fill="auto"/>
          </w:tcPr>
          <w:p w14:paraId="24B93700" w14:textId="77777777" w:rsidR="0088190B" w:rsidRDefault="0088190B" w:rsidP="00E72E03">
            <w:pPr>
              <w:ind w:left="426" w:hanging="426"/>
              <w:jc w:val="both"/>
              <w:rPr>
                <w:b/>
                <w:bCs/>
              </w:rPr>
            </w:pPr>
            <w:r w:rsidRPr="009F21BD">
              <w:rPr>
                <w:b/>
                <w:bCs/>
              </w:rPr>
              <w:t xml:space="preserve">3. ZABEZPIECZENIA I WYMAGANIA DLA JEDNOSTEK WYTWÓRCZYCH </w:t>
            </w:r>
            <w:r w:rsidRPr="009F21BD">
              <w:rPr>
                <w:b/>
                <w:bCs/>
              </w:rPr>
              <w:br/>
              <w:t>W ZAKRESIE EAZ</w:t>
            </w:r>
          </w:p>
          <w:p w14:paraId="707FCF71" w14:textId="77777777" w:rsidR="00E72E03" w:rsidRPr="009F21BD" w:rsidRDefault="00E72E03" w:rsidP="00E72E03">
            <w:pPr>
              <w:ind w:left="426" w:hanging="426"/>
              <w:jc w:val="both"/>
              <w:rPr>
                <w:b/>
                <w:bCs/>
              </w:rPr>
            </w:pPr>
          </w:p>
        </w:tc>
      </w:tr>
      <w:tr w:rsidR="0088190B" w:rsidRPr="009F21BD" w14:paraId="3D401D3B" w14:textId="77777777" w:rsidTr="00F5641B">
        <w:tc>
          <w:tcPr>
            <w:tcW w:w="1063" w:type="dxa"/>
            <w:shd w:val="clear" w:color="auto" w:fill="auto"/>
          </w:tcPr>
          <w:p w14:paraId="05F09CB5" w14:textId="77777777" w:rsidR="0088190B" w:rsidRPr="009F21BD" w:rsidRDefault="0088190B" w:rsidP="00E72E03">
            <w:pPr>
              <w:jc w:val="both"/>
            </w:pPr>
            <w:r w:rsidRPr="009F21BD">
              <w:t>3.1.</w:t>
            </w:r>
          </w:p>
        </w:tc>
        <w:tc>
          <w:tcPr>
            <w:tcW w:w="8147" w:type="dxa"/>
            <w:shd w:val="clear" w:color="auto" w:fill="auto"/>
          </w:tcPr>
          <w:p w14:paraId="7AB88D03" w14:textId="77777777" w:rsidR="0088190B" w:rsidRPr="009F21BD" w:rsidRDefault="0088190B" w:rsidP="00E72E03">
            <w:pPr>
              <w:jc w:val="both"/>
            </w:pPr>
            <w:r w:rsidRPr="009F21BD">
              <w:t>Jednostki wytwórcze</w:t>
            </w:r>
            <w:r w:rsidR="008B7E5B">
              <w:t xml:space="preserve">, stosownie do rodzaju, </w:t>
            </w:r>
            <w:r w:rsidRPr="009F21BD">
              <w:t xml:space="preserve">powinny być wyposażone </w:t>
            </w:r>
            <w:r w:rsidR="00DB6060">
              <w:br/>
            </w:r>
            <w:r w:rsidRPr="009F21BD">
              <w:t xml:space="preserve">w zabezpieczenia zgodnie z zapisami IRiESD </w:t>
            </w:r>
            <w:r w:rsidR="00DB6060">
              <w:t xml:space="preserve">oraz pkt. 3 i pkt. 9 </w:t>
            </w:r>
            <w:r w:rsidRPr="009F21BD">
              <w:t>niniejsz</w:t>
            </w:r>
            <w:r w:rsidR="00DB6060">
              <w:t>ego</w:t>
            </w:r>
            <w:r w:rsidRPr="009F21BD">
              <w:t xml:space="preserve"> załącznik</w:t>
            </w:r>
            <w:r w:rsidR="00DB6060">
              <w:t>a</w:t>
            </w:r>
            <w:r w:rsidRPr="009F21BD">
              <w:t>.</w:t>
            </w:r>
          </w:p>
          <w:p w14:paraId="1506B450" w14:textId="77777777" w:rsidR="0088190B" w:rsidRPr="009F21BD" w:rsidRDefault="0088190B" w:rsidP="00E72E03">
            <w:pPr>
              <w:pStyle w:val="Default"/>
              <w:jc w:val="both"/>
              <w:rPr>
                <w:color w:val="auto"/>
              </w:rPr>
            </w:pPr>
            <w:r w:rsidRPr="009F21BD">
              <w:rPr>
                <w:color w:val="auto"/>
              </w:rPr>
              <w:t>Wymagania pkt</w:t>
            </w:r>
            <w:r>
              <w:rPr>
                <w:color w:val="auto"/>
              </w:rPr>
              <w:t>.</w:t>
            </w:r>
            <w:r w:rsidRPr="009F21BD">
              <w:rPr>
                <w:color w:val="auto"/>
              </w:rPr>
              <w:t xml:space="preserve"> 3 niniejszego załącznika nie dotyczą mikroźródeł, za wyjątkiem drugiego akapitu punktu 3.11.</w:t>
            </w:r>
          </w:p>
        </w:tc>
      </w:tr>
      <w:tr w:rsidR="0088190B" w:rsidRPr="009F21BD" w14:paraId="7CCBC9D0" w14:textId="77777777" w:rsidTr="00F5641B">
        <w:tc>
          <w:tcPr>
            <w:tcW w:w="1063" w:type="dxa"/>
            <w:shd w:val="clear" w:color="auto" w:fill="auto"/>
          </w:tcPr>
          <w:p w14:paraId="5FAE34CD" w14:textId="77777777" w:rsidR="0088190B" w:rsidRPr="009F21BD" w:rsidRDefault="0088190B" w:rsidP="00E72E03">
            <w:pPr>
              <w:jc w:val="both"/>
            </w:pPr>
            <w:r w:rsidRPr="009F21BD">
              <w:t>3.2.</w:t>
            </w:r>
          </w:p>
        </w:tc>
        <w:tc>
          <w:tcPr>
            <w:tcW w:w="8147" w:type="dxa"/>
            <w:shd w:val="clear" w:color="auto" w:fill="auto"/>
          </w:tcPr>
          <w:p w14:paraId="392C8A8B" w14:textId="77777777" w:rsidR="0088190B" w:rsidRPr="009F21BD" w:rsidRDefault="0088190B" w:rsidP="00E72E03">
            <w:pPr>
              <w:jc w:val="both"/>
            </w:pPr>
            <w:r w:rsidRPr="009F21BD">
              <w:t xml:space="preserve">Zabezpieczenia </w:t>
            </w:r>
            <w:r w:rsidR="005F4846">
              <w:t>j</w:t>
            </w:r>
            <w:r w:rsidRPr="009F21BD">
              <w:t xml:space="preserve">ednostek wytwórczych powinny zostać dobrane zgodnie </w:t>
            </w:r>
            <w:r w:rsidR="00E00B45">
              <w:br/>
            </w:r>
            <w:r w:rsidRPr="009F21BD">
              <w:t>z obowiązującymi przepisami i normami. Zabezpieczenia te powinny działać na urządzenie łączeniowe określone w pkt 2.1.a), powodując wyłączenie jednostki wytwórczej z ruchu.</w:t>
            </w:r>
          </w:p>
        </w:tc>
      </w:tr>
      <w:tr w:rsidR="0088190B" w:rsidRPr="009F21BD" w14:paraId="20E11B83" w14:textId="77777777" w:rsidTr="00F5641B">
        <w:tc>
          <w:tcPr>
            <w:tcW w:w="1063" w:type="dxa"/>
            <w:shd w:val="clear" w:color="auto" w:fill="auto"/>
          </w:tcPr>
          <w:p w14:paraId="310A302B" w14:textId="77777777" w:rsidR="0088190B" w:rsidRPr="009F21BD" w:rsidRDefault="0088190B" w:rsidP="00E72E03">
            <w:pPr>
              <w:jc w:val="both"/>
            </w:pPr>
            <w:r w:rsidRPr="009F21BD">
              <w:t>3.3.</w:t>
            </w:r>
          </w:p>
        </w:tc>
        <w:tc>
          <w:tcPr>
            <w:tcW w:w="8147" w:type="dxa"/>
            <w:shd w:val="clear" w:color="auto" w:fill="auto"/>
          </w:tcPr>
          <w:p w14:paraId="6EE6A1FB" w14:textId="77777777" w:rsidR="0088190B" w:rsidRPr="00F90DDD" w:rsidRDefault="00757A83" w:rsidP="00E72E03">
            <w:pPr>
              <w:jc w:val="both"/>
            </w:pPr>
            <w:r w:rsidRPr="00F90DDD">
              <w:rPr>
                <w:rFonts w:eastAsia="Times New Roman"/>
                <w:bCs/>
                <w:color w:val="000000"/>
                <w:szCs w:val="24"/>
              </w:rPr>
              <w:t xml:space="preserve">Zabezpieczenia jednostek wytwórczych powinny spełniać wymagania zawarte </w:t>
            </w:r>
            <w:r w:rsidRPr="00F90DDD">
              <w:rPr>
                <w:rFonts w:eastAsia="Times New Roman"/>
                <w:bCs/>
                <w:color w:val="000000"/>
                <w:szCs w:val="24"/>
              </w:rPr>
              <w:br/>
              <w:t>w pkt. 3.1</w:t>
            </w:r>
            <w:r w:rsidR="00F90DDD" w:rsidRPr="00F90DDD">
              <w:rPr>
                <w:rFonts w:eastAsia="Times New Roman"/>
                <w:bCs/>
                <w:color w:val="000000"/>
                <w:szCs w:val="24"/>
              </w:rPr>
              <w:t>6</w:t>
            </w:r>
            <w:r w:rsidRPr="00F90DDD">
              <w:rPr>
                <w:rFonts w:eastAsia="Times New Roman"/>
                <w:bCs/>
                <w:color w:val="000000"/>
                <w:szCs w:val="24"/>
              </w:rPr>
              <w:t>.</w:t>
            </w:r>
          </w:p>
        </w:tc>
      </w:tr>
      <w:tr w:rsidR="0088190B" w:rsidRPr="009F21BD" w14:paraId="48CE9E82" w14:textId="77777777" w:rsidTr="00F5641B">
        <w:tc>
          <w:tcPr>
            <w:tcW w:w="1063" w:type="dxa"/>
            <w:shd w:val="clear" w:color="auto" w:fill="auto"/>
          </w:tcPr>
          <w:p w14:paraId="76E937D8" w14:textId="77777777" w:rsidR="0088190B" w:rsidRPr="009F21BD" w:rsidRDefault="0088190B" w:rsidP="00E72E03">
            <w:pPr>
              <w:jc w:val="both"/>
            </w:pPr>
            <w:r w:rsidRPr="009F21BD">
              <w:t>3.</w:t>
            </w:r>
            <w:r w:rsidR="00930C45">
              <w:t>4</w:t>
            </w:r>
            <w:r w:rsidRPr="009F21BD">
              <w:t>.</w:t>
            </w:r>
          </w:p>
        </w:tc>
        <w:tc>
          <w:tcPr>
            <w:tcW w:w="8147" w:type="dxa"/>
            <w:shd w:val="clear" w:color="auto" w:fill="auto"/>
          </w:tcPr>
          <w:p w14:paraId="6C104FB4" w14:textId="77777777" w:rsidR="0088190B" w:rsidRPr="009F21BD" w:rsidRDefault="00930C45" w:rsidP="00E72E03">
            <w:pPr>
              <w:jc w:val="both"/>
            </w:pPr>
            <w:r w:rsidRPr="003B5EA2">
              <w:rPr>
                <w:rFonts w:cs="Times New Roman"/>
                <w:color w:val="000000"/>
                <w:szCs w:val="24"/>
              </w:rPr>
              <w:t xml:space="preserve">Jednostki wytwórcze współpracujące z falownikami </w:t>
            </w:r>
            <w:r w:rsidRPr="003B5EA2">
              <w:rPr>
                <w:rFonts w:eastAsia="Times New Roman"/>
                <w:bCs/>
                <w:color w:val="000000"/>
                <w:szCs w:val="24"/>
              </w:rPr>
              <w:t xml:space="preserve">o mocy osiągalnej powyżej 200 kW powinny być wyposażone w urządzenia pozwalające na kontrolowanie </w:t>
            </w:r>
            <w:r>
              <w:rPr>
                <w:rFonts w:eastAsia="Times New Roman"/>
                <w:bCs/>
                <w:color w:val="000000"/>
                <w:szCs w:val="24"/>
              </w:rPr>
              <w:br/>
            </w:r>
            <w:r w:rsidRPr="003B5EA2">
              <w:rPr>
                <w:rFonts w:eastAsia="Times New Roman"/>
                <w:bCs/>
                <w:color w:val="000000"/>
                <w:szCs w:val="24"/>
              </w:rPr>
              <w:t>i utrzymywanie zadanych parametrów jakościowych energii elektrycznej</w:t>
            </w:r>
            <w:r>
              <w:rPr>
                <w:rFonts w:eastAsia="Times New Roman"/>
                <w:bCs/>
                <w:color w:val="000000"/>
                <w:szCs w:val="24"/>
              </w:rPr>
              <w:t>.</w:t>
            </w:r>
          </w:p>
        </w:tc>
      </w:tr>
      <w:tr w:rsidR="0088190B" w:rsidRPr="009F21BD" w14:paraId="1C90DE58" w14:textId="77777777" w:rsidTr="004644C8">
        <w:tc>
          <w:tcPr>
            <w:tcW w:w="1063" w:type="dxa"/>
            <w:shd w:val="clear" w:color="auto" w:fill="auto"/>
          </w:tcPr>
          <w:p w14:paraId="39A3AD48" w14:textId="77777777" w:rsidR="0088190B" w:rsidRPr="009F21BD" w:rsidRDefault="0088190B" w:rsidP="00E72E03">
            <w:pPr>
              <w:jc w:val="both"/>
            </w:pPr>
            <w:r w:rsidRPr="009F21BD">
              <w:t>3.</w:t>
            </w:r>
            <w:r w:rsidR="00257541">
              <w:t>5.</w:t>
            </w:r>
          </w:p>
        </w:tc>
        <w:tc>
          <w:tcPr>
            <w:tcW w:w="8147" w:type="dxa"/>
            <w:shd w:val="clear" w:color="auto" w:fill="auto"/>
          </w:tcPr>
          <w:p w14:paraId="573B64A4" w14:textId="77777777" w:rsidR="0088190B" w:rsidRPr="009F21BD" w:rsidRDefault="00257541" w:rsidP="00E72E03">
            <w:pPr>
              <w:jc w:val="both"/>
            </w:pPr>
            <w:r w:rsidRPr="003B5EA2">
              <w:rPr>
                <w:rFonts w:cs="Times New Roman"/>
                <w:color w:val="000000"/>
                <w:szCs w:val="24"/>
              </w:rPr>
              <w:t xml:space="preserve">OSDn decyduje o potrzebie wyposażenia jednostek wytwórczych </w:t>
            </w:r>
            <w:r w:rsidRPr="003B5EA2">
              <w:rPr>
                <w:rFonts w:cs="Times New Roman"/>
                <w:color w:val="000000"/>
                <w:szCs w:val="24"/>
              </w:rPr>
              <w:br/>
              <w:t>w zabezpieczenie od mocy zwrotnej</w:t>
            </w:r>
            <w:r>
              <w:rPr>
                <w:rFonts w:cs="Times New Roman"/>
                <w:color w:val="000000"/>
                <w:szCs w:val="24"/>
              </w:rPr>
              <w:t>.</w:t>
            </w:r>
          </w:p>
        </w:tc>
      </w:tr>
      <w:tr w:rsidR="0088190B" w:rsidRPr="009F21BD" w14:paraId="579AE4D7" w14:textId="77777777" w:rsidTr="004644C8">
        <w:tc>
          <w:tcPr>
            <w:tcW w:w="1063" w:type="dxa"/>
            <w:shd w:val="clear" w:color="auto" w:fill="auto"/>
          </w:tcPr>
          <w:p w14:paraId="7CAE859F" w14:textId="77777777" w:rsidR="0088190B" w:rsidRPr="009F21BD" w:rsidRDefault="0088190B" w:rsidP="00E72E03">
            <w:pPr>
              <w:jc w:val="both"/>
            </w:pPr>
            <w:r w:rsidRPr="009F21BD">
              <w:t>3.</w:t>
            </w:r>
            <w:r w:rsidR="00246AE1">
              <w:t>6</w:t>
            </w:r>
            <w:r w:rsidRPr="009F21BD">
              <w:t>.</w:t>
            </w:r>
          </w:p>
        </w:tc>
        <w:tc>
          <w:tcPr>
            <w:tcW w:w="8147" w:type="dxa"/>
            <w:shd w:val="clear" w:color="auto" w:fill="auto"/>
          </w:tcPr>
          <w:p w14:paraId="4E4912AE" w14:textId="77777777" w:rsidR="0088190B" w:rsidRPr="009F21BD" w:rsidRDefault="0088190B" w:rsidP="00E72E03">
            <w:pPr>
              <w:jc w:val="both"/>
            </w:pPr>
            <w:r w:rsidRPr="009F21BD">
              <w:t>W zależności od rodzaju pracy jednostki wytwórczej</w:t>
            </w:r>
            <w:r w:rsidR="00FA0A97">
              <w:t xml:space="preserve"> zabezpieczenia powinny powodować otwarcie </w:t>
            </w:r>
            <w:r w:rsidRPr="009F21BD">
              <w:t>łącznik</w:t>
            </w:r>
            <w:r w:rsidR="00FA0A97">
              <w:t>a</w:t>
            </w:r>
            <w:r w:rsidRPr="009F21BD">
              <w:t>:</w:t>
            </w:r>
          </w:p>
          <w:p w14:paraId="645E8908" w14:textId="77777777" w:rsidR="0088190B" w:rsidRPr="009F21BD" w:rsidRDefault="0088190B">
            <w:pPr>
              <w:numPr>
                <w:ilvl w:val="0"/>
                <w:numId w:val="163"/>
              </w:numPr>
              <w:tabs>
                <w:tab w:val="clear" w:pos="286"/>
                <w:tab w:val="num" w:pos="197"/>
              </w:tabs>
              <w:ind w:left="377" w:hanging="360"/>
              <w:jc w:val="both"/>
            </w:pPr>
            <w:r w:rsidRPr="009F21BD">
              <w:t>określon</w:t>
            </w:r>
            <w:r w:rsidR="00C20559">
              <w:t>ego</w:t>
            </w:r>
            <w:r w:rsidRPr="009F21BD">
              <w:t xml:space="preserve"> w pkt</w:t>
            </w:r>
            <w:r>
              <w:t>.</w:t>
            </w:r>
            <w:r w:rsidRPr="009F21BD">
              <w:t xml:space="preserve"> 2.1.a), gdy jednostka wytwórcza nie ma możliwości pracy wyspowej,</w:t>
            </w:r>
          </w:p>
          <w:p w14:paraId="19BBE05C" w14:textId="77777777" w:rsidR="0088190B" w:rsidRPr="009F21BD" w:rsidRDefault="0088190B">
            <w:pPr>
              <w:numPr>
                <w:ilvl w:val="0"/>
                <w:numId w:val="163"/>
              </w:numPr>
              <w:ind w:left="377" w:hanging="360"/>
              <w:jc w:val="both"/>
            </w:pPr>
            <w:r w:rsidRPr="009F21BD">
              <w:t>określon</w:t>
            </w:r>
            <w:r w:rsidR="00C20559">
              <w:t xml:space="preserve">ego </w:t>
            </w:r>
            <w:r w:rsidRPr="009F21BD">
              <w:t>w pkt</w:t>
            </w:r>
            <w:r>
              <w:t>.</w:t>
            </w:r>
            <w:r w:rsidRPr="009F21BD">
              <w:t xml:space="preserve"> 2.2, gdy jednostka wytwórcza ma możliwość pracy wyspowej.</w:t>
            </w:r>
          </w:p>
        </w:tc>
      </w:tr>
      <w:tr w:rsidR="0088190B" w:rsidRPr="009F21BD" w14:paraId="3FF271A9" w14:textId="77777777" w:rsidTr="004644C8">
        <w:tc>
          <w:tcPr>
            <w:tcW w:w="1063" w:type="dxa"/>
            <w:shd w:val="clear" w:color="auto" w:fill="auto"/>
          </w:tcPr>
          <w:p w14:paraId="6C49E784" w14:textId="77777777" w:rsidR="0088190B" w:rsidRPr="009F21BD" w:rsidRDefault="0088190B" w:rsidP="00E72E03">
            <w:pPr>
              <w:jc w:val="both"/>
            </w:pPr>
            <w:r w:rsidRPr="009F21BD">
              <w:t>3.</w:t>
            </w:r>
            <w:r w:rsidR="00DA060E">
              <w:t>7</w:t>
            </w:r>
            <w:r w:rsidRPr="009F21BD">
              <w:t>.</w:t>
            </w:r>
          </w:p>
        </w:tc>
        <w:tc>
          <w:tcPr>
            <w:tcW w:w="8147" w:type="dxa"/>
            <w:shd w:val="clear" w:color="auto" w:fill="auto"/>
          </w:tcPr>
          <w:p w14:paraId="6A43A3DE" w14:textId="77777777" w:rsidR="0088190B" w:rsidRPr="009F21BD" w:rsidRDefault="0088190B" w:rsidP="00E72E03">
            <w:pPr>
              <w:jc w:val="both"/>
            </w:pPr>
            <w:r w:rsidRPr="009F21BD">
              <w:t>OSDn ustala nastawy oraz zwłokę czasową działania zabezpieczeń w zależności od miejsca przyłączenia jednostki wytwórczej do sieci dystrybucyjnej.</w:t>
            </w:r>
          </w:p>
        </w:tc>
      </w:tr>
      <w:tr w:rsidR="0088190B" w:rsidRPr="009F21BD" w14:paraId="37EDB77E" w14:textId="77777777" w:rsidTr="004644C8">
        <w:tc>
          <w:tcPr>
            <w:tcW w:w="1063" w:type="dxa"/>
            <w:shd w:val="clear" w:color="auto" w:fill="auto"/>
          </w:tcPr>
          <w:p w14:paraId="52FF3D74" w14:textId="77777777" w:rsidR="0088190B" w:rsidRPr="009F21BD" w:rsidRDefault="0088190B" w:rsidP="00E72E03">
            <w:pPr>
              <w:jc w:val="both"/>
            </w:pPr>
            <w:r w:rsidRPr="009F21BD">
              <w:t>3.</w:t>
            </w:r>
            <w:r w:rsidR="004644C8">
              <w:t>8</w:t>
            </w:r>
            <w:r w:rsidRPr="009F21BD">
              <w:t>.</w:t>
            </w:r>
          </w:p>
        </w:tc>
        <w:tc>
          <w:tcPr>
            <w:tcW w:w="8147" w:type="dxa"/>
            <w:shd w:val="clear" w:color="auto" w:fill="auto"/>
          </w:tcPr>
          <w:p w14:paraId="24E57BE9" w14:textId="77777777" w:rsidR="004644C8" w:rsidRPr="003B5EA2" w:rsidRDefault="004644C8" w:rsidP="00E72E03">
            <w:pPr>
              <w:spacing w:line="276" w:lineRule="auto"/>
              <w:jc w:val="both"/>
              <w:rPr>
                <w:rFonts w:eastAsia="Times New Roman"/>
                <w:color w:val="000000"/>
                <w:szCs w:val="24"/>
              </w:rPr>
            </w:pPr>
            <w:r w:rsidRPr="003B5EA2">
              <w:rPr>
                <w:rFonts w:eastAsia="Times New Roman"/>
                <w:color w:val="000000"/>
                <w:szCs w:val="24"/>
              </w:rPr>
              <w:t xml:space="preserve">W przypadku trójfazowych jednostek wytwórczych zabezpieczenie do ochrony przed obniżeniem lub wzrostem napięcia musi być wykonane trójfazowo. Jednostka wytwórcza przy obniżeniu lub wzroście napięcia w jednym </w:t>
            </w:r>
            <w:r w:rsidRPr="003B5EA2">
              <w:rPr>
                <w:rFonts w:eastAsia="Times New Roman"/>
                <w:color w:val="000000"/>
                <w:szCs w:val="24"/>
              </w:rPr>
              <w:br/>
              <w:t xml:space="preserve">z przewodów fazowych musi być odłączona od sieci trójbiegunowo. </w:t>
            </w:r>
          </w:p>
          <w:p w14:paraId="12CF5B49" w14:textId="77777777" w:rsidR="0088190B" w:rsidRPr="009F21BD" w:rsidRDefault="004644C8" w:rsidP="00E72E03">
            <w:pPr>
              <w:jc w:val="both"/>
            </w:pPr>
            <w:r w:rsidRPr="003B5EA2">
              <w:rPr>
                <w:rFonts w:eastAsia="Times New Roman"/>
                <w:color w:val="000000"/>
                <w:szCs w:val="24"/>
              </w:rPr>
              <w:t>W przypadku jednofazowych jednostek wytwórczych zabezpieczenie do ochrony przed obniżeniem lub wzrostem napięcia, przy obniżeniu lub wzroście napięcia, powinno powodować odłączenie jednostki od sieci dwubiegunowo</w:t>
            </w:r>
          </w:p>
        </w:tc>
      </w:tr>
      <w:tr w:rsidR="0088190B" w:rsidRPr="009F21BD" w14:paraId="63B8BEBF" w14:textId="77777777" w:rsidTr="004644C8">
        <w:tc>
          <w:tcPr>
            <w:tcW w:w="1063" w:type="dxa"/>
            <w:shd w:val="clear" w:color="auto" w:fill="auto"/>
          </w:tcPr>
          <w:p w14:paraId="35A52A8D" w14:textId="77777777" w:rsidR="0088190B" w:rsidRPr="009F21BD" w:rsidRDefault="0088190B" w:rsidP="00E72E03">
            <w:pPr>
              <w:jc w:val="both"/>
            </w:pPr>
            <w:r w:rsidRPr="009F21BD">
              <w:t>3.</w:t>
            </w:r>
            <w:r w:rsidR="00245FEF">
              <w:t>9</w:t>
            </w:r>
            <w:r w:rsidRPr="009F21BD">
              <w:t>.</w:t>
            </w:r>
          </w:p>
        </w:tc>
        <w:tc>
          <w:tcPr>
            <w:tcW w:w="8147" w:type="dxa"/>
            <w:shd w:val="clear" w:color="auto" w:fill="auto"/>
          </w:tcPr>
          <w:p w14:paraId="1C5E2B88" w14:textId="77777777" w:rsidR="0088190B" w:rsidRPr="009F21BD" w:rsidRDefault="0088190B" w:rsidP="00E72E03">
            <w:pPr>
              <w:pStyle w:val="Default"/>
              <w:jc w:val="both"/>
              <w:rPr>
                <w:color w:val="auto"/>
              </w:rPr>
            </w:pPr>
            <w:r w:rsidRPr="009F21BD">
              <w:rPr>
                <w:color w:val="auto"/>
              </w:rPr>
              <w:t xml:space="preserve">Jednostki wytwórcze przyłączane lub przyłączone do sieci nN, muszą być wyposażone w automatykę uniemożliwiającą pracę wyspową. </w:t>
            </w:r>
          </w:p>
        </w:tc>
      </w:tr>
      <w:tr w:rsidR="0088190B" w:rsidRPr="009F21BD" w14:paraId="7AFC5AA9" w14:textId="77777777" w:rsidTr="00F5641B">
        <w:tc>
          <w:tcPr>
            <w:tcW w:w="1063" w:type="dxa"/>
            <w:shd w:val="clear" w:color="auto" w:fill="auto"/>
          </w:tcPr>
          <w:p w14:paraId="417A8405" w14:textId="77777777" w:rsidR="0088190B" w:rsidRPr="009F21BD" w:rsidRDefault="0088190B" w:rsidP="00E72E03">
            <w:pPr>
              <w:jc w:val="both"/>
            </w:pPr>
            <w:r w:rsidRPr="009F21BD">
              <w:t>3.1</w:t>
            </w:r>
            <w:r w:rsidR="00EB146E">
              <w:t>0</w:t>
            </w:r>
            <w:r w:rsidRPr="009F21BD">
              <w:t>.</w:t>
            </w:r>
          </w:p>
        </w:tc>
        <w:tc>
          <w:tcPr>
            <w:tcW w:w="8147" w:type="dxa"/>
            <w:shd w:val="clear" w:color="auto" w:fill="auto"/>
          </w:tcPr>
          <w:p w14:paraId="14279D78" w14:textId="77777777" w:rsidR="00EC2016" w:rsidRPr="003B5EA2" w:rsidRDefault="00EC2016" w:rsidP="00E72E03">
            <w:pPr>
              <w:pStyle w:val="Default"/>
              <w:jc w:val="both"/>
            </w:pPr>
            <w:r w:rsidRPr="003B5EA2">
              <w:t xml:space="preserve">W przypadku jednostek wytwórczych przyłączonych do sieci dystrybucyjnej poprzez transformator nN/SN, dla zabezpieczeń do ochrony przed: wzrostem </w:t>
            </w:r>
            <w:r w:rsidRPr="003B5EA2">
              <w:lastRenderedPageBreak/>
              <w:t xml:space="preserve">częstotliwości, obniżeniem częstotliwości oraz obniżeniem napięcia, wielkości pomiarowe powinny być pobierane po stronie nN. Natomiast dla zabezpieczeń: zerowo-nadnapięciowych oraz do ochrony przed wzrostem napięcia, wielkości pomiarowe powinny być pobierane po stronie SN.  </w:t>
            </w:r>
          </w:p>
          <w:p w14:paraId="4ED0BC6A" w14:textId="77777777" w:rsidR="00EC2016" w:rsidRPr="003B5EA2" w:rsidRDefault="00EC2016" w:rsidP="00E72E03">
            <w:pPr>
              <w:pStyle w:val="Default"/>
              <w:jc w:val="both"/>
            </w:pPr>
            <w:r w:rsidRPr="003B5EA2">
              <w:t xml:space="preserve">W przypadku jednostek wytwórczych, nie będącymi mikroinstalacjami, przyłączonych bezpośrednio do sieci dystrybucyjnej nN, dla zabezpieczeń dodatkowych wielkości pomiarowe powinny być pobierane z sieci nN. </w:t>
            </w:r>
          </w:p>
          <w:p w14:paraId="38D914B6" w14:textId="77777777" w:rsidR="0088190B" w:rsidRPr="009F21BD" w:rsidRDefault="00EC2016" w:rsidP="00E72E03">
            <w:pPr>
              <w:pStyle w:val="Default"/>
              <w:jc w:val="both"/>
              <w:rPr>
                <w:color w:val="auto"/>
              </w:rPr>
            </w:pPr>
            <w:r w:rsidRPr="003B5EA2">
              <w:t>W przypadku podłączania mikroinstalacji, wielkości pomiarowe dla działania zainstalowanych zabezpieczeń powinny być pobierane z sieci nN. Punkt pomiarowy może być umieszczony w dowolnym miejscu pomiędzy zaciskami falownika a siecią dystrybucyjną, z wyłączeniem punktu przyłączenia do sieci OSDn.</w:t>
            </w:r>
          </w:p>
        </w:tc>
      </w:tr>
      <w:tr w:rsidR="00C9316D" w:rsidRPr="009F21BD" w14:paraId="31307DFC" w14:textId="77777777" w:rsidTr="00F5641B">
        <w:tc>
          <w:tcPr>
            <w:tcW w:w="1063" w:type="dxa"/>
            <w:shd w:val="clear" w:color="auto" w:fill="auto"/>
          </w:tcPr>
          <w:p w14:paraId="3E2F0FB6" w14:textId="77777777" w:rsidR="00C9316D" w:rsidRPr="009F21BD" w:rsidRDefault="00C9316D" w:rsidP="00E72E03">
            <w:pPr>
              <w:jc w:val="both"/>
            </w:pPr>
            <w:r w:rsidRPr="009F21BD">
              <w:lastRenderedPageBreak/>
              <w:t>3.1</w:t>
            </w:r>
            <w:r>
              <w:t>1</w:t>
            </w:r>
            <w:r w:rsidRPr="009F21BD">
              <w:t>.</w:t>
            </w:r>
          </w:p>
        </w:tc>
        <w:tc>
          <w:tcPr>
            <w:tcW w:w="8147" w:type="dxa"/>
            <w:shd w:val="clear" w:color="auto" w:fill="auto"/>
          </w:tcPr>
          <w:p w14:paraId="2E7A9EF2" w14:textId="77777777" w:rsidR="00C9316D" w:rsidRPr="003B5EA2" w:rsidRDefault="00C9316D" w:rsidP="00E72E03">
            <w:pPr>
              <w:jc w:val="both"/>
              <w:rPr>
                <w:rFonts w:cs="Times New Roman"/>
                <w:color w:val="000000"/>
                <w:szCs w:val="24"/>
              </w:rPr>
            </w:pPr>
            <w:r w:rsidRPr="003B5EA2">
              <w:rPr>
                <w:rFonts w:cs="Times New Roman"/>
                <w:color w:val="000000"/>
                <w:szCs w:val="24"/>
              </w:rPr>
              <w:t>Dla generatorów synchronicznych lub asynchronicznych czas działania zabezpieczeń i czas własny łącznika sprzęgającego muszą być tak dobrane, aby wyłączenie generatora nastąpiło podczas zaników napięcia spowodowanych zadziałaniem automatyki SPZ lub SZR.</w:t>
            </w:r>
          </w:p>
        </w:tc>
      </w:tr>
      <w:tr w:rsidR="00C9316D" w:rsidRPr="009F21BD" w14:paraId="592D76C1" w14:textId="77777777" w:rsidTr="00F5641B">
        <w:tc>
          <w:tcPr>
            <w:tcW w:w="1063" w:type="dxa"/>
            <w:shd w:val="clear" w:color="auto" w:fill="auto"/>
          </w:tcPr>
          <w:p w14:paraId="2C5DFEBF" w14:textId="77777777" w:rsidR="00C9316D" w:rsidRPr="009F21BD" w:rsidRDefault="00C9316D" w:rsidP="00E72E03">
            <w:pPr>
              <w:jc w:val="both"/>
            </w:pPr>
            <w:r w:rsidRPr="009F21BD">
              <w:t>3.1</w:t>
            </w:r>
            <w:r w:rsidR="00F865F9">
              <w:t>2</w:t>
            </w:r>
            <w:r w:rsidRPr="009F21BD">
              <w:t>.</w:t>
            </w:r>
          </w:p>
        </w:tc>
        <w:tc>
          <w:tcPr>
            <w:tcW w:w="8147" w:type="dxa"/>
            <w:shd w:val="clear" w:color="auto" w:fill="auto"/>
          </w:tcPr>
          <w:p w14:paraId="2D02A2D4" w14:textId="77777777" w:rsidR="00C9316D" w:rsidRPr="009F21BD" w:rsidRDefault="00C9316D" w:rsidP="00E72E03">
            <w:pPr>
              <w:jc w:val="both"/>
            </w:pPr>
            <w:r w:rsidRPr="009F21BD">
              <w:t xml:space="preserve">Elektrownie wiatrowe z generatorami asynchronicznymi należy wyposażyć </w:t>
            </w:r>
            <w:r w:rsidRPr="009F21BD">
              <w:br/>
              <w:t>w automatykę bezzwłocznego wyłączania elektrowni po przejściu do pracy na wydzieloną sieć.</w:t>
            </w:r>
          </w:p>
        </w:tc>
      </w:tr>
      <w:tr w:rsidR="00C9316D" w:rsidRPr="009F21BD" w14:paraId="1EA3EA34" w14:textId="77777777" w:rsidTr="00F5641B">
        <w:tc>
          <w:tcPr>
            <w:tcW w:w="1063" w:type="dxa"/>
            <w:shd w:val="clear" w:color="auto" w:fill="auto"/>
          </w:tcPr>
          <w:p w14:paraId="4031BEDA" w14:textId="77777777" w:rsidR="00C9316D" w:rsidRPr="009F21BD" w:rsidRDefault="00C9316D" w:rsidP="00E72E03">
            <w:pPr>
              <w:jc w:val="both"/>
            </w:pPr>
            <w:r w:rsidRPr="009F21BD">
              <w:t>3.1</w:t>
            </w:r>
            <w:r w:rsidR="00711611">
              <w:t>3</w:t>
            </w:r>
            <w:r w:rsidRPr="009F21BD">
              <w:t>.</w:t>
            </w:r>
          </w:p>
        </w:tc>
        <w:tc>
          <w:tcPr>
            <w:tcW w:w="8147" w:type="dxa"/>
            <w:shd w:val="clear" w:color="auto" w:fill="auto"/>
          </w:tcPr>
          <w:p w14:paraId="4F738AE2" w14:textId="77777777" w:rsidR="00C9316D" w:rsidRPr="009F21BD" w:rsidRDefault="00C9316D" w:rsidP="00E72E03">
            <w:pPr>
              <w:jc w:val="both"/>
            </w:pPr>
            <w:r w:rsidRPr="009F21BD">
              <w:t>W przypadku zwarcia w elektrowni wiatrowej z generatorem asynchronicznym automatyka zabezpieczeniowa powinna wyłączać ją bezzwłocznie lub ze zwłoką czasową uzgodnioną z OSDn.</w:t>
            </w:r>
          </w:p>
        </w:tc>
      </w:tr>
      <w:tr w:rsidR="00C9316D" w:rsidRPr="009F21BD" w14:paraId="2AF7C14F" w14:textId="77777777" w:rsidTr="00F5641B">
        <w:tc>
          <w:tcPr>
            <w:tcW w:w="1063" w:type="dxa"/>
            <w:shd w:val="clear" w:color="auto" w:fill="auto"/>
          </w:tcPr>
          <w:p w14:paraId="115C8829" w14:textId="77777777" w:rsidR="00C9316D" w:rsidRPr="009F21BD" w:rsidRDefault="00711611" w:rsidP="00E72E03">
            <w:pPr>
              <w:jc w:val="both"/>
            </w:pPr>
            <w:r>
              <w:t>3.14.</w:t>
            </w:r>
          </w:p>
        </w:tc>
        <w:tc>
          <w:tcPr>
            <w:tcW w:w="8147" w:type="dxa"/>
            <w:shd w:val="clear" w:color="auto" w:fill="auto"/>
          </w:tcPr>
          <w:p w14:paraId="25E05A5F" w14:textId="77777777" w:rsidR="00C9316D" w:rsidRPr="009F21BD" w:rsidRDefault="00C9316D" w:rsidP="00E72E03">
            <w:pPr>
              <w:pStyle w:val="Default"/>
              <w:jc w:val="both"/>
              <w:rPr>
                <w:color w:val="auto"/>
              </w:rPr>
            </w:pPr>
            <w:r w:rsidRPr="009F21BD">
              <w:rPr>
                <w:color w:val="auto"/>
              </w:rPr>
              <w:t xml:space="preserve">Zabrania się przyłączania jednostek wytwórczych wyposażonych wyłącznie </w:t>
            </w:r>
            <w:r w:rsidRPr="009F21BD">
              <w:rPr>
                <w:color w:val="auto"/>
              </w:rPr>
              <w:br/>
              <w:t xml:space="preserve">w aparaty instalacyjne np. bezpieczniki topikowe czy wyłączniki nadmiarowe niezależnie od wartości mocy osiągalnej i miejsca przyłączenia. </w:t>
            </w:r>
          </w:p>
        </w:tc>
      </w:tr>
      <w:tr w:rsidR="00C9316D" w:rsidRPr="009F21BD" w14:paraId="65B3025F" w14:textId="77777777" w:rsidTr="00F5641B">
        <w:tc>
          <w:tcPr>
            <w:tcW w:w="1063" w:type="dxa"/>
            <w:shd w:val="clear" w:color="auto" w:fill="auto"/>
          </w:tcPr>
          <w:p w14:paraId="7DBFC285" w14:textId="77777777" w:rsidR="00C9316D" w:rsidRPr="009F21BD" w:rsidRDefault="00EA308B" w:rsidP="00E72E03">
            <w:pPr>
              <w:jc w:val="both"/>
            </w:pPr>
            <w:r>
              <w:t>3.15.</w:t>
            </w:r>
          </w:p>
        </w:tc>
        <w:tc>
          <w:tcPr>
            <w:tcW w:w="8147" w:type="dxa"/>
            <w:shd w:val="clear" w:color="auto" w:fill="auto"/>
          </w:tcPr>
          <w:p w14:paraId="40966BD1" w14:textId="77777777" w:rsidR="00C9316D" w:rsidRPr="009F21BD" w:rsidRDefault="00C9316D" w:rsidP="00E72E03">
            <w:pPr>
              <w:pStyle w:val="Default"/>
              <w:jc w:val="both"/>
              <w:rPr>
                <w:color w:val="auto"/>
              </w:rPr>
            </w:pPr>
            <w:r w:rsidRPr="009F21BD">
              <w:rPr>
                <w:color w:val="auto"/>
              </w:rPr>
              <w:t xml:space="preserve">Wszystkie zabezpieczenia jednostek wytwórczych pracujących w sieci trójfazowej powinny powodować ich trójfazowe wyłączenie. </w:t>
            </w:r>
          </w:p>
        </w:tc>
      </w:tr>
      <w:tr w:rsidR="00C9316D" w:rsidRPr="009F21BD" w14:paraId="6116E418" w14:textId="77777777" w:rsidTr="00F5641B">
        <w:tc>
          <w:tcPr>
            <w:tcW w:w="1063" w:type="dxa"/>
            <w:shd w:val="clear" w:color="auto" w:fill="auto"/>
          </w:tcPr>
          <w:p w14:paraId="1F6EE15D" w14:textId="77777777" w:rsidR="00C9316D" w:rsidRPr="009F21BD" w:rsidRDefault="00EA308B" w:rsidP="00E72E03">
            <w:pPr>
              <w:jc w:val="both"/>
            </w:pPr>
            <w:r>
              <w:t>3.16.</w:t>
            </w:r>
          </w:p>
        </w:tc>
        <w:tc>
          <w:tcPr>
            <w:tcW w:w="8147" w:type="dxa"/>
            <w:shd w:val="clear" w:color="auto" w:fill="auto"/>
          </w:tcPr>
          <w:p w14:paraId="7BC86102" w14:textId="77777777" w:rsidR="00C9316D" w:rsidRPr="009F21BD" w:rsidRDefault="00C9316D" w:rsidP="00E72E03">
            <w:pPr>
              <w:pStyle w:val="Default"/>
              <w:jc w:val="both"/>
              <w:rPr>
                <w:color w:val="auto"/>
              </w:rPr>
            </w:pPr>
            <w:r w:rsidRPr="009F21BD">
              <w:rPr>
                <w:color w:val="auto"/>
              </w:rPr>
              <w:t xml:space="preserve">Jednostki wytwórcze, dla których miejscem przyłączenia jest sieć nN, powinny być wyposażone w: </w:t>
            </w:r>
          </w:p>
          <w:p w14:paraId="513E7AB8" w14:textId="77777777" w:rsidR="00C9316D" w:rsidRPr="009F21BD" w:rsidRDefault="00C9316D">
            <w:pPr>
              <w:pStyle w:val="Default"/>
              <w:numPr>
                <w:ilvl w:val="0"/>
                <w:numId w:val="173"/>
              </w:numPr>
              <w:tabs>
                <w:tab w:val="left" w:pos="355"/>
              </w:tabs>
              <w:ind w:left="2342" w:hanging="2342"/>
              <w:jc w:val="both"/>
              <w:rPr>
                <w:color w:val="auto"/>
              </w:rPr>
            </w:pPr>
            <w:r w:rsidRPr="009F21BD">
              <w:rPr>
                <w:color w:val="auto"/>
              </w:rPr>
              <w:t xml:space="preserve">zabezpieczenia nadprądowe, </w:t>
            </w:r>
          </w:p>
          <w:p w14:paraId="64F6BB62" w14:textId="77777777" w:rsidR="00C9316D" w:rsidRPr="009F21BD" w:rsidRDefault="00C9316D">
            <w:pPr>
              <w:pStyle w:val="Default"/>
              <w:numPr>
                <w:ilvl w:val="0"/>
                <w:numId w:val="173"/>
              </w:numPr>
              <w:tabs>
                <w:tab w:val="left" w:pos="355"/>
              </w:tabs>
              <w:ind w:left="2342" w:hanging="2342"/>
              <w:jc w:val="both"/>
              <w:rPr>
                <w:color w:val="auto"/>
              </w:rPr>
            </w:pPr>
            <w:r w:rsidRPr="009F21BD">
              <w:rPr>
                <w:color w:val="auto"/>
              </w:rPr>
              <w:t xml:space="preserve">zabezpieczenia pod- i nadnapięciowe, </w:t>
            </w:r>
          </w:p>
          <w:p w14:paraId="687F96EF" w14:textId="77777777" w:rsidR="00C9316D" w:rsidRPr="009F21BD" w:rsidRDefault="00C9316D">
            <w:pPr>
              <w:pStyle w:val="Default"/>
              <w:numPr>
                <w:ilvl w:val="0"/>
                <w:numId w:val="173"/>
              </w:numPr>
              <w:tabs>
                <w:tab w:val="left" w:pos="355"/>
              </w:tabs>
              <w:ind w:left="2342" w:hanging="2342"/>
              <w:jc w:val="both"/>
              <w:rPr>
                <w:color w:val="auto"/>
              </w:rPr>
            </w:pPr>
            <w:r w:rsidRPr="009F21BD">
              <w:rPr>
                <w:color w:val="auto"/>
              </w:rPr>
              <w:t xml:space="preserve">zabezpieczenie skutków od pracy niepełnofazowej. </w:t>
            </w:r>
          </w:p>
          <w:p w14:paraId="01CE4417" w14:textId="77777777" w:rsidR="00C9316D" w:rsidRPr="009F21BD" w:rsidRDefault="00C9316D" w:rsidP="00E72E03">
            <w:pPr>
              <w:pStyle w:val="Default"/>
              <w:tabs>
                <w:tab w:val="left" w:pos="355"/>
              </w:tabs>
              <w:jc w:val="both"/>
              <w:rPr>
                <w:color w:val="auto"/>
              </w:rPr>
            </w:pPr>
            <w:r w:rsidRPr="009F21BD">
              <w:rPr>
                <w:color w:val="auto"/>
              </w:rPr>
              <w:t>OSDn decyduje o potrzebie wyposażenia jednostek wytwórczych lub linii w inne zabezpieczenia poprawiają e bezpieczeństwo pracy sieci.</w:t>
            </w:r>
          </w:p>
        </w:tc>
      </w:tr>
      <w:tr w:rsidR="00C9316D" w:rsidRPr="009F21BD" w14:paraId="7D451693" w14:textId="77777777" w:rsidTr="00F5641B">
        <w:tc>
          <w:tcPr>
            <w:tcW w:w="1063" w:type="dxa"/>
            <w:shd w:val="clear" w:color="auto" w:fill="auto"/>
          </w:tcPr>
          <w:p w14:paraId="46396056" w14:textId="77777777" w:rsidR="00C9316D" w:rsidRPr="009F21BD" w:rsidRDefault="00C9316D">
            <w:pPr>
              <w:numPr>
                <w:ilvl w:val="0"/>
                <w:numId w:val="174"/>
              </w:numPr>
              <w:jc w:val="both"/>
            </w:pPr>
          </w:p>
        </w:tc>
        <w:tc>
          <w:tcPr>
            <w:tcW w:w="8147" w:type="dxa"/>
            <w:shd w:val="clear" w:color="auto" w:fill="auto"/>
          </w:tcPr>
          <w:p w14:paraId="22319823" w14:textId="77777777" w:rsidR="00C9316D" w:rsidRDefault="00C9316D" w:rsidP="00E72E03">
            <w:pPr>
              <w:pStyle w:val="Default"/>
              <w:jc w:val="both"/>
              <w:rPr>
                <w:color w:val="auto"/>
              </w:rPr>
            </w:pPr>
            <w:r w:rsidRPr="009F21BD">
              <w:rPr>
                <w:color w:val="auto"/>
              </w:rPr>
              <w:t>Nastawy EAZ jednostek wytwórczych powinny być uzgodnione z OSDn lub przez niego ustalone.</w:t>
            </w:r>
          </w:p>
          <w:p w14:paraId="63A648D6" w14:textId="77777777" w:rsidR="00E00B45" w:rsidRPr="009F21BD" w:rsidRDefault="00E00B45" w:rsidP="00E72E03">
            <w:pPr>
              <w:pStyle w:val="Default"/>
              <w:jc w:val="both"/>
              <w:rPr>
                <w:color w:val="auto"/>
              </w:rPr>
            </w:pPr>
          </w:p>
        </w:tc>
      </w:tr>
      <w:tr w:rsidR="00C9316D" w:rsidRPr="009F21BD" w14:paraId="63944D5C" w14:textId="77777777" w:rsidTr="00F5641B">
        <w:tc>
          <w:tcPr>
            <w:tcW w:w="1063" w:type="dxa"/>
            <w:shd w:val="clear" w:color="auto" w:fill="auto"/>
          </w:tcPr>
          <w:p w14:paraId="5E8007A0" w14:textId="77777777" w:rsidR="00C9316D" w:rsidRPr="009F21BD" w:rsidRDefault="00C9316D">
            <w:pPr>
              <w:numPr>
                <w:ilvl w:val="0"/>
                <w:numId w:val="174"/>
              </w:numPr>
              <w:jc w:val="both"/>
              <w:rPr>
                <w:b/>
              </w:rPr>
            </w:pPr>
          </w:p>
        </w:tc>
        <w:tc>
          <w:tcPr>
            <w:tcW w:w="8147" w:type="dxa"/>
            <w:shd w:val="clear" w:color="auto" w:fill="auto"/>
          </w:tcPr>
          <w:p w14:paraId="70B179A3" w14:textId="77777777" w:rsidR="00C9316D" w:rsidRPr="009F21BD" w:rsidRDefault="00C9316D" w:rsidP="00E72E03">
            <w:pPr>
              <w:pStyle w:val="Default"/>
              <w:jc w:val="both"/>
              <w:rPr>
                <w:b/>
                <w:color w:val="auto"/>
                <w:u w:val="single"/>
              </w:rPr>
            </w:pPr>
            <w:r w:rsidRPr="009F21BD">
              <w:rPr>
                <w:b/>
                <w:color w:val="auto"/>
                <w:u w:val="single"/>
              </w:rPr>
              <w:t xml:space="preserve">Jednostki wytwórcze przyłączone poprzez transformatory nN/SN. </w:t>
            </w:r>
          </w:p>
        </w:tc>
      </w:tr>
      <w:tr w:rsidR="00C9316D" w:rsidRPr="009F21BD" w14:paraId="14F08A7F" w14:textId="77777777" w:rsidTr="00F5641B">
        <w:tc>
          <w:tcPr>
            <w:tcW w:w="1063" w:type="dxa"/>
            <w:shd w:val="clear" w:color="auto" w:fill="auto"/>
          </w:tcPr>
          <w:p w14:paraId="4B68B908" w14:textId="77777777" w:rsidR="00C9316D" w:rsidRPr="009F21BD" w:rsidRDefault="00C9316D">
            <w:pPr>
              <w:numPr>
                <w:ilvl w:val="0"/>
                <w:numId w:val="170"/>
              </w:numPr>
              <w:ind w:hanging="720"/>
              <w:jc w:val="both"/>
            </w:pPr>
          </w:p>
        </w:tc>
        <w:tc>
          <w:tcPr>
            <w:tcW w:w="8147" w:type="dxa"/>
            <w:shd w:val="clear" w:color="auto" w:fill="auto"/>
          </w:tcPr>
          <w:p w14:paraId="0B8F565B" w14:textId="77777777" w:rsidR="00C9316D" w:rsidRPr="009F21BD" w:rsidRDefault="00C9316D" w:rsidP="00E72E03">
            <w:pPr>
              <w:jc w:val="both"/>
            </w:pPr>
            <w:r w:rsidRPr="009F21BD">
              <w:t>Jeśli w skład jednostki wytwórczej wchodzi transformator nN/SN niezależnie od łącznika po stronie nN musi być zainstalowany wyłącznik po stronie SN.</w:t>
            </w:r>
          </w:p>
        </w:tc>
      </w:tr>
      <w:tr w:rsidR="00C9316D" w:rsidRPr="009F21BD" w14:paraId="51E42F2E" w14:textId="77777777" w:rsidTr="00F5641B">
        <w:tc>
          <w:tcPr>
            <w:tcW w:w="1063" w:type="dxa"/>
            <w:shd w:val="clear" w:color="auto" w:fill="auto"/>
          </w:tcPr>
          <w:p w14:paraId="6AFDEEC5" w14:textId="77777777" w:rsidR="00C9316D" w:rsidRPr="009F21BD" w:rsidRDefault="00C9316D">
            <w:pPr>
              <w:numPr>
                <w:ilvl w:val="0"/>
                <w:numId w:val="170"/>
              </w:numPr>
              <w:ind w:hanging="720"/>
              <w:jc w:val="both"/>
            </w:pPr>
          </w:p>
        </w:tc>
        <w:tc>
          <w:tcPr>
            <w:tcW w:w="8147" w:type="dxa"/>
            <w:shd w:val="clear" w:color="auto" w:fill="auto"/>
          </w:tcPr>
          <w:p w14:paraId="2ABDE418" w14:textId="77777777" w:rsidR="00C9316D" w:rsidRPr="009F21BD" w:rsidRDefault="00C9316D" w:rsidP="00E72E03">
            <w:pPr>
              <w:pStyle w:val="Default"/>
              <w:jc w:val="both"/>
              <w:rPr>
                <w:color w:val="auto"/>
              </w:rPr>
            </w:pPr>
            <w:r w:rsidRPr="009F21BD">
              <w:rPr>
                <w:color w:val="auto"/>
              </w:rPr>
              <w:t xml:space="preserve">Jednostki wytwórcze z generatorami synchronicznymi pracujące synchronicznie </w:t>
            </w:r>
            <w:r w:rsidRPr="009F21BD">
              <w:rPr>
                <w:color w:val="auto"/>
              </w:rPr>
              <w:br/>
              <w:t xml:space="preserve">z siecią muszą być wyposażone w synchronizatory lub inne urządzenie umożliwiające właściwe łączenie z siecią. </w:t>
            </w:r>
          </w:p>
        </w:tc>
      </w:tr>
      <w:tr w:rsidR="00C9316D" w:rsidRPr="009F21BD" w14:paraId="1D9D9522" w14:textId="77777777" w:rsidTr="00F5641B">
        <w:tc>
          <w:tcPr>
            <w:tcW w:w="1063" w:type="dxa"/>
            <w:shd w:val="clear" w:color="auto" w:fill="auto"/>
          </w:tcPr>
          <w:p w14:paraId="39F2D5F9" w14:textId="77777777" w:rsidR="00C9316D" w:rsidRPr="009F21BD" w:rsidRDefault="00C9316D">
            <w:pPr>
              <w:numPr>
                <w:ilvl w:val="0"/>
                <w:numId w:val="170"/>
              </w:numPr>
              <w:ind w:hanging="720"/>
              <w:jc w:val="both"/>
            </w:pPr>
          </w:p>
        </w:tc>
        <w:tc>
          <w:tcPr>
            <w:tcW w:w="8147" w:type="dxa"/>
            <w:shd w:val="clear" w:color="auto" w:fill="auto"/>
          </w:tcPr>
          <w:p w14:paraId="34077844" w14:textId="77777777" w:rsidR="00C9316D" w:rsidRPr="009F21BD" w:rsidRDefault="00C9316D" w:rsidP="00E72E03">
            <w:pPr>
              <w:pStyle w:val="Default"/>
              <w:jc w:val="both"/>
              <w:rPr>
                <w:color w:val="auto"/>
              </w:rPr>
            </w:pPr>
            <w:r w:rsidRPr="009F21BD">
              <w:rPr>
                <w:color w:val="auto"/>
              </w:rPr>
              <w:t xml:space="preserve">Po chwilowym zaniku lub obniżeniu napięcia w sieci współpracującej powodującym wyłączenie, jednostki wytwórcze o mocy większej od 100 kVA powinny samoczynnie powrócić do pracy w czasie nie krótszym niż 30 s po ustąpieniu zakłócenia. </w:t>
            </w:r>
          </w:p>
        </w:tc>
      </w:tr>
      <w:tr w:rsidR="00C9316D" w:rsidRPr="009F21BD" w14:paraId="3F72EC05" w14:textId="77777777" w:rsidTr="00F5641B">
        <w:tc>
          <w:tcPr>
            <w:tcW w:w="1063" w:type="dxa"/>
            <w:shd w:val="clear" w:color="auto" w:fill="auto"/>
          </w:tcPr>
          <w:p w14:paraId="416EF751" w14:textId="77777777" w:rsidR="00C9316D" w:rsidRPr="009F21BD" w:rsidRDefault="00C9316D">
            <w:pPr>
              <w:numPr>
                <w:ilvl w:val="0"/>
                <w:numId w:val="170"/>
              </w:numPr>
              <w:ind w:hanging="720"/>
              <w:jc w:val="both"/>
            </w:pPr>
          </w:p>
        </w:tc>
        <w:tc>
          <w:tcPr>
            <w:tcW w:w="8147" w:type="dxa"/>
            <w:shd w:val="clear" w:color="auto" w:fill="auto"/>
          </w:tcPr>
          <w:p w14:paraId="5912C095" w14:textId="77777777" w:rsidR="00C9316D" w:rsidRPr="009F21BD" w:rsidRDefault="00C9316D" w:rsidP="00E72E03">
            <w:pPr>
              <w:pStyle w:val="Default"/>
              <w:jc w:val="both"/>
              <w:rPr>
                <w:color w:val="auto"/>
              </w:rPr>
            </w:pPr>
            <w:r w:rsidRPr="009F21BD">
              <w:rPr>
                <w:color w:val="auto"/>
              </w:rPr>
              <w:t>OSDn może zdecydować o potrzebie stosowania zabezpieczeń różnicowoprądowych dla poszczególnych rodzajów jednostek wytwórczych.</w:t>
            </w:r>
          </w:p>
        </w:tc>
      </w:tr>
      <w:tr w:rsidR="00C9316D" w:rsidRPr="009F21BD" w14:paraId="4AFD7C2C" w14:textId="77777777" w:rsidTr="00F5641B">
        <w:tc>
          <w:tcPr>
            <w:tcW w:w="1063" w:type="dxa"/>
            <w:shd w:val="clear" w:color="auto" w:fill="auto"/>
          </w:tcPr>
          <w:p w14:paraId="36D55821" w14:textId="77777777" w:rsidR="00C9316D" w:rsidRPr="009F21BD" w:rsidRDefault="00C9316D">
            <w:pPr>
              <w:numPr>
                <w:ilvl w:val="0"/>
                <w:numId w:val="170"/>
              </w:numPr>
              <w:ind w:hanging="720"/>
              <w:jc w:val="both"/>
            </w:pPr>
          </w:p>
        </w:tc>
        <w:tc>
          <w:tcPr>
            <w:tcW w:w="8147" w:type="dxa"/>
            <w:shd w:val="clear" w:color="auto" w:fill="auto"/>
          </w:tcPr>
          <w:p w14:paraId="31A2BB70" w14:textId="77777777" w:rsidR="00C9316D" w:rsidRPr="009F21BD" w:rsidRDefault="00C9316D" w:rsidP="00E72E03">
            <w:pPr>
              <w:pStyle w:val="Default"/>
              <w:jc w:val="both"/>
              <w:rPr>
                <w:color w:val="auto"/>
              </w:rPr>
            </w:pPr>
            <w:r w:rsidRPr="009F21BD">
              <w:rPr>
                <w:color w:val="auto"/>
              </w:rPr>
              <w:t xml:space="preserve">Zabezpieczenia do ochrony przed skutkami obniżenia lub wzrostu napięcia muszą być wykonane trójfazowo. Jeśli zabezpieczenie jest zainstalowane po stronie nN, to </w:t>
            </w:r>
            <w:r w:rsidRPr="009F21BD">
              <w:rPr>
                <w:color w:val="auto"/>
              </w:rPr>
              <w:lastRenderedPageBreak/>
              <w:t xml:space="preserve">powinno zadziałać po wzroście lub obniżeniu jednego lub więcej napięć fazowych. Jeśli jest zainstalowane po stronie SN, to powinno zadziałać po wzroście lub obniżeniu jednego lub więcej napięć przewodowych. </w:t>
            </w:r>
          </w:p>
        </w:tc>
      </w:tr>
      <w:tr w:rsidR="00C9316D" w:rsidRPr="009F21BD" w14:paraId="1A35AAC0" w14:textId="77777777" w:rsidTr="00F5641B">
        <w:tc>
          <w:tcPr>
            <w:tcW w:w="1063" w:type="dxa"/>
            <w:shd w:val="clear" w:color="auto" w:fill="auto"/>
          </w:tcPr>
          <w:p w14:paraId="79917E92" w14:textId="77777777" w:rsidR="00C9316D" w:rsidRPr="009F21BD" w:rsidRDefault="00C9316D">
            <w:pPr>
              <w:numPr>
                <w:ilvl w:val="0"/>
                <w:numId w:val="170"/>
              </w:numPr>
              <w:ind w:hanging="720"/>
              <w:jc w:val="both"/>
            </w:pPr>
          </w:p>
        </w:tc>
        <w:tc>
          <w:tcPr>
            <w:tcW w:w="8147" w:type="dxa"/>
            <w:shd w:val="clear" w:color="auto" w:fill="auto"/>
          </w:tcPr>
          <w:p w14:paraId="5DB19808" w14:textId="77777777" w:rsidR="00C9316D" w:rsidRDefault="00C9316D" w:rsidP="00E72E03">
            <w:pPr>
              <w:pStyle w:val="Default"/>
              <w:jc w:val="both"/>
              <w:rPr>
                <w:color w:val="auto"/>
              </w:rPr>
            </w:pPr>
            <w:r w:rsidRPr="009F21BD">
              <w:rPr>
                <w:color w:val="auto"/>
              </w:rPr>
              <w:t>Składowa zerowa</w:t>
            </w:r>
            <w:r w:rsidR="00115DCE">
              <w:rPr>
                <w:color w:val="auto"/>
              </w:rPr>
              <w:t xml:space="preserve"> </w:t>
            </w:r>
            <w:r w:rsidRPr="009F21BD">
              <w:rPr>
                <w:color w:val="auto"/>
              </w:rPr>
              <w:t xml:space="preserve">napięcia dla zabezpieczeń ziemnozwarciowych musi być mierzona po stronie SN. </w:t>
            </w:r>
          </w:p>
          <w:p w14:paraId="01224174" w14:textId="77777777" w:rsidR="00E72E03" w:rsidRPr="009F21BD" w:rsidRDefault="00E72E03" w:rsidP="00E72E03">
            <w:pPr>
              <w:pStyle w:val="Default"/>
              <w:jc w:val="both"/>
              <w:rPr>
                <w:color w:val="auto"/>
              </w:rPr>
            </w:pPr>
          </w:p>
        </w:tc>
      </w:tr>
      <w:tr w:rsidR="00C9316D" w:rsidRPr="009F21BD" w14:paraId="146B7F8C" w14:textId="77777777" w:rsidTr="00F5641B">
        <w:tc>
          <w:tcPr>
            <w:tcW w:w="9210" w:type="dxa"/>
            <w:gridSpan w:val="2"/>
            <w:shd w:val="clear" w:color="auto" w:fill="auto"/>
          </w:tcPr>
          <w:p w14:paraId="17E456A7" w14:textId="77777777" w:rsidR="00C9316D" w:rsidRDefault="00C9316D" w:rsidP="00E72E03">
            <w:pPr>
              <w:jc w:val="both"/>
              <w:rPr>
                <w:b/>
                <w:bCs/>
              </w:rPr>
            </w:pPr>
            <w:r w:rsidRPr="009F21BD">
              <w:rPr>
                <w:b/>
                <w:bCs/>
              </w:rPr>
              <w:t>4. KOMPENSACJA MOCY BIERNEJ</w:t>
            </w:r>
          </w:p>
          <w:p w14:paraId="2DDD0DE9" w14:textId="77777777" w:rsidR="00E72E03" w:rsidRPr="009F21BD" w:rsidRDefault="00E72E03" w:rsidP="00E72E03">
            <w:pPr>
              <w:jc w:val="both"/>
              <w:rPr>
                <w:b/>
                <w:bCs/>
              </w:rPr>
            </w:pPr>
          </w:p>
        </w:tc>
      </w:tr>
      <w:tr w:rsidR="00C9316D" w:rsidRPr="009F21BD" w14:paraId="0E362CB7" w14:textId="77777777" w:rsidTr="00F5641B">
        <w:tc>
          <w:tcPr>
            <w:tcW w:w="1063" w:type="dxa"/>
            <w:shd w:val="clear" w:color="auto" w:fill="auto"/>
          </w:tcPr>
          <w:p w14:paraId="7B08DC29" w14:textId="77777777" w:rsidR="00C9316D" w:rsidRPr="009F21BD" w:rsidRDefault="00C9316D" w:rsidP="00E72E03">
            <w:pPr>
              <w:jc w:val="both"/>
            </w:pPr>
            <w:r w:rsidRPr="009F21BD">
              <w:t>4.1.</w:t>
            </w:r>
          </w:p>
        </w:tc>
        <w:tc>
          <w:tcPr>
            <w:tcW w:w="8147" w:type="dxa"/>
            <w:shd w:val="clear" w:color="auto" w:fill="auto"/>
          </w:tcPr>
          <w:p w14:paraId="1DF2FF3B" w14:textId="77777777" w:rsidR="00C9316D" w:rsidRPr="009F21BD" w:rsidRDefault="00C9316D" w:rsidP="00E72E03">
            <w:pPr>
              <w:jc w:val="both"/>
            </w:pPr>
            <w:r w:rsidRPr="009F21BD">
              <w:t>Wymagany stopień skompensowania mocy biernej</w:t>
            </w:r>
            <w:r w:rsidRPr="009F21BD" w:rsidDel="00D56F88">
              <w:t xml:space="preserve"> </w:t>
            </w:r>
            <w:r w:rsidRPr="009F21BD">
              <w:t>określa OSDn w warunkach przyłączenia.</w:t>
            </w:r>
          </w:p>
        </w:tc>
      </w:tr>
      <w:tr w:rsidR="00C9316D" w:rsidRPr="009F21BD" w14:paraId="7F6025E7" w14:textId="77777777" w:rsidTr="00F5641B">
        <w:tc>
          <w:tcPr>
            <w:tcW w:w="1063" w:type="dxa"/>
            <w:shd w:val="clear" w:color="auto" w:fill="auto"/>
          </w:tcPr>
          <w:p w14:paraId="4F5E1763" w14:textId="77777777" w:rsidR="00C9316D" w:rsidRPr="009F21BD" w:rsidRDefault="00C9316D" w:rsidP="00E72E03">
            <w:pPr>
              <w:jc w:val="both"/>
            </w:pPr>
            <w:r w:rsidRPr="009F21BD">
              <w:t>4.2.</w:t>
            </w:r>
          </w:p>
        </w:tc>
        <w:tc>
          <w:tcPr>
            <w:tcW w:w="8147" w:type="dxa"/>
            <w:shd w:val="clear" w:color="auto" w:fill="auto"/>
          </w:tcPr>
          <w:p w14:paraId="67B3FF90" w14:textId="77777777" w:rsidR="00C9316D" w:rsidRPr="009F21BD" w:rsidRDefault="00C9316D" w:rsidP="00E72E03">
            <w:pPr>
              <w:jc w:val="both"/>
            </w:pPr>
            <w:r w:rsidRPr="009F21BD">
              <w:t xml:space="preserve">Nie jest wymagane stosowanie urządzeń do kompensacji mocy biernej </w:t>
            </w:r>
            <w:r w:rsidRPr="009F21BD">
              <w:br/>
              <w:t>w przypadku jednostek wytwórczych, których moc osiągalna określona na przewód fazowy nie przekracza 4,6 kVA (5 kWp dla jednostek wytwórczych fotowoltaicznych). W pozostałych jednostkach wytwórczych należy stosować urządzenia do kompensacji mocy biernej. W jednostkach wytwórczych charakteryzujących się pracą ze zmienną mocą, w szczególności w elektrowniach wiatrowych należy stosować układy automatycznej regulacji mocy biernej.</w:t>
            </w:r>
          </w:p>
        </w:tc>
      </w:tr>
      <w:tr w:rsidR="00C9316D" w:rsidRPr="009F21BD" w14:paraId="692EB166" w14:textId="77777777" w:rsidTr="00F5641B">
        <w:tc>
          <w:tcPr>
            <w:tcW w:w="1063" w:type="dxa"/>
            <w:shd w:val="clear" w:color="auto" w:fill="auto"/>
          </w:tcPr>
          <w:p w14:paraId="269B1305" w14:textId="77777777" w:rsidR="00C9316D" w:rsidRPr="009F21BD" w:rsidRDefault="00C9316D" w:rsidP="00E72E03">
            <w:pPr>
              <w:jc w:val="both"/>
            </w:pPr>
            <w:r w:rsidRPr="009F21BD">
              <w:t>4.3.</w:t>
            </w:r>
          </w:p>
        </w:tc>
        <w:tc>
          <w:tcPr>
            <w:tcW w:w="8147" w:type="dxa"/>
            <w:shd w:val="clear" w:color="auto" w:fill="auto"/>
          </w:tcPr>
          <w:p w14:paraId="26356349" w14:textId="77777777" w:rsidR="00C9316D" w:rsidRPr="009F21BD" w:rsidRDefault="00C9316D" w:rsidP="00E72E03">
            <w:pPr>
              <w:jc w:val="both"/>
            </w:pPr>
            <w:r w:rsidRPr="009F21BD">
              <w:t>Moc bierną przy generatorach synchronicznych należy regulować przy pomocy wzbudzenia. W jednostkach wytwórczych charakteryzujących się pracą ze zmienną mocą, w szczególności w elektrowniach wiatrowych należy stosować układy automatycznej regulacji wzbudzenia.</w:t>
            </w:r>
          </w:p>
        </w:tc>
      </w:tr>
      <w:tr w:rsidR="00C9316D" w:rsidRPr="009F21BD" w14:paraId="5B7C2735" w14:textId="77777777" w:rsidTr="00F5641B">
        <w:tc>
          <w:tcPr>
            <w:tcW w:w="1063" w:type="dxa"/>
            <w:shd w:val="clear" w:color="auto" w:fill="auto"/>
          </w:tcPr>
          <w:p w14:paraId="3F5873A4" w14:textId="77777777" w:rsidR="00C9316D" w:rsidRPr="009F21BD" w:rsidRDefault="00C9316D" w:rsidP="00E72E03">
            <w:pPr>
              <w:jc w:val="both"/>
            </w:pPr>
            <w:r w:rsidRPr="009F21BD">
              <w:t>4.4.</w:t>
            </w:r>
          </w:p>
        </w:tc>
        <w:tc>
          <w:tcPr>
            <w:tcW w:w="8147" w:type="dxa"/>
            <w:shd w:val="clear" w:color="auto" w:fill="auto"/>
          </w:tcPr>
          <w:p w14:paraId="3F592F66" w14:textId="77777777" w:rsidR="00C9316D" w:rsidRPr="009F21BD" w:rsidRDefault="00C9316D" w:rsidP="00E72E03">
            <w:pPr>
              <w:jc w:val="both"/>
            </w:pPr>
            <w:r w:rsidRPr="009F21BD">
              <w:t>W przypadku generatorów asynchronicznych układ służący do automatycznego bądź ręcznego załączania kondensatorów do kompensacji mocy biernej powinien być tak skonstruowany, aby nie było możliwe załączenie baterii kondensatorów przed dokonaniem rozruchu generatora. Wyłączenie generatora i baterii kondensatorów następuje równocześnie.</w:t>
            </w:r>
          </w:p>
        </w:tc>
      </w:tr>
      <w:tr w:rsidR="00C9316D" w:rsidRPr="009F21BD" w14:paraId="1F48CC59" w14:textId="77777777" w:rsidTr="00F5641B">
        <w:tc>
          <w:tcPr>
            <w:tcW w:w="1063" w:type="dxa"/>
            <w:shd w:val="clear" w:color="auto" w:fill="auto"/>
          </w:tcPr>
          <w:p w14:paraId="44F8FD36" w14:textId="77777777" w:rsidR="00C9316D" w:rsidRPr="009F21BD" w:rsidRDefault="00C9316D" w:rsidP="00E72E03">
            <w:pPr>
              <w:jc w:val="both"/>
            </w:pPr>
            <w:r w:rsidRPr="009F21BD">
              <w:t>4.5.</w:t>
            </w:r>
          </w:p>
        </w:tc>
        <w:tc>
          <w:tcPr>
            <w:tcW w:w="8147" w:type="dxa"/>
            <w:shd w:val="clear" w:color="auto" w:fill="auto"/>
          </w:tcPr>
          <w:p w14:paraId="1F16DC1B" w14:textId="77777777" w:rsidR="00C9316D" w:rsidRPr="009F21BD" w:rsidRDefault="00C9316D" w:rsidP="00E72E03">
            <w:pPr>
              <w:jc w:val="both"/>
            </w:pPr>
            <w:r w:rsidRPr="009F21BD">
              <w:t>Dla jednostek wytwórczych przyłączonych do sieci dystrybucyjnej poprzez falowniki sieciowzbudne obowiązują warunki dotyczące załączania i odłączania kondensatorów oraz warunki ich doboru takie same, jak przy generatorach asynchronicznych. W jednostkach wytwórczych z falownikami niezależnymi kompensacja mocy biernej nie jest wymagana.</w:t>
            </w:r>
          </w:p>
          <w:p w14:paraId="4B06C955" w14:textId="77777777" w:rsidR="00C9316D" w:rsidRDefault="00C9316D" w:rsidP="00E72E03">
            <w:pPr>
              <w:jc w:val="both"/>
            </w:pPr>
          </w:p>
          <w:p w14:paraId="5E668D55" w14:textId="77777777" w:rsidR="006E5F1A" w:rsidRPr="009F21BD" w:rsidRDefault="006E5F1A" w:rsidP="00E72E03">
            <w:pPr>
              <w:jc w:val="both"/>
            </w:pPr>
          </w:p>
        </w:tc>
      </w:tr>
      <w:tr w:rsidR="00C9316D" w:rsidRPr="009F21BD" w14:paraId="151EF113" w14:textId="77777777" w:rsidTr="00F5641B">
        <w:tc>
          <w:tcPr>
            <w:tcW w:w="9210" w:type="dxa"/>
            <w:gridSpan w:val="2"/>
            <w:shd w:val="clear" w:color="auto" w:fill="auto"/>
          </w:tcPr>
          <w:p w14:paraId="46D43D56" w14:textId="77777777" w:rsidR="00C9316D" w:rsidRDefault="00C9316D" w:rsidP="00E72E03">
            <w:pPr>
              <w:jc w:val="both"/>
              <w:rPr>
                <w:b/>
                <w:bCs/>
              </w:rPr>
            </w:pPr>
            <w:r w:rsidRPr="009F21BD">
              <w:rPr>
                <w:b/>
                <w:bCs/>
              </w:rPr>
              <w:t>5. ZAŁĄCZANIE JEDNOSTEK WYTWÓRCZYCH</w:t>
            </w:r>
          </w:p>
          <w:p w14:paraId="5741DF43" w14:textId="77777777" w:rsidR="00E72E03" w:rsidRPr="009F21BD" w:rsidRDefault="00E72E03" w:rsidP="00E72E03">
            <w:pPr>
              <w:jc w:val="both"/>
              <w:rPr>
                <w:b/>
                <w:bCs/>
              </w:rPr>
            </w:pPr>
          </w:p>
        </w:tc>
      </w:tr>
      <w:tr w:rsidR="00C9316D" w:rsidRPr="009F21BD" w14:paraId="4AA70A43" w14:textId="77777777" w:rsidTr="00F5641B">
        <w:tc>
          <w:tcPr>
            <w:tcW w:w="1063" w:type="dxa"/>
            <w:shd w:val="clear" w:color="auto" w:fill="auto"/>
          </w:tcPr>
          <w:p w14:paraId="5F13104F" w14:textId="77777777" w:rsidR="00C9316D" w:rsidRPr="009F21BD" w:rsidRDefault="00C9316D" w:rsidP="00E72E03">
            <w:pPr>
              <w:jc w:val="both"/>
            </w:pPr>
            <w:r w:rsidRPr="009F21BD">
              <w:t>5.1.</w:t>
            </w:r>
          </w:p>
        </w:tc>
        <w:tc>
          <w:tcPr>
            <w:tcW w:w="8147" w:type="dxa"/>
            <w:shd w:val="clear" w:color="auto" w:fill="auto"/>
          </w:tcPr>
          <w:p w14:paraId="79659F8E" w14:textId="77777777" w:rsidR="00C9316D" w:rsidRPr="009F21BD" w:rsidRDefault="00C9316D" w:rsidP="00E72E03">
            <w:pPr>
              <w:jc w:val="both"/>
            </w:pPr>
            <w:r w:rsidRPr="009F21BD">
              <w:t>Załączenie jednostki wytwórczej do sieci dystrybucyjnej jest możliwe tylko, gdy napięcie sieci istnieje we wszystkich trzech fazach i posiada odpowiednie parametry. W przypadku stosowania ochrony przed obniżeniem napięcia powodującej odłączenie jednostki wytwórczej od sieci dystrybucyjnej, powinna ona mieć zwłokę czasową minimum 30 s pomiędzy powrotem napięcia w sieci dystrybucyjnej, a ponownym załączeniem jednostki wytwórczej.</w:t>
            </w:r>
          </w:p>
        </w:tc>
      </w:tr>
      <w:tr w:rsidR="00C9316D" w:rsidRPr="009F21BD" w14:paraId="11461021" w14:textId="77777777" w:rsidTr="00F5641B">
        <w:tc>
          <w:tcPr>
            <w:tcW w:w="1063" w:type="dxa"/>
            <w:shd w:val="clear" w:color="auto" w:fill="auto"/>
          </w:tcPr>
          <w:p w14:paraId="054199F7" w14:textId="77777777" w:rsidR="00C9316D" w:rsidRPr="009F21BD" w:rsidRDefault="00C9316D" w:rsidP="00E72E03">
            <w:pPr>
              <w:jc w:val="both"/>
            </w:pPr>
            <w:r w:rsidRPr="009F21BD">
              <w:t>5.2.</w:t>
            </w:r>
          </w:p>
        </w:tc>
        <w:tc>
          <w:tcPr>
            <w:tcW w:w="8147" w:type="dxa"/>
            <w:shd w:val="clear" w:color="auto" w:fill="auto"/>
          </w:tcPr>
          <w:p w14:paraId="40BC423E" w14:textId="77777777" w:rsidR="00C9316D" w:rsidRPr="009F21BD" w:rsidRDefault="00C9316D" w:rsidP="00E72E03">
            <w:pPr>
              <w:jc w:val="both"/>
            </w:pPr>
            <w:r w:rsidRPr="009F21BD">
              <w:t>Dla generatorów asynchronicznych, których rozruch odbywa się przy wykorzystaniu silnika napędowego, załączenie do sieci dystrybucyjnej powinno następować przy prędkości obrotowej pomiędzy 95 ÷ 105 % prędkości synchronicznej. Przy zdolnych do pracy wyspowej, samowzbudnych generatorach asynchronicznych należy dotrzymać warunków jak dla załączania generatorów synchronicznych, określonych w pkt</w:t>
            </w:r>
            <w:r>
              <w:t>.</w:t>
            </w:r>
            <w:r w:rsidRPr="009F21BD">
              <w:t xml:space="preserve">  5.4. i pkt</w:t>
            </w:r>
            <w:r>
              <w:t>.</w:t>
            </w:r>
            <w:r w:rsidRPr="009F21BD">
              <w:t xml:space="preserve"> 5.5.</w:t>
            </w:r>
          </w:p>
        </w:tc>
      </w:tr>
      <w:tr w:rsidR="00C9316D" w:rsidRPr="009F21BD" w14:paraId="6447F4E4" w14:textId="77777777" w:rsidTr="00F5641B">
        <w:tc>
          <w:tcPr>
            <w:tcW w:w="1063" w:type="dxa"/>
            <w:shd w:val="clear" w:color="auto" w:fill="auto"/>
          </w:tcPr>
          <w:p w14:paraId="47E58007" w14:textId="77777777" w:rsidR="00C9316D" w:rsidRPr="009F21BD" w:rsidRDefault="00C9316D" w:rsidP="00E72E03">
            <w:pPr>
              <w:jc w:val="both"/>
            </w:pPr>
            <w:r w:rsidRPr="009F21BD">
              <w:t>5.3.</w:t>
            </w:r>
          </w:p>
        </w:tc>
        <w:tc>
          <w:tcPr>
            <w:tcW w:w="8147" w:type="dxa"/>
            <w:shd w:val="clear" w:color="auto" w:fill="auto"/>
          </w:tcPr>
          <w:p w14:paraId="4A6D75AB" w14:textId="77777777" w:rsidR="00C9316D" w:rsidRPr="009F21BD" w:rsidRDefault="00C9316D" w:rsidP="00E72E03">
            <w:pPr>
              <w:jc w:val="both"/>
            </w:pPr>
            <w:r w:rsidRPr="009F21BD">
              <w:t xml:space="preserve">Dla generatorów asynchronicznych, które dokonują rozruchu jako silnik obowiązują warunki jak dla przyłączania silników elektrycznych. Dla generatorów o mocy osiągalnej do 100 kVA przyłączonych do sieci dystrybucyjnej nN prąd rozruchu nie </w:t>
            </w:r>
            <w:r w:rsidRPr="009F21BD">
              <w:lastRenderedPageBreak/>
              <w:t>powinien przekraczać wartości 60 A. Dla pozostałych jednostek wytwórczych prąd rozruchu należy ograniczyć w sposób zapobiegający ujemnemu wpływowi na sieć dystrybucyjną.</w:t>
            </w:r>
          </w:p>
        </w:tc>
      </w:tr>
      <w:tr w:rsidR="00C9316D" w:rsidRPr="009F21BD" w14:paraId="6AFF9DC1" w14:textId="77777777" w:rsidTr="00F5641B">
        <w:tc>
          <w:tcPr>
            <w:tcW w:w="1063" w:type="dxa"/>
            <w:shd w:val="clear" w:color="auto" w:fill="auto"/>
          </w:tcPr>
          <w:p w14:paraId="378AAB84" w14:textId="77777777" w:rsidR="00C9316D" w:rsidRPr="009F21BD" w:rsidRDefault="00C9316D" w:rsidP="00E72E03">
            <w:pPr>
              <w:jc w:val="both"/>
            </w:pPr>
            <w:r w:rsidRPr="009F21BD">
              <w:lastRenderedPageBreak/>
              <w:t>5.4.</w:t>
            </w:r>
          </w:p>
        </w:tc>
        <w:tc>
          <w:tcPr>
            <w:tcW w:w="8147" w:type="dxa"/>
            <w:shd w:val="clear" w:color="auto" w:fill="auto"/>
          </w:tcPr>
          <w:p w14:paraId="5DE2B4E1" w14:textId="77777777" w:rsidR="00C9316D" w:rsidRPr="009F21BD" w:rsidRDefault="00C9316D" w:rsidP="00E72E03">
            <w:pPr>
              <w:jc w:val="both"/>
            </w:pPr>
            <w:r w:rsidRPr="009F21BD">
              <w:t>Dla generatorów synchronicznych wymagane jest urządzenie synchronizujące, umożliwiające załączenie generatora z zachowaniem następujących warunków synchronizacji:</w:t>
            </w:r>
          </w:p>
          <w:p w14:paraId="5D41F1FB" w14:textId="77777777" w:rsidR="00C9316D" w:rsidRPr="009F21BD" w:rsidRDefault="00C9316D" w:rsidP="00E72E03">
            <w:pPr>
              <w:jc w:val="both"/>
            </w:pPr>
            <w:r w:rsidRPr="009F21BD">
              <w:t>różnica napięć</w:t>
            </w:r>
            <w:r w:rsidRPr="009F21BD">
              <w:tab/>
              <w:t xml:space="preserve">                        –</w:t>
            </w:r>
            <w:r w:rsidRPr="009F21BD">
              <w:tab/>
              <w:t xml:space="preserve">ΔU &lt; </w:t>
            </w:r>
            <w:r w:rsidRPr="009F21BD">
              <w:sym w:font="Symbol" w:char="F0B1"/>
            </w:r>
            <w:r w:rsidRPr="009F21BD">
              <w:t xml:space="preserve"> 10 % Un,</w:t>
            </w:r>
          </w:p>
          <w:p w14:paraId="45ED06A5" w14:textId="77777777" w:rsidR="00C9316D" w:rsidRPr="009F21BD" w:rsidRDefault="00C9316D" w:rsidP="00E72E03">
            <w:pPr>
              <w:jc w:val="both"/>
            </w:pPr>
            <w:r w:rsidRPr="009F21BD">
              <w:t>różnica częstotliwości</w:t>
            </w:r>
            <w:r w:rsidRPr="009F21BD">
              <w:tab/>
              <w:t xml:space="preserve"> </w:t>
            </w:r>
            <w:r>
              <w:t xml:space="preserve">           </w:t>
            </w:r>
            <w:r w:rsidRPr="009F21BD">
              <w:t>–</w:t>
            </w:r>
            <w:r w:rsidRPr="009F21BD">
              <w:tab/>
              <w:t xml:space="preserve">Δf &lt; </w:t>
            </w:r>
            <w:r w:rsidRPr="009F21BD">
              <w:sym w:font="Symbol" w:char="F0B1"/>
            </w:r>
            <w:r w:rsidRPr="009F21BD">
              <w:t xml:space="preserve"> 0,5 Hz,</w:t>
            </w:r>
          </w:p>
          <w:p w14:paraId="3124C754" w14:textId="77777777" w:rsidR="00C9316D" w:rsidRPr="009F21BD" w:rsidRDefault="00C9316D" w:rsidP="00E72E03">
            <w:pPr>
              <w:jc w:val="both"/>
            </w:pPr>
            <w:r w:rsidRPr="009F21BD">
              <w:t>różnica kąta fazowego</w:t>
            </w:r>
            <w:r>
              <w:t xml:space="preserve"> </w:t>
            </w:r>
            <w:r w:rsidRPr="009F21BD">
              <w:tab/>
              <w:t xml:space="preserve">– </w:t>
            </w:r>
            <w:r w:rsidRPr="009F21BD">
              <w:tab/>
              <w:t xml:space="preserve">Δφ &lt; </w:t>
            </w:r>
            <w:r w:rsidRPr="009F21BD">
              <w:sym w:font="Symbol" w:char="F0B1"/>
            </w:r>
            <w:r w:rsidRPr="009F21BD">
              <w:t xml:space="preserve"> 10°</w:t>
            </w:r>
            <w:r>
              <w:t>.</w:t>
            </w:r>
          </w:p>
        </w:tc>
      </w:tr>
      <w:tr w:rsidR="00C9316D" w:rsidRPr="009F21BD" w14:paraId="50CF1C3B" w14:textId="77777777" w:rsidTr="00F5641B">
        <w:tc>
          <w:tcPr>
            <w:tcW w:w="1063" w:type="dxa"/>
            <w:shd w:val="clear" w:color="auto" w:fill="auto"/>
          </w:tcPr>
          <w:p w14:paraId="6B53F6D0" w14:textId="77777777" w:rsidR="00C9316D" w:rsidRPr="009F21BD" w:rsidRDefault="00C9316D" w:rsidP="00E72E03">
            <w:pPr>
              <w:jc w:val="both"/>
            </w:pPr>
            <w:r w:rsidRPr="009F21BD">
              <w:t>5.5.</w:t>
            </w:r>
          </w:p>
        </w:tc>
        <w:tc>
          <w:tcPr>
            <w:tcW w:w="8147" w:type="dxa"/>
            <w:shd w:val="clear" w:color="auto" w:fill="auto"/>
          </w:tcPr>
          <w:p w14:paraId="0F307397" w14:textId="77777777" w:rsidR="00C9316D" w:rsidRPr="009F21BD" w:rsidRDefault="00C9316D" w:rsidP="00E72E03">
            <w:pPr>
              <w:jc w:val="both"/>
            </w:pPr>
            <w:r w:rsidRPr="009F21BD">
              <w:t>OSDn może ustalić węższe granice warunków synchronizacji w momencie załączania generatorów synchronicznych niż podane w pkt</w:t>
            </w:r>
            <w:r>
              <w:t>.</w:t>
            </w:r>
            <w:r w:rsidRPr="009F21BD">
              <w:t> 5.4.</w:t>
            </w:r>
          </w:p>
        </w:tc>
      </w:tr>
      <w:tr w:rsidR="00C9316D" w:rsidRPr="009F21BD" w14:paraId="6235EEB1" w14:textId="77777777" w:rsidTr="00F5641B">
        <w:tc>
          <w:tcPr>
            <w:tcW w:w="1063" w:type="dxa"/>
            <w:shd w:val="clear" w:color="auto" w:fill="auto"/>
          </w:tcPr>
          <w:p w14:paraId="347ADC00" w14:textId="77777777" w:rsidR="00C9316D" w:rsidRPr="009F21BD" w:rsidRDefault="00C9316D" w:rsidP="00E72E03">
            <w:pPr>
              <w:jc w:val="both"/>
            </w:pPr>
            <w:r w:rsidRPr="009F21BD">
              <w:t>5.6.</w:t>
            </w:r>
          </w:p>
        </w:tc>
        <w:tc>
          <w:tcPr>
            <w:tcW w:w="8147" w:type="dxa"/>
            <w:shd w:val="clear" w:color="auto" w:fill="auto"/>
          </w:tcPr>
          <w:p w14:paraId="6856BA4C" w14:textId="77777777" w:rsidR="00C9316D" w:rsidRPr="009F21BD" w:rsidRDefault="00C9316D" w:rsidP="00E72E03">
            <w:pPr>
              <w:jc w:val="both"/>
            </w:pPr>
            <w:r w:rsidRPr="009F21BD">
              <w:t xml:space="preserve">Falowniki załącza się tylko, gdy są one bez napięcia po stronie prądu przemiennego. Przy zdolnych do pracy wyspowej jednostkach wytwórczych </w:t>
            </w:r>
            <w:r w:rsidRPr="009F21BD">
              <w:br/>
              <w:t>z falownikami, które nie są przyłączane beznapięciowo, należy dotrzymać warunków jak dla załączania generatorów synchronicznych</w:t>
            </w:r>
            <w:r>
              <w:t>.</w:t>
            </w:r>
          </w:p>
        </w:tc>
      </w:tr>
      <w:tr w:rsidR="00C9316D" w:rsidRPr="009F21BD" w14:paraId="0A63C567" w14:textId="77777777" w:rsidTr="00F5641B">
        <w:tc>
          <w:tcPr>
            <w:tcW w:w="1063" w:type="dxa"/>
            <w:shd w:val="clear" w:color="auto" w:fill="auto"/>
          </w:tcPr>
          <w:p w14:paraId="4A12EA85" w14:textId="77777777" w:rsidR="00C9316D" w:rsidRPr="009F21BD" w:rsidRDefault="00C9316D" w:rsidP="00E72E03">
            <w:pPr>
              <w:jc w:val="both"/>
            </w:pPr>
            <w:r w:rsidRPr="009F21BD">
              <w:t>5.7.</w:t>
            </w:r>
          </w:p>
        </w:tc>
        <w:tc>
          <w:tcPr>
            <w:tcW w:w="8147" w:type="dxa"/>
            <w:shd w:val="clear" w:color="auto" w:fill="auto"/>
          </w:tcPr>
          <w:p w14:paraId="52BBD193" w14:textId="77777777" w:rsidR="00C9316D" w:rsidRPr="009F21BD" w:rsidRDefault="00C9316D" w:rsidP="00E72E03">
            <w:pPr>
              <w:jc w:val="both"/>
            </w:pPr>
            <w:r w:rsidRPr="009F21BD">
              <w:t>Załączanie generatorów do ruchu powinno odbywać się sekwencyjnie, w trybie uzgodnionym z OSDn.</w:t>
            </w:r>
          </w:p>
        </w:tc>
      </w:tr>
      <w:tr w:rsidR="00C9316D" w:rsidRPr="009F21BD" w14:paraId="6C675BEC" w14:textId="77777777" w:rsidTr="00F5641B">
        <w:tc>
          <w:tcPr>
            <w:tcW w:w="1063" w:type="dxa"/>
            <w:shd w:val="clear" w:color="auto" w:fill="auto"/>
          </w:tcPr>
          <w:p w14:paraId="3098C175" w14:textId="77777777" w:rsidR="00C9316D" w:rsidRPr="009F21BD" w:rsidRDefault="00C9316D" w:rsidP="00E72E03">
            <w:pPr>
              <w:jc w:val="both"/>
            </w:pPr>
            <w:r w:rsidRPr="009F21BD">
              <w:t>5.8.</w:t>
            </w:r>
          </w:p>
        </w:tc>
        <w:tc>
          <w:tcPr>
            <w:tcW w:w="8147" w:type="dxa"/>
            <w:shd w:val="clear" w:color="auto" w:fill="auto"/>
          </w:tcPr>
          <w:p w14:paraId="6F427274" w14:textId="77777777" w:rsidR="00C9316D" w:rsidRPr="009F21BD" w:rsidRDefault="00C9316D" w:rsidP="00E72E03">
            <w:pPr>
              <w:jc w:val="both"/>
            </w:pPr>
            <w:r w:rsidRPr="009F21BD">
              <w:t>Wymagania pkt</w:t>
            </w:r>
            <w:r>
              <w:t>.</w:t>
            </w:r>
            <w:r w:rsidRPr="009F21BD">
              <w:t xml:space="preserve"> 5. niniejszego załącznika nie dotyczą mikro</w:t>
            </w:r>
            <w:r>
              <w:t>instalacji</w:t>
            </w:r>
            <w:r w:rsidRPr="009F21BD">
              <w:t>.</w:t>
            </w:r>
          </w:p>
          <w:p w14:paraId="632DBAE2" w14:textId="77777777" w:rsidR="00C9316D" w:rsidRPr="009F21BD" w:rsidRDefault="00C9316D" w:rsidP="00E72E03">
            <w:pPr>
              <w:jc w:val="both"/>
            </w:pPr>
          </w:p>
        </w:tc>
      </w:tr>
      <w:tr w:rsidR="00C9316D" w:rsidRPr="009F21BD" w14:paraId="7B29E5B6" w14:textId="77777777" w:rsidTr="00F5641B">
        <w:tc>
          <w:tcPr>
            <w:tcW w:w="9210" w:type="dxa"/>
            <w:gridSpan w:val="2"/>
            <w:shd w:val="clear" w:color="auto" w:fill="auto"/>
          </w:tcPr>
          <w:p w14:paraId="543E552F" w14:textId="77777777" w:rsidR="00C9316D" w:rsidRDefault="00C9316D" w:rsidP="00E72E03">
            <w:pPr>
              <w:jc w:val="both"/>
              <w:rPr>
                <w:b/>
                <w:bCs/>
              </w:rPr>
            </w:pPr>
            <w:r w:rsidRPr="009F21BD">
              <w:rPr>
                <w:b/>
                <w:bCs/>
              </w:rPr>
              <w:t>6. CZĘSTOTLIWOŚĆ I NAPIĘCIE</w:t>
            </w:r>
          </w:p>
          <w:p w14:paraId="7656CE01" w14:textId="77777777" w:rsidR="00E72E03" w:rsidRPr="009F21BD" w:rsidRDefault="00E72E03" w:rsidP="00E72E03">
            <w:pPr>
              <w:jc w:val="both"/>
              <w:rPr>
                <w:b/>
                <w:bCs/>
              </w:rPr>
            </w:pPr>
          </w:p>
        </w:tc>
      </w:tr>
      <w:tr w:rsidR="00C9316D" w:rsidRPr="009F21BD" w14:paraId="7177983D" w14:textId="77777777" w:rsidTr="00F5641B">
        <w:tc>
          <w:tcPr>
            <w:tcW w:w="1063" w:type="dxa"/>
            <w:shd w:val="clear" w:color="auto" w:fill="auto"/>
          </w:tcPr>
          <w:p w14:paraId="115E5FF2" w14:textId="77777777" w:rsidR="00C9316D" w:rsidRPr="009F21BD" w:rsidRDefault="00C9316D" w:rsidP="00E72E03">
            <w:pPr>
              <w:jc w:val="both"/>
            </w:pPr>
            <w:r w:rsidRPr="009F21BD">
              <w:t>6.1.</w:t>
            </w:r>
          </w:p>
        </w:tc>
        <w:tc>
          <w:tcPr>
            <w:tcW w:w="8147" w:type="dxa"/>
            <w:shd w:val="clear" w:color="auto" w:fill="auto"/>
          </w:tcPr>
          <w:p w14:paraId="6C937EE2" w14:textId="77777777" w:rsidR="00C9316D" w:rsidRPr="009F21BD" w:rsidRDefault="00C9316D" w:rsidP="00E72E03">
            <w:pPr>
              <w:jc w:val="both"/>
            </w:pPr>
            <w:r w:rsidRPr="009F21BD">
              <w:t>Oddziaływanie jednostek wytwórczych na warunki pracy sieci dystrybucyjnej należy ograniczać w takim stopniu, aby nie zostały przekroczone, w miejscu dostarczania energii elektrycznej z jednostki wytwórczej do sieci dystrybucyjnej, wymagania określone w pkt</w:t>
            </w:r>
            <w:r>
              <w:t>.</w:t>
            </w:r>
            <w:r w:rsidRPr="009F21BD">
              <w:t xml:space="preserve"> 6. niniejszego załącznika.</w:t>
            </w:r>
          </w:p>
        </w:tc>
      </w:tr>
      <w:tr w:rsidR="00C9316D" w:rsidRPr="009F21BD" w14:paraId="63BBA421" w14:textId="77777777" w:rsidTr="00F5641B">
        <w:tc>
          <w:tcPr>
            <w:tcW w:w="1063" w:type="dxa"/>
            <w:shd w:val="clear" w:color="auto" w:fill="auto"/>
          </w:tcPr>
          <w:p w14:paraId="14184AFB" w14:textId="77777777" w:rsidR="00C9316D" w:rsidRPr="009F21BD" w:rsidRDefault="00C9316D" w:rsidP="00E72E03">
            <w:pPr>
              <w:jc w:val="both"/>
            </w:pPr>
            <w:r w:rsidRPr="009F21BD">
              <w:t>6.2.</w:t>
            </w:r>
          </w:p>
        </w:tc>
        <w:tc>
          <w:tcPr>
            <w:tcW w:w="8147" w:type="dxa"/>
            <w:shd w:val="clear" w:color="auto" w:fill="auto"/>
          </w:tcPr>
          <w:p w14:paraId="03014B8A" w14:textId="77777777" w:rsidR="00C9316D" w:rsidRPr="009F21BD" w:rsidRDefault="00C9316D" w:rsidP="00E72E03">
            <w:pPr>
              <w:jc w:val="both"/>
            </w:pPr>
            <w:r w:rsidRPr="009F21BD">
              <w:t>Częstotliwość znamionowa wynosi 50 Hz z dopuszczalnym odchyleniem zawierającym się w przedziale od -0,5Hz do +0,5 Hz, przez 99,5% czasu tygodnia.</w:t>
            </w:r>
          </w:p>
        </w:tc>
      </w:tr>
      <w:tr w:rsidR="00C9316D" w:rsidRPr="009F21BD" w14:paraId="2D5A707A" w14:textId="77777777" w:rsidTr="00F5641B">
        <w:tc>
          <w:tcPr>
            <w:tcW w:w="1063" w:type="dxa"/>
            <w:shd w:val="clear" w:color="auto" w:fill="auto"/>
          </w:tcPr>
          <w:p w14:paraId="30946C45" w14:textId="77777777" w:rsidR="00C9316D" w:rsidRPr="009F21BD" w:rsidRDefault="00C9316D" w:rsidP="00E72E03">
            <w:pPr>
              <w:jc w:val="both"/>
            </w:pPr>
            <w:r w:rsidRPr="009F21BD">
              <w:t>6.3.</w:t>
            </w:r>
          </w:p>
        </w:tc>
        <w:tc>
          <w:tcPr>
            <w:tcW w:w="8147" w:type="dxa"/>
            <w:shd w:val="clear" w:color="auto" w:fill="auto"/>
          </w:tcPr>
          <w:p w14:paraId="490A5B39" w14:textId="77777777" w:rsidR="00C9316D" w:rsidRPr="009F21BD" w:rsidRDefault="00C9316D" w:rsidP="00E72E03">
            <w:pPr>
              <w:jc w:val="both"/>
            </w:pPr>
            <w:r w:rsidRPr="009F21BD">
              <w:t xml:space="preserve">Dla jednostek wytwórczych przyłączonych do sieci dystrybucyjnej, w każdym tygodniu, 95% ze zbioru 10-minutowych średnich wartości skutecznych napięcia zasilającego powinno mieścić się w przedziale odchyleń </w:t>
            </w:r>
            <w:r w:rsidRPr="009F21BD">
              <w:sym w:font="Symbol" w:char="F0B1"/>
            </w:r>
            <w:r w:rsidRPr="009F21BD">
              <w:t>5% napięcia znamionowego lub deklarowanego (w sieciach niskiego napięcia wartości napięć deklarowanych i znamionowych są równe).</w:t>
            </w:r>
          </w:p>
        </w:tc>
      </w:tr>
      <w:tr w:rsidR="00C9316D" w:rsidRPr="009F21BD" w14:paraId="28620506" w14:textId="77777777" w:rsidTr="00F5641B">
        <w:tc>
          <w:tcPr>
            <w:tcW w:w="1063" w:type="dxa"/>
            <w:shd w:val="clear" w:color="auto" w:fill="auto"/>
          </w:tcPr>
          <w:p w14:paraId="0199B8D6" w14:textId="77777777" w:rsidR="00C9316D" w:rsidRPr="009F21BD" w:rsidRDefault="00C9316D" w:rsidP="00E72E03">
            <w:pPr>
              <w:jc w:val="both"/>
            </w:pPr>
            <w:r w:rsidRPr="009F21BD">
              <w:t>6.4.</w:t>
            </w:r>
          </w:p>
        </w:tc>
        <w:tc>
          <w:tcPr>
            <w:tcW w:w="8147" w:type="dxa"/>
            <w:shd w:val="clear" w:color="auto" w:fill="auto"/>
          </w:tcPr>
          <w:p w14:paraId="0154AC48" w14:textId="77777777" w:rsidR="00C9316D" w:rsidRPr="009F21BD" w:rsidRDefault="00C9316D" w:rsidP="00E72E03">
            <w:pPr>
              <w:pStyle w:val="Default"/>
              <w:jc w:val="both"/>
              <w:rPr>
                <w:color w:val="auto"/>
              </w:rPr>
            </w:pPr>
            <w:r w:rsidRPr="009F21BD">
              <w:rPr>
                <w:color w:val="auto"/>
              </w:rPr>
              <w:t xml:space="preserve">Dla miejsc przyłączenia w sieci dystrybucyjnej o napięciu znamionowym SN i nN, zawartość poszczególnych harmonicznych odniesionych do harmonicznej podstawowej nie może przekraczać 0,5 %. </w:t>
            </w:r>
          </w:p>
        </w:tc>
      </w:tr>
      <w:tr w:rsidR="00C9316D" w:rsidRPr="009F21BD" w14:paraId="4C0081B5" w14:textId="77777777" w:rsidTr="00F5641B">
        <w:tc>
          <w:tcPr>
            <w:tcW w:w="1063" w:type="dxa"/>
            <w:shd w:val="clear" w:color="auto" w:fill="auto"/>
          </w:tcPr>
          <w:p w14:paraId="5367855D" w14:textId="77777777" w:rsidR="00C9316D" w:rsidRPr="009F21BD" w:rsidRDefault="00C9316D" w:rsidP="00E72E03">
            <w:pPr>
              <w:jc w:val="both"/>
            </w:pPr>
            <w:r w:rsidRPr="009F21BD">
              <w:t>6.5.</w:t>
            </w:r>
          </w:p>
        </w:tc>
        <w:tc>
          <w:tcPr>
            <w:tcW w:w="8147" w:type="dxa"/>
            <w:shd w:val="clear" w:color="auto" w:fill="auto"/>
          </w:tcPr>
          <w:p w14:paraId="45742B98" w14:textId="77777777" w:rsidR="00C9316D" w:rsidRPr="009F21BD" w:rsidRDefault="00C9316D" w:rsidP="00E72E03">
            <w:pPr>
              <w:jc w:val="both"/>
            </w:pPr>
            <w:r w:rsidRPr="009F21BD">
              <w:t>Współczynnik THD (uwzględniający wszystkie harmoniczne, aż do rzędu 40) odkształcenia napięcia nie może przekraczać odpowiednio:</w:t>
            </w:r>
          </w:p>
          <w:p w14:paraId="14B95078" w14:textId="77777777" w:rsidR="00C9316D" w:rsidRPr="009F21BD" w:rsidRDefault="00C9316D">
            <w:pPr>
              <w:numPr>
                <w:ilvl w:val="0"/>
                <w:numId w:val="164"/>
              </w:numPr>
              <w:tabs>
                <w:tab w:val="clear" w:pos="286"/>
                <w:tab w:val="num" w:pos="355"/>
              </w:tabs>
              <w:ind w:left="377" w:hanging="360"/>
              <w:jc w:val="both"/>
            </w:pPr>
            <w:r w:rsidRPr="009F21BD">
              <w:t>3,0 % - dla miejsc przyłączenia w sieci o napięciu znamionowym nie wyższym niż 30 kV i wyższym niż 1 kV,</w:t>
            </w:r>
          </w:p>
          <w:p w14:paraId="2450D4CD" w14:textId="77777777" w:rsidR="00C9316D" w:rsidRPr="009F21BD" w:rsidRDefault="00C9316D">
            <w:pPr>
              <w:numPr>
                <w:ilvl w:val="0"/>
                <w:numId w:val="164"/>
              </w:numPr>
              <w:tabs>
                <w:tab w:val="clear" w:pos="286"/>
                <w:tab w:val="num" w:pos="355"/>
              </w:tabs>
              <w:ind w:left="377" w:hanging="360"/>
              <w:jc w:val="both"/>
            </w:pPr>
            <w:r w:rsidRPr="009F21BD">
              <w:t>5,0 % - dla miejsc przyłączenia w sieci o napięciu znamionowym nie wyższym niż 1 kV.</w:t>
            </w:r>
          </w:p>
        </w:tc>
      </w:tr>
      <w:tr w:rsidR="00C9316D" w:rsidRPr="009F21BD" w14:paraId="1A88701E" w14:textId="77777777" w:rsidTr="00F5641B">
        <w:tc>
          <w:tcPr>
            <w:tcW w:w="1063" w:type="dxa"/>
            <w:shd w:val="clear" w:color="auto" w:fill="auto"/>
          </w:tcPr>
          <w:p w14:paraId="4A7CD04C" w14:textId="77777777" w:rsidR="00C9316D" w:rsidRPr="009F21BD" w:rsidRDefault="00C9316D" w:rsidP="00E72E03">
            <w:pPr>
              <w:jc w:val="both"/>
            </w:pPr>
            <w:r w:rsidRPr="009F21BD">
              <w:t>6.6.</w:t>
            </w:r>
          </w:p>
        </w:tc>
        <w:tc>
          <w:tcPr>
            <w:tcW w:w="8147" w:type="dxa"/>
            <w:shd w:val="clear" w:color="auto" w:fill="auto"/>
          </w:tcPr>
          <w:p w14:paraId="314FE1C1" w14:textId="77777777" w:rsidR="00C9316D" w:rsidRPr="009F21BD" w:rsidRDefault="00C9316D" w:rsidP="00E72E03">
            <w:pPr>
              <w:jc w:val="both"/>
            </w:pPr>
            <w:r w:rsidRPr="009F21BD">
              <w:t xml:space="preserve">Dla jednostek wytwórczych współpracujących z falownikami, w których zastosowany jest przekształtnik sześciopołówkowy z wygładzaniem indukcyjnym </w:t>
            </w:r>
            <w:r w:rsidRPr="009F21BD">
              <w:br/>
              <w:t>i nie są stosowane szczególne środki do redukcji wyższych harmonicznych, powinien być spełniony następujący warunek:</w:t>
            </w:r>
          </w:p>
          <w:p w14:paraId="60948366" w14:textId="1BC9BE1E" w:rsidR="00C9316D" w:rsidRPr="009F21BD" w:rsidRDefault="00997772" w:rsidP="00E72E03">
            <w:pPr>
              <w:jc w:val="center"/>
            </w:pPr>
            <w:r>
              <w:rPr>
                <w:noProof/>
              </w:rPr>
              <w:drawing>
                <wp:inline distT="0" distB="0" distL="0" distR="0" wp14:anchorId="49FC7597" wp14:editId="6AB779D5">
                  <wp:extent cx="685800" cy="428625"/>
                  <wp:effectExtent l="0" t="0" r="0" b="9525"/>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p w14:paraId="3C81DB89" w14:textId="77777777" w:rsidR="00C9316D" w:rsidRPr="009F21BD" w:rsidRDefault="00C9316D" w:rsidP="00E72E03">
            <w:pPr>
              <w:jc w:val="both"/>
            </w:pPr>
            <w:r w:rsidRPr="009F21BD">
              <w:t>gdzie:</w:t>
            </w:r>
          </w:p>
          <w:p w14:paraId="5CCFFDCB" w14:textId="77777777" w:rsidR="00C9316D" w:rsidRPr="009F21BD" w:rsidRDefault="00C9316D" w:rsidP="00E72E03">
            <w:pPr>
              <w:jc w:val="both"/>
            </w:pPr>
            <w:r w:rsidRPr="009F21BD">
              <w:t>SrA – moc osiągalna jednostki wytwórczej,</w:t>
            </w:r>
          </w:p>
          <w:p w14:paraId="32484B95" w14:textId="77777777" w:rsidR="00C9316D" w:rsidRPr="009F21BD" w:rsidRDefault="00C9316D" w:rsidP="00E72E03">
            <w:pPr>
              <w:jc w:val="both"/>
            </w:pPr>
            <w:r w:rsidRPr="009F21BD">
              <w:lastRenderedPageBreak/>
              <w:t xml:space="preserve">SkV – moc zwarciowa w miejscu przyłączenia jednostki wytwórczej do sieci dystrybucyjnej, określona jako iloraz kwadratu napięcia znamionowego sieci oraz sumy impedancji linii od transformatora do miejsca przyłączenia </w:t>
            </w:r>
            <w:r w:rsidRPr="009F21BD">
              <w:br/>
              <w:t>i impedancji transformatora.</w:t>
            </w:r>
          </w:p>
        </w:tc>
      </w:tr>
      <w:tr w:rsidR="00C9316D" w:rsidRPr="009F21BD" w14:paraId="6AE64508" w14:textId="77777777" w:rsidTr="00F5641B">
        <w:tc>
          <w:tcPr>
            <w:tcW w:w="1063" w:type="dxa"/>
            <w:shd w:val="clear" w:color="auto" w:fill="auto"/>
          </w:tcPr>
          <w:p w14:paraId="7F41F255" w14:textId="77777777" w:rsidR="00C9316D" w:rsidRPr="009F21BD" w:rsidRDefault="00C9316D" w:rsidP="00E72E03">
            <w:pPr>
              <w:jc w:val="both"/>
            </w:pPr>
            <w:r w:rsidRPr="009F21BD">
              <w:lastRenderedPageBreak/>
              <w:t>6.7.</w:t>
            </w:r>
          </w:p>
        </w:tc>
        <w:tc>
          <w:tcPr>
            <w:tcW w:w="8147" w:type="dxa"/>
            <w:shd w:val="clear" w:color="auto" w:fill="auto"/>
          </w:tcPr>
          <w:p w14:paraId="1FFA9301" w14:textId="77777777" w:rsidR="00C9316D" w:rsidRPr="009F21BD" w:rsidRDefault="00C9316D" w:rsidP="00E72E03">
            <w:pPr>
              <w:jc w:val="both"/>
            </w:pPr>
            <w:r w:rsidRPr="009F21BD">
              <w:t xml:space="preserve">W normalnych warunkach pracy sieci dystrybucyjnej, w ciągu każdego tygodnia, wskaźnik długookresowego migotania światła Plt spowodowanego wahaniami napięcia, przez 95 % czasu, powinien spełniać warunek: Plt </w:t>
            </w:r>
            <w:r w:rsidRPr="009F21BD">
              <w:sym w:font="Symbol" w:char="F0A3"/>
            </w:r>
            <w:r w:rsidRPr="009F21BD">
              <w:t xml:space="preserve"> 0,6, za wyjątkiem elektrowni wiatrowych, dla których współczynnik Plt określono w pkt</w:t>
            </w:r>
            <w:r>
              <w:t>.</w:t>
            </w:r>
            <w:r w:rsidRPr="009F21BD">
              <w:t xml:space="preserve"> 7.7.3.</w:t>
            </w:r>
          </w:p>
        </w:tc>
      </w:tr>
      <w:tr w:rsidR="00C9316D" w:rsidRPr="009F21BD" w14:paraId="7635FCAA" w14:textId="77777777" w:rsidTr="00F5641B">
        <w:tc>
          <w:tcPr>
            <w:tcW w:w="1063" w:type="dxa"/>
            <w:shd w:val="clear" w:color="auto" w:fill="auto"/>
          </w:tcPr>
          <w:p w14:paraId="1EF3428A" w14:textId="77777777" w:rsidR="00C9316D" w:rsidRPr="009F21BD" w:rsidRDefault="00C9316D" w:rsidP="00E72E03">
            <w:pPr>
              <w:jc w:val="both"/>
            </w:pPr>
            <w:r w:rsidRPr="009F21BD">
              <w:t>6.8.</w:t>
            </w:r>
          </w:p>
        </w:tc>
        <w:tc>
          <w:tcPr>
            <w:tcW w:w="8147" w:type="dxa"/>
            <w:shd w:val="clear" w:color="auto" w:fill="auto"/>
          </w:tcPr>
          <w:p w14:paraId="754C5AB5" w14:textId="77777777" w:rsidR="00C9316D" w:rsidRPr="009F21BD" w:rsidRDefault="00C9316D" w:rsidP="00E72E03">
            <w:pPr>
              <w:jc w:val="both"/>
            </w:pPr>
            <w:r w:rsidRPr="009F21BD">
              <w:t>Wymaganie określone w pkt</w:t>
            </w:r>
            <w:r>
              <w:t>.</w:t>
            </w:r>
            <w:r w:rsidRPr="009F21BD">
              <w:t xml:space="preserve"> 6.7. jest również spełnione w przypadkach, gdy:</w:t>
            </w:r>
          </w:p>
          <w:p w14:paraId="0D40C2E6" w14:textId="77777777" w:rsidR="00C9316D" w:rsidRPr="009F21BD" w:rsidRDefault="00C9316D" w:rsidP="00E72E03">
            <w:pPr>
              <w:jc w:val="both"/>
            </w:pPr>
            <w:r w:rsidRPr="009F21BD">
              <w:t>- dla jednostek wytwórczych przyłączonych do sieci SN zasilanych z szyn stacji 110/SN:</w:t>
            </w:r>
          </w:p>
          <w:p w14:paraId="0881AFD3" w14:textId="4BA24929" w:rsidR="00C9316D" w:rsidRPr="009F21BD" w:rsidRDefault="00997772" w:rsidP="00E72E03">
            <w:pPr>
              <w:jc w:val="center"/>
            </w:pPr>
            <w:r>
              <w:rPr>
                <w:noProof/>
              </w:rPr>
              <w:drawing>
                <wp:inline distT="0" distB="0" distL="0" distR="0" wp14:anchorId="7537FF10" wp14:editId="250BAAC0">
                  <wp:extent cx="1228725" cy="428625"/>
                  <wp:effectExtent l="0" t="0" r="9525" b="9525"/>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242E2F4" w14:textId="77777777" w:rsidR="00C9316D" w:rsidRPr="009F21BD" w:rsidRDefault="00C9316D" w:rsidP="00E72E03">
            <w:pPr>
              <w:jc w:val="both"/>
            </w:pPr>
            <w:r w:rsidRPr="009F21BD">
              <w:t>- dla jednostek wytwórczych przyłączonych do sieci nN:</w:t>
            </w:r>
          </w:p>
          <w:p w14:paraId="0B09986A" w14:textId="5E91FEDA" w:rsidR="00C9316D" w:rsidRPr="009F21BD" w:rsidRDefault="00997772" w:rsidP="00E72E03">
            <w:pPr>
              <w:jc w:val="center"/>
            </w:pPr>
            <w:r>
              <w:rPr>
                <w:noProof/>
              </w:rPr>
              <w:drawing>
                <wp:inline distT="0" distB="0" distL="0" distR="0" wp14:anchorId="00410785" wp14:editId="5BAB881F">
                  <wp:extent cx="1143000" cy="447675"/>
                  <wp:effectExtent l="0" t="0" r="0" b="952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inline>
              </w:drawing>
            </w:r>
          </w:p>
          <w:p w14:paraId="0A28D209" w14:textId="77777777" w:rsidR="00C9316D" w:rsidRPr="009F21BD" w:rsidRDefault="00C9316D" w:rsidP="00E72E03">
            <w:pPr>
              <w:jc w:val="both"/>
            </w:pPr>
            <w:r w:rsidRPr="009F21BD">
              <w:t>gdzie:</w:t>
            </w:r>
          </w:p>
          <w:p w14:paraId="5B0E473C" w14:textId="77777777" w:rsidR="00C9316D" w:rsidRPr="009F21BD" w:rsidRDefault="00C9316D" w:rsidP="00E72E03">
            <w:pPr>
              <w:jc w:val="both"/>
            </w:pPr>
            <w:r w:rsidRPr="009F21BD">
              <w:t xml:space="preserve">SrA </w:t>
            </w:r>
            <w:r w:rsidRPr="009F21BD">
              <w:tab/>
              <w:t>– moc osiągalna jednostki wytwórczej,</w:t>
            </w:r>
          </w:p>
          <w:p w14:paraId="4DCFA9D4" w14:textId="77777777" w:rsidR="00C9316D" w:rsidRPr="009F21BD" w:rsidRDefault="00C9316D" w:rsidP="00E72E03">
            <w:pPr>
              <w:jc w:val="both"/>
            </w:pPr>
            <w:r w:rsidRPr="009F21BD">
              <w:t xml:space="preserve">SkV </w:t>
            </w:r>
            <w:r w:rsidRPr="009F21BD">
              <w:tab/>
              <w:t>– moc zwarciowa w miejscu przyłączenia jednostki wytwórczej do sieci dystrybucyjnej,</w:t>
            </w:r>
          </w:p>
          <w:p w14:paraId="32B30C79" w14:textId="77777777" w:rsidR="00C9316D" w:rsidRPr="009F21BD" w:rsidRDefault="00C9316D" w:rsidP="00E72E03">
            <w:pPr>
              <w:jc w:val="both"/>
            </w:pPr>
            <w:r w:rsidRPr="009F21BD">
              <w:t xml:space="preserve">N </w:t>
            </w:r>
            <w:r w:rsidRPr="009F21BD">
              <w:tab/>
              <w:t>– liczba przekształtników tyrystorowych o jednakowych lub zbliżonych do siebie mocach znamionowych, współpracujących z jednostką wytwórczą,</w:t>
            </w:r>
          </w:p>
          <w:p w14:paraId="19F24B5C" w14:textId="77777777" w:rsidR="00C9316D" w:rsidRPr="009F21BD" w:rsidRDefault="00C9316D" w:rsidP="00E72E03">
            <w:pPr>
              <w:jc w:val="both"/>
            </w:pPr>
            <w:r w:rsidRPr="009F21BD">
              <w:t>k</w:t>
            </w:r>
            <w:r w:rsidRPr="009F21BD">
              <w:tab/>
              <w:t>– współczynnik wynoszący:</w:t>
            </w:r>
          </w:p>
          <w:p w14:paraId="7F41D43F" w14:textId="77777777" w:rsidR="00C9316D" w:rsidRPr="009F21BD" w:rsidRDefault="00C9316D" w:rsidP="00E72E03">
            <w:pPr>
              <w:ind w:left="638"/>
              <w:jc w:val="both"/>
            </w:pPr>
            <w:r w:rsidRPr="009F21BD">
              <w:t>1</w:t>
            </w:r>
            <w:r w:rsidRPr="009F21BD">
              <w:tab/>
              <w:t>- dla generatorów synchronicznych,</w:t>
            </w:r>
          </w:p>
          <w:p w14:paraId="1B786E33" w14:textId="77777777" w:rsidR="00C9316D" w:rsidRPr="009F21BD" w:rsidRDefault="00C9316D" w:rsidP="00E72E03">
            <w:pPr>
              <w:ind w:left="1489" w:hanging="851"/>
              <w:jc w:val="both"/>
            </w:pPr>
            <w:r w:rsidRPr="009F21BD">
              <w:t>2</w:t>
            </w:r>
            <w:r w:rsidRPr="009F21BD">
              <w:tab/>
              <w:t>- dla generatorów asynchronicznych, które są załączane przy 95 % </w:t>
            </w:r>
            <w:r w:rsidRPr="009F21BD">
              <w:sym w:font="Symbol" w:char="F0B8"/>
            </w:r>
            <w:r w:rsidRPr="009F21BD">
              <w:t> 105 % ich prędkości synchronicznej,</w:t>
            </w:r>
          </w:p>
          <w:p w14:paraId="762850FF" w14:textId="77777777" w:rsidR="00C9316D" w:rsidRPr="009F21BD" w:rsidRDefault="00C9316D" w:rsidP="00E72E03">
            <w:pPr>
              <w:ind w:left="1489" w:hanging="851"/>
              <w:jc w:val="both"/>
            </w:pPr>
            <w:r w:rsidRPr="009F21BD">
              <w:t>Ia/Ir</w:t>
            </w:r>
            <w:r w:rsidRPr="009F21BD">
              <w:tab/>
              <w:t>- dla generatorów asynchronicznych, które są wprowadzane na obroty jako silnik,</w:t>
            </w:r>
          </w:p>
          <w:p w14:paraId="03B848DE" w14:textId="77777777" w:rsidR="00C9316D" w:rsidRPr="009F21BD" w:rsidRDefault="00C9316D" w:rsidP="00E72E03">
            <w:pPr>
              <w:ind w:left="638"/>
              <w:jc w:val="both"/>
            </w:pPr>
            <w:r w:rsidRPr="009F21BD">
              <w:t>8</w:t>
            </w:r>
            <w:r w:rsidRPr="009F21BD">
              <w:tab/>
              <w:t>- dla przypadków, gdy nie jest znany prąd rozruchu,</w:t>
            </w:r>
          </w:p>
          <w:p w14:paraId="4FD0146F" w14:textId="77777777" w:rsidR="00C9316D" w:rsidRPr="009F21BD" w:rsidRDefault="00C9316D" w:rsidP="00E72E03">
            <w:pPr>
              <w:jc w:val="both"/>
            </w:pPr>
            <w:r w:rsidRPr="009F21BD">
              <w:t xml:space="preserve">Ia </w:t>
            </w:r>
            <w:r w:rsidRPr="009F21BD">
              <w:tab/>
              <w:t>– prąd rozruchowy,</w:t>
            </w:r>
          </w:p>
          <w:p w14:paraId="7CACD178" w14:textId="77777777" w:rsidR="00C9316D" w:rsidRPr="009F21BD" w:rsidRDefault="00C9316D" w:rsidP="00E72E03">
            <w:pPr>
              <w:jc w:val="both"/>
            </w:pPr>
            <w:r w:rsidRPr="009F21BD">
              <w:t xml:space="preserve">Ir </w:t>
            </w:r>
            <w:r w:rsidRPr="009F21BD">
              <w:tab/>
              <w:t>– znamionowy prąd ciągły.</w:t>
            </w:r>
          </w:p>
          <w:p w14:paraId="0CECDF0F" w14:textId="77777777" w:rsidR="00C9316D" w:rsidRPr="009F21BD" w:rsidRDefault="00C9316D" w:rsidP="00E72E03">
            <w:pPr>
              <w:jc w:val="both"/>
            </w:pPr>
          </w:p>
        </w:tc>
      </w:tr>
      <w:tr w:rsidR="00C9316D" w:rsidRPr="009F21BD" w14:paraId="4487637A" w14:textId="77777777" w:rsidTr="00F5641B">
        <w:tc>
          <w:tcPr>
            <w:tcW w:w="9210" w:type="dxa"/>
            <w:gridSpan w:val="2"/>
            <w:shd w:val="clear" w:color="auto" w:fill="auto"/>
          </w:tcPr>
          <w:p w14:paraId="102B0B22" w14:textId="77777777" w:rsidR="00C9316D" w:rsidRDefault="00C9316D" w:rsidP="00E72E03">
            <w:pPr>
              <w:ind w:left="540" w:hanging="540"/>
              <w:jc w:val="both"/>
              <w:rPr>
                <w:b/>
                <w:bCs/>
              </w:rPr>
            </w:pPr>
            <w:r w:rsidRPr="009F21BD">
              <w:rPr>
                <w:b/>
                <w:bCs/>
              </w:rPr>
              <w:t xml:space="preserve">7. DODATKOWE WYMAGANIA DLA ELEKTROWNI WIATROWYCH PRZYŁĄCZANYCH DO SIECI DYSTRYBUCYJNYCH </w:t>
            </w:r>
          </w:p>
          <w:p w14:paraId="5E56D71D" w14:textId="77777777" w:rsidR="00E72E03" w:rsidRPr="009F21BD" w:rsidRDefault="00E72E03" w:rsidP="00E72E03">
            <w:pPr>
              <w:ind w:left="540" w:hanging="540"/>
              <w:jc w:val="both"/>
              <w:rPr>
                <w:b/>
                <w:bCs/>
              </w:rPr>
            </w:pPr>
          </w:p>
        </w:tc>
      </w:tr>
      <w:tr w:rsidR="00C9316D" w:rsidRPr="009F21BD" w14:paraId="35F432FF" w14:textId="77777777" w:rsidTr="00F5641B">
        <w:tc>
          <w:tcPr>
            <w:tcW w:w="9210" w:type="dxa"/>
            <w:gridSpan w:val="2"/>
            <w:shd w:val="clear" w:color="auto" w:fill="auto"/>
          </w:tcPr>
          <w:p w14:paraId="19002766" w14:textId="77777777" w:rsidR="00C9316D" w:rsidRPr="009F21BD" w:rsidRDefault="00C9316D" w:rsidP="00E72E03">
            <w:pPr>
              <w:jc w:val="both"/>
              <w:rPr>
                <w:b/>
                <w:bCs/>
              </w:rPr>
            </w:pPr>
            <w:r w:rsidRPr="009F21BD">
              <w:rPr>
                <w:b/>
                <w:bCs/>
              </w:rPr>
              <w:t>7.1. Postanowienia ogólne</w:t>
            </w:r>
          </w:p>
        </w:tc>
      </w:tr>
      <w:tr w:rsidR="00C9316D" w:rsidRPr="009F21BD" w14:paraId="1088306F" w14:textId="77777777" w:rsidTr="00F5641B">
        <w:tc>
          <w:tcPr>
            <w:tcW w:w="1063" w:type="dxa"/>
            <w:shd w:val="clear" w:color="auto" w:fill="auto"/>
          </w:tcPr>
          <w:p w14:paraId="74552A4A" w14:textId="77777777" w:rsidR="00C9316D" w:rsidRPr="009F21BD" w:rsidRDefault="00C9316D" w:rsidP="00E72E03">
            <w:pPr>
              <w:jc w:val="both"/>
            </w:pPr>
            <w:r w:rsidRPr="009F21BD">
              <w:t>7.1.1.</w:t>
            </w:r>
          </w:p>
        </w:tc>
        <w:tc>
          <w:tcPr>
            <w:tcW w:w="8147" w:type="dxa"/>
            <w:shd w:val="clear" w:color="auto" w:fill="auto"/>
          </w:tcPr>
          <w:p w14:paraId="024447EE" w14:textId="77777777" w:rsidR="00C9316D" w:rsidRPr="009F21BD" w:rsidRDefault="00C9316D" w:rsidP="00E72E03">
            <w:pPr>
              <w:jc w:val="both"/>
            </w:pPr>
            <w:r w:rsidRPr="009F21BD">
              <w:t>Elektrownie wiatrowe przyłączane bezpośrednio do sieci dystrybucyjnej powinny spełniać ogólne wymagania i procedury przewidziane dla podmiotów przyłączanych do sieci dystrybucyjnej określone w pozostałych punktach niniejszej IRiESD.</w:t>
            </w:r>
          </w:p>
        </w:tc>
      </w:tr>
      <w:tr w:rsidR="00C9316D" w:rsidRPr="009F21BD" w14:paraId="53E354DC" w14:textId="77777777" w:rsidTr="00F5641B">
        <w:tc>
          <w:tcPr>
            <w:tcW w:w="1063" w:type="dxa"/>
            <w:shd w:val="clear" w:color="auto" w:fill="auto"/>
          </w:tcPr>
          <w:p w14:paraId="53B6C3EE" w14:textId="77777777" w:rsidR="00C9316D" w:rsidRPr="009F21BD" w:rsidRDefault="00C9316D" w:rsidP="00E72E03">
            <w:pPr>
              <w:jc w:val="both"/>
            </w:pPr>
            <w:r w:rsidRPr="009F21BD">
              <w:t>7.1.2.</w:t>
            </w:r>
          </w:p>
        </w:tc>
        <w:tc>
          <w:tcPr>
            <w:tcW w:w="8147" w:type="dxa"/>
            <w:shd w:val="clear" w:color="auto" w:fill="auto"/>
          </w:tcPr>
          <w:p w14:paraId="25875562" w14:textId="77777777" w:rsidR="00C9316D" w:rsidRPr="009F21BD" w:rsidRDefault="00C9316D" w:rsidP="00E72E03">
            <w:pPr>
              <w:jc w:val="both"/>
            </w:pPr>
            <w:r w:rsidRPr="009F21BD">
              <w:t>Wymagania techniczne i zalecenia zapisane w pkt</w:t>
            </w:r>
            <w:r>
              <w:t>.</w:t>
            </w:r>
            <w:r w:rsidRPr="009F21BD">
              <w:t xml:space="preserve"> 7 niniejszego załącznika obowiązują elektrownie wiatrowe przyłączane do sieci dystrybucyjnej. </w:t>
            </w:r>
          </w:p>
        </w:tc>
      </w:tr>
      <w:tr w:rsidR="00C9316D" w:rsidRPr="009F21BD" w14:paraId="760F5D68" w14:textId="77777777" w:rsidTr="00F5641B">
        <w:tc>
          <w:tcPr>
            <w:tcW w:w="1063" w:type="dxa"/>
            <w:shd w:val="clear" w:color="auto" w:fill="auto"/>
          </w:tcPr>
          <w:p w14:paraId="533B67F8" w14:textId="77777777" w:rsidR="00C9316D" w:rsidRPr="009F21BD" w:rsidRDefault="00C9316D" w:rsidP="00E72E03">
            <w:pPr>
              <w:jc w:val="both"/>
            </w:pPr>
            <w:r w:rsidRPr="009F21BD">
              <w:t>7.1.3.</w:t>
            </w:r>
          </w:p>
        </w:tc>
        <w:tc>
          <w:tcPr>
            <w:tcW w:w="8147" w:type="dxa"/>
            <w:shd w:val="clear" w:color="auto" w:fill="auto"/>
          </w:tcPr>
          <w:p w14:paraId="29106C16" w14:textId="77777777" w:rsidR="00C9316D" w:rsidRPr="009F21BD" w:rsidRDefault="00C9316D" w:rsidP="00E72E03">
            <w:pPr>
              <w:pStyle w:val="Default"/>
              <w:jc w:val="both"/>
              <w:rPr>
                <w:color w:val="auto"/>
              </w:rPr>
            </w:pPr>
            <w:r w:rsidRPr="009F21BD">
              <w:rPr>
                <w:color w:val="auto"/>
              </w:rPr>
              <w:t>Przyłączone do sieci dystrybucyjnej elektrownie wiatrowe muszą spełniać wymagania zawarte w pkt</w:t>
            </w:r>
            <w:r>
              <w:rPr>
                <w:color w:val="auto"/>
              </w:rPr>
              <w:t>.</w:t>
            </w:r>
            <w:r w:rsidRPr="009F21BD">
              <w:rPr>
                <w:color w:val="auto"/>
              </w:rPr>
              <w:t xml:space="preserve"> 7. niniejszego załącznika po ich modernizacji, których zakres obejmuje również urządzenia lub instalacje wchodzące w skład jednostki wytwórczej niespełniającej tych wymagań. </w:t>
            </w:r>
          </w:p>
        </w:tc>
      </w:tr>
      <w:tr w:rsidR="00C9316D" w:rsidRPr="009F21BD" w14:paraId="64D8D8CF" w14:textId="77777777" w:rsidTr="00F5641B">
        <w:tc>
          <w:tcPr>
            <w:tcW w:w="1063" w:type="dxa"/>
            <w:shd w:val="clear" w:color="auto" w:fill="auto"/>
          </w:tcPr>
          <w:p w14:paraId="467F61AE" w14:textId="77777777" w:rsidR="00C9316D" w:rsidRPr="009F21BD" w:rsidRDefault="00C9316D" w:rsidP="00E72E03">
            <w:pPr>
              <w:jc w:val="both"/>
            </w:pPr>
            <w:r w:rsidRPr="009F21BD">
              <w:t>7.1.4.</w:t>
            </w:r>
          </w:p>
        </w:tc>
        <w:tc>
          <w:tcPr>
            <w:tcW w:w="8147" w:type="dxa"/>
            <w:shd w:val="clear" w:color="auto" w:fill="auto"/>
          </w:tcPr>
          <w:p w14:paraId="1FD336A4" w14:textId="77777777" w:rsidR="00C9316D" w:rsidRPr="009F21BD" w:rsidRDefault="00C9316D" w:rsidP="00E72E03">
            <w:pPr>
              <w:jc w:val="both"/>
            </w:pPr>
            <w:r w:rsidRPr="009F21BD">
              <w:t>Wymagania techniczne dla elektrowni wiatrowych obejmują następujące zagadnienia:</w:t>
            </w:r>
          </w:p>
          <w:p w14:paraId="04E3F0AC" w14:textId="77777777" w:rsidR="00C9316D" w:rsidRPr="009F21BD" w:rsidRDefault="00C9316D" w:rsidP="00E72E03">
            <w:pPr>
              <w:jc w:val="both"/>
            </w:pPr>
            <w:r w:rsidRPr="009F21BD">
              <w:t>a) regulacja mocy czynnej,</w:t>
            </w:r>
          </w:p>
          <w:p w14:paraId="3794A7B7" w14:textId="77777777" w:rsidR="00C9316D" w:rsidRPr="009F21BD" w:rsidRDefault="00C9316D" w:rsidP="00E72E03">
            <w:pPr>
              <w:jc w:val="both"/>
            </w:pPr>
            <w:r w:rsidRPr="009F21BD">
              <w:lastRenderedPageBreak/>
              <w:t>b) praca przy różnym napięciu i częstotliwości,</w:t>
            </w:r>
          </w:p>
          <w:p w14:paraId="5CF2D7EB" w14:textId="77777777" w:rsidR="00C9316D" w:rsidRPr="009F21BD" w:rsidRDefault="00C9316D" w:rsidP="00E72E03">
            <w:pPr>
              <w:jc w:val="both"/>
            </w:pPr>
            <w:r w:rsidRPr="009F21BD">
              <w:t>c) załączanie do pracy i wyłączanie z sieci,</w:t>
            </w:r>
          </w:p>
          <w:p w14:paraId="6B52344D" w14:textId="77777777" w:rsidR="00C9316D" w:rsidRPr="009F21BD" w:rsidRDefault="00C9316D" w:rsidP="00E72E03">
            <w:pPr>
              <w:jc w:val="both"/>
            </w:pPr>
            <w:r w:rsidRPr="009F21BD">
              <w:t>d) regulacja napięcia i mocy biernej,</w:t>
            </w:r>
          </w:p>
          <w:p w14:paraId="4BAD5752" w14:textId="77777777" w:rsidR="00C9316D" w:rsidRPr="009F21BD" w:rsidRDefault="00C9316D" w:rsidP="00E72E03">
            <w:pPr>
              <w:jc w:val="both"/>
            </w:pPr>
            <w:r w:rsidRPr="009F21BD">
              <w:t>e) wymagania dla pracy przy zakłóceniach w sieci,</w:t>
            </w:r>
          </w:p>
          <w:p w14:paraId="53FBCD9D" w14:textId="77777777" w:rsidR="00C9316D" w:rsidRPr="009F21BD" w:rsidRDefault="00C9316D" w:rsidP="00E72E03">
            <w:pPr>
              <w:jc w:val="both"/>
            </w:pPr>
            <w:r w:rsidRPr="009F21BD">
              <w:t>f) dotrzymywanie standardów jakości energii,</w:t>
            </w:r>
          </w:p>
          <w:p w14:paraId="7E0BDE4B" w14:textId="77777777" w:rsidR="00C9316D" w:rsidRPr="009F21BD" w:rsidRDefault="00C9316D" w:rsidP="00E72E03">
            <w:pPr>
              <w:jc w:val="both"/>
            </w:pPr>
            <w:r w:rsidRPr="009F21BD">
              <w:t>g) elektroenergetyczna automatyka zabezpieczeniowa,</w:t>
            </w:r>
          </w:p>
          <w:p w14:paraId="285BD06B" w14:textId="77777777" w:rsidR="00C9316D" w:rsidRPr="009F21BD" w:rsidRDefault="00C9316D" w:rsidP="00E72E03">
            <w:pPr>
              <w:jc w:val="both"/>
            </w:pPr>
            <w:r w:rsidRPr="009F21BD">
              <w:t>h) monitoring i systemy telekomunikacji,</w:t>
            </w:r>
          </w:p>
          <w:p w14:paraId="6557655F" w14:textId="77777777" w:rsidR="00C9316D" w:rsidRPr="009F21BD" w:rsidRDefault="00C9316D" w:rsidP="00E72E03">
            <w:pPr>
              <w:jc w:val="both"/>
            </w:pPr>
            <w:r w:rsidRPr="009F21BD">
              <w:t>i) testy sprawdzające.</w:t>
            </w:r>
          </w:p>
        </w:tc>
      </w:tr>
      <w:tr w:rsidR="00C9316D" w:rsidRPr="009F21BD" w14:paraId="31CA6FC1" w14:textId="77777777" w:rsidTr="00F5641B">
        <w:tc>
          <w:tcPr>
            <w:tcW w:w="1063" w:type="dxa"/>
            <w:shd w:val="clear" w:color="auto" w:fill="auto"/>
          </w:tcPr>
          <w:p w14:paraId="6E025B3B" w14:textId="77777777" w:rsidR="00C9316D" w:rsidRPr="009F21BD" w:rsidRDefault="00C9316D" w:rsidP="00E72E03">
            <w:pPr>
              <w:jc w:val="both"/>
            </w:pPr>
            <w:r w:rsidRPr="009F21BD">
              <w:lastRenderedPageBreak/>
              <w:t>7.1.5.</w:t>
            </w:r>
          </w:p>
        </w:tc>
        <w:tc>
          <w:tcPr>
            <w:tcW w:w="8147" w:type="dxa"/>
            <w:shd w:val="clear" w:color="auto" w:fill="auto"/>
          </w:tcPr>
          <w:p w14:paraId="6B72E50F" w14:textId="77777777" w:rsidR="00C9316D" w:rsidRPr="009F21BD" w:rsidRDefault="00C9316D" w:rsidP="00E72E03">
            <w:pPr>
              <w:jc w:val="both"/>
            </w:pPr>
            <w:r w:rsidRPr="009F21BD">
              <w:t>OSDn ma prawo do kontroli realizacji warunków przyłączenia i może zażądać udostępnienia przez wytwórcę dokumentacji stwierdzającej, że elektrownia wiatrowa wypełnia wymagania określone w IRiESD i w warunkach przyłączenia do sieci. W szczególności dokumentacja ta powinna zawierać wyniki pomiarów konieczne dla oceny wpływu elektrowni wiatrowej na jakość energii elektrycznej.</w:t>
            </w:r>
          </w:p>
        </w:tc>
      </w:tr>
      <w:tr w:rsidR="00C9316D" w:rsidRPr="009F21BD" w14:paraId="6B7B8E51" w14:textId="77777777" w:rsidTr="00F5641B">
        <w:tc>
          <w:tcPr>
            <w:tcW w:w="1063" w:type="dxa"/>
            <w:shd w:val="clear" w:color="auto" w:fill="auto"/>
          </w:tcPr>
          <w:p w14:paraId="3E2E09F8" w14:textId="77777777" w:rsidR="00C9316D" w:rsidRPr="009F21BD" w:rsidRDefault="00C9316D" w:rsidP="00E72E03">
            <w:pPr>
              <w:jc w:val="both"/>
            </w:pPr>
            <w:r w:rsidRPr="009F21BD">
              <w:t>7.1.6.</w:t>
            </w:r>
          </w:p>
        </w:tc>
        <w:tc>
          <w:tcPr>
            <w:tcW w:w="8147" w:type="dxa"/>
            <w:shd w:val="clear" w:color="auto" w:fill="auto"/>
          </w:tcPr>
          <w:p w14:paraId="0741342E" w14:textId="77777777" w:rsidR="00C9316D" w:rsidRPr="009F21BD" w:rsidRDefault="00C9316D" w:rsidP="00E72E03">
            <w:pPr>
              <w:jc w:val="both"/>
            </w:pPr>
            <w:r w:rsidRPr="009F21BD">
              <w:t xml:space="preserve">Elektrownie wiatrowe przyłączane do sieci dystrybucyjnej powinny być wyposażone w urządzenia o technologii umożliwiającej bezpieczną współpracę </w:t>
            </w:r>
            <w:r w:rsidRPr="009F21BD">
              <w:br/>
              <w:t>z systemem elektroenergetycznym w różnych możliwych sytuacjach ruchowych.</w:t>
            </w:r>
          </w:p>
        </w:tc>
      </w:tr>
      <w:tr w:rsidR="00C9316D" w:rsidRPr="009F21BD" w14:paraId="224FF9AF" w14:textId="77777777" w:rsidTr="00F5641B">
        <w:tc>
          <w:tcPr>
            <w:tcW w:w="1063" w:type="dxa"/>
            <w:shd w:val="clear" w:color="auto" w:fill="auto"/>
          </w:tcPr>
          <w:p w14:paraId="7E0FAFCF" w14:textId="77777777" w:rsidR="00C9316D" w:rsidRPr="009F21BD" w:rsidRDefault="00C9316D" w:rsidP="00E72E03">
            <w:pPr>
              <w:jc w:val="both"/>
            </w:pPr>
            <w:r w:rsidRPr="009F21BD">
              <w:t>7.1.7.</w:t>
            </w:r>
          </w:p>
        </w:tc>
        <w:tc>
          <w:tcPr>
            <w:tcW w:w="8147" w:type="dxa"/>
            <w:shd w:val="clear" w:color="auto" w:fill="auto"/>
          </w:tcPr>
          <w:p w14:paraId="3AD8981A" w14:textId="77777777" w:rsidR="00C9316D" w:rsidRPr="009F21BD" w:rsidRDefault="00C9316D" w:rsidP="00E72E03">
            <w:pPr>
              <w:jc w:val="both"/>
            </w:pPr>
            <w:r w:rsidRPr="009F21BD">
              <w:t xml:space="preserve">Szczegółowe wymagania dla każdej elektrowni wiatrowej są określane przez OSDn w warunkach przyłączenia do sieci, w zależności od mocy elektrowni wiatrowej, jej lokalizacji w sieci, sytuacji w systemie elektroenergetycznym </w:t>
            </w:r>
            <w:r w:rsidRPr="009F21BD">
              <w:br/>
              <w:t>i wyników ekspertyzy wpływu przyłączanej elektrowni wiatrowej na system elektroenergetyczny.</w:t>
            </w:r>
          </w:p>
        </w:tc>
      </w:tr>
      <w:tr w:rsidR="00C9316D" w:rsidRPr="009F21BD" w14:paraId="21A31E97" w14:textId="77777777" w:rsidTr="00F5641B">
        <w:tc>
          <w:tcPr>
            <w:tcW w:w="1063" w:type="dxa"/>
            <w:shd w:val="clear" w:color="auto" w:fill="auto"/>
          </w:tcPr>
          <w:p w14:paraId="712A790D" w14:textId="77777777" w:rsidR="00C9316D" w:rsidRPr="009F21BD" w:rsidRDefault="00C9316D" w:rsidP="00E72E03">
            <w:pPr>
              <w:jc w:val="both"/>
            </w:pPr>
            <w:r w:rsidRPr="009F21BD">
              <w:t>7.1.8.</w:t>
            </w:r>
          </w:p>
        </w:tc>
        <w:tc>
          <w:tcPr>
            <w:tcW w:w="8147" w:type="dxa"/>
            <w:shd w:val="clear" w:color="auto" w:fill="auto"/>
          </w:tcPr>
          <w:p w14:paraId="0572D6B2" w14:textId="77777777" w:rsidR="00C9316D" w:rsidRPr="009F21BD" w:rsidRDefault="00C9316D" w:rsidP="00E72E03">
            <w:pPr>
              <w:jc w:val="both"/>
            </w:pPr>
            <w:r w:rsidRPr="009F21BD">
              <w:t>OSDn może w warunkach przyłączenia określić dla elektrowni wiatrowej wymóg przystosowania elektrowni do automatycznej regulacji mocy i zażądać</w:t>
            </w:r>
            <w:r w:rsidR="005E2FF4">
              <w:t>,</w:t>
            </w:r>
            <w:r w:rsidRPr="009F21BD">
              <w:t xml:space="preserve"> aby regulacja mocy elektrowni wiatrowej była dostosowana do automatycznej regulacji zdalnej. </w:t>
            </w:r>
          </w:p>
        </w:tc>
      </w:tr>
      <w:tr w:rsidR="00C9316D" w:rsidRPr="009F21BD" w14:paraId="15E57275" w14:textId="77777777" w:rsidTr="00F5641B">
        <w:tc>
          <w:tcPr>
            <w:tcW w:w="1063" w:type="dxa"/>
            <w:shd w:val="clear" w:color="auto" w:fill="auto"/>
          </w:tcPr>
          <w:p w14:paraId="09D95BFA" w14:textId="77777777" w:rsidR="00C9316D" w:rsidRPr="009F21BD" w:rsidRDefault="00C9316D" w:rsidP="00E72E03">
            <w:pPr>
              <w:jc w:val="both"/>
            </w:pPr>
            <w:r w:rsidRPr="009F21BD">
              <w:t>7.1.9.</w:t>
            </w:r>
          </w:p>
        </w:tc>
        <w:tc>
          <w:tcPr>
            <w:tcW w:w="8147" w:type="dxa"/>
            <w:shd w:val="clear" w:color="auto" w:fill="auto"/>
          </w:tcPr>
          <w:p w14:paraId="72AA467B" w14:textId="77777777" w:rsidR="00C9316D" w:rsidRPr="009F21BD" w:rsidRDefault="00C9316D" w:rsidP="00E72E03">
            <w:pPr>
              <w:pStyle w:val="Default"/>
              <w:jc w:val="both"/>
              <w:rPr>
                <w:color w:val="auto"/>
              </w:rPr>
            </w:pPr>
            <w:r w:rsidRPr="009F21BD">
              <w:rPr>
                <w:color w:val="auto"/>
              </w:rPr>
              <w:t xml:space="preserve">Elektrownia wiatrowa w przypadku niedotrzymania standardów jakości energii określonych w niniejszym załączniku, może zostać wyłączona przez OSDn, do czasu usunięcia nieprawidłowości. </w:t>
            </w:r>
          </w:p>
          <w:p w14:paraId="095ED386" w14:textId="77777777" w:rsidR="00C9316D" w:rsidRPr="009F21BD" w:rsidRDefault="00C9316D" w:rsidP="00E72E03">
            <w:pPr>
              <w:pStyle w:val="Default"/>
              <w:jc w:val="both"/>
              <w:rPr>
                <w:color w:val="auto"/>
              </w:rPr>
            </w:pPr>
          </w:p>
        </w:tc>
      </w:tr>
      <w:tr w:rsidR="00C9316D" w:rsidRPr="009F21BD" w14:paraId="14FB8E79" w14:textId="77777777" w:rsidTr="00F5641B">
        <w:tc>
          <w:tcPr>
            <w:tcW w:w="9210" w:type="dxa"/>
            <w:gridSpan w:val="2"/>
            <w:shd w:val="clear" w:color="auto" w:fill="auto"/>
          </w:tcPr>
          <w:p w14:paraId="1E649D84" w14:textId="77777777" w:rsidR="00C9316D" w:rsidRPr="009F21BD" w:rsidRDefault="00C9316D" w:rsidP="00E72E03">
            <w:pPr>
              <w:jc w:val="both"/>
              <w:rPr>
                <w:b/>
                <w:bCs/>
              </w:rPr>
            </w:pPr>
            <w:r w:rsidRPr="009F21BD">
              <w:rPr>
                <w:b/>
                <w:bCs/>
              </w:rPr>
              <w:t>7.2. Regulacja mocy czynnej elektrowni wiatrowej</w:t>
            </w:r>
          </w:p>
        </w:tc>
      </w:tr>
      <w:tr w:rsidR="00C9316D" w:rsidRPr="009F21BD" w14:paraId="4728BCEB" w14:textId="77777777" w:rsidTr="00F5641B">
        <w:tc>
          <w:tcPr>
            <w:tcW w:w="1063" w:type="dxa"/>
            <w:shd w:val="clear" w:color="auto" w:fill="auto"/>
          </w:tcPr>
          <w:p w14:paraId="1195704E" w14:textId="77777777" w:rsidR="00C9316D" w:rsidRPr="009F21BD" w:rsidRDefault="00C9316D" w:rsidP="00E72E03">
            <w:pPr>
              <w:jc w:val="both"/>
            </w:pPr>
            <w:r w:rsidRPr="009F21BD">
              <w:t>7.2.1.</w:t>
            </w:r>
          </w:p>
        </w:tc>
        <w:tc>
          <w:tcPr>
            <w:tcW w:w="8147" w:type="dxa"/>
            <w:shd w:val="clear" w:color="auto" w:fill="auto"/>
          </w:tcPr>
          <w:p w14:paraId="2D022A97" w14:textId="77777777" w:rsidR="00C9316D" w:rsidRPr="009F21BD" w:rsidRDefault="00C9316D" w:rsidP="00E72E03">
            <w:pPr>
              <w:jc w:val="both"/>
            </w:pPr>
            <w:r w:rsidRPr="009F21BD">
              <w:t>W normalnych warunkach pracy systemu i elektrowni wiatrowej moc czynna wprowadzana do sieci przez elektrownię wiatrową nie może przekraczać limitu mocy (z dokładnością ± 5 %) przydzielonego operatywnie przez odpowiedniego operatora systemu i mocy przyłączeniowej określonej w umowie o przyłączenie.</w:t>
            </w:r>
          </w:p>
        </w:tc>
      </w:tr>
      <w:tr w:rsidR="00C9316D" w:rsidRPr="009F21BD" w14:paraId="75FEEBAF" w14:textId="77777777" w:rsidTr="00F5641B">
        <w:tc>
          <w:tcPr>
            <w:tcW w:w="1063" w:type="dxa"/>
            <w:shd w:val="clear" w:color="auto" w:fill="auto"/>
          </w:tcPr>
          <w:p w14:paraId="00E469F4" w14:textId="77777777" w:rsidR="00C9316D" w:rsidRPr="009F21BD" w:rsidRDefault="00C9316D" w:rsidP="00E72E03">
            <w:pPr>
              <w:jc w:val="both"/>
            </w:pPr>
            <w:r w:rsidRPr="009F21BD">
              <w:t>7.2.2.</w:t>
            </w:r>
          </w:p>
        </w:tc>
        <w:tc>
          <w:tcPr>
            <w:tcW w:w="8147" w:type="dxa"/>
            <w:shd w:val="clear" w:color="auto" w:fill="auto"/>
          </w:tcPr>
          <w:p w14:paraId="55C15C4D" w14:textId="77777777" w:rsidR="00C9316D" w:rsidRPr="009F21BD" w:rsidRDefault="00C9316D" w:rsidP="00E72E03">
            <w:pPr>
              <w:pStyle w:val="Default"/>
              <w:jc w:val="both"/>
              <w:rPr>
                <w:color w:val="auto"/>
              </w:rPr>
            </w:pPr>
            <w:r w:rsidRPr="009F21BD">
              <w:rPr>
                <w:color w:val="auto"/>
              </w:rPr>
              <w:t xml:space="preserve">W normalnych warunkach pracy elektrowni wiatrowej przyłączanej do sieci SN, </w:t>
            </w:r>
            <w:r w:rsidRPr="009F21BD">
              <w:rPr>
                <w:color w:val="auto"/>
              </w:rPr>
              <w:br/>
              <w:t xml:space="preserve">w tym również podczas normalnych uruchomień i odstawień, gradient średni zmiany mocy czynnej elektrowni wiatrowej za okres 15 minut nie może przekraczać 10% mocy znamionowej elektrowni wiatrowej na minutę. Gradient średni w okresie 1 minuty nie powinien przekraczać 30 % mocy znamionowej na minutę. </w:t>
            </w:r>
          </w:p>
        </w:tc>
      </w:tr>
      <w:tr w:rsidR="00C9316D" w:rsidRPr="009F21BD" w14:paraId="71EE7F3B" w14:textId="77777777" w:rsidTr="00F5641B">
        <w:tc>
          <w:tcPr>
            <w:tcW w:w="1063" w:type="dxa"/>
            <w:shd w:val="clear" w:color="auto" w:fill="auto"/>
          </w:tcPr>
          <w:p w14:paraId="4FA48B97" w14:textId="77777777" w:rsidR="00C9316D" w:rsidRPr="009F21BD" w:rsidRDefault="00C9316D" w:rsidP="00E72E03">
            <w:pPr>
              <w:jc w:val="both"/>
            </w:pPr>
            <w:r w:rsidRPr="009F21BD">
              <w:t>7.2.3.</w:t>
            </w:r>
          </w:p>
        </w:tc>
        <w:tc>
          <w:tcPr>
            <w:tcW w:w="8147" w:type="dxa"/>
            <w:shd w:val="clear" w:color="auto" w:fill="auto"/>
          </w:tcPr>
          <w:p w14:paraId="768BF2CC" w14:textId="77777777" w:rsidR="00C9316D" w:rsidRPr="009F21BD" w:rsidRDefault="00C9316D" w:rsidP="00E72E03">
            <w:pPr>
              <w:pStyle w:val="Default"/>
              <w:jc w:val="both"/>
              <w:rPr>
                <w:color w:val="auto"/>
              </w:rPr>
            </w:pPr>
            <w:r w:rsidRPr="009F21BD">
              <w:rPr>
                <w:color w:val="auto"/>
              </w:rPr>
              <w:t xml:space="preserve">W sytuacjach zakłóceniowych w systemie elektroenergetycznym, wyżej określony gradient zmian obciążenia może być przekroczony przez elektrownie wiatrowe uczestniczące w regulacji częstotliwości lub w sytuacji, gdy OSDn poleci szybkie odciążenie lub, jeśli jest to technicznie możliwe, dociążenie elektrowni wiatrowej. </w:t>
            </w:r>
          </w:p>
        </w:tc>
      </w:tr>
      <w:tr w:rsidR="00C9316D" w:rsidRPr="009F21BD" w14:paraId="0DA38DCC" w14:textId="77777777" w:rsidTr="00F5641B">
        <w:tc>
          <w:tcPr>
            <w:tcW w:w="1063" w:type="dxa"/>
            <w:shd w:val="clear" w:color="auto" w:fill="auto"/>
          </w:tcPr>
          <w:p w14:paraId="6593F5D7" w14:textId="77777777" w:rsidR="00C9316D" w:rsidRPr="009F21BD" w:rsidRDefault="00C9316D" w:rsidP="00E72E03">
            <w:pPr>
              <w:jc w:val="both"/>
            </w:pPr>
            <w:r w:rsidRPr="009F21BD">
              <w:t>7.2.4.</w:t>
            </w:r>
          </w:p>
        </w:tc>
        <w:tc>
          <w:tcPr>
            <w:tcW w:w="8147" w:type="dxa"/>
            <w:shd w:val="clear" w:color="auto" w:fill="auto"/>
          </w:tcPr>
          <w:p w14:paraId="784B193C" w14:textId="77777777" w:rsidR="00C9316D" w:rsidRPr="009F21BD" w:rsidRDefault="00C9316D" w:rsidP="00E72E03">
            <w:pPr>
              <w:pStyle w:val="Default"/>
              <w:jc w:val="both"/>
              <w:rPr>
                <w:color w:val="auto"/>
              </w:rPr>
            </w:pPr>
            <w:r w:rsidRPr="009F21BD">
              <w:rPr>
                <w:color w:val="auto"/>
              </w:rPr>
              <w:t xml:space="preserve">Farma wiatrowa powinna być wyposażona w system sterowania i regulacji mocy czynnej umożliwiający: </w:t>
            </w:r>
          </w:p>
          <w:p w14:paraId="741414B8" w14:textId="77777777" w:rsidR="00C9316D" w:rsidRPr="009F21BD" w:rsidRDefault="00C9316D">
            <w:pPr>
              <w:pStyle w:val="Default"/>
              <w:numPr>
                <w:ilvl w:val="0"/>
                <w:numId w:val="207"/>
              </w:numPr>
              <w:ind w:left="358" w:hanging="284"/>
              <w:jc w:val="both"/>
              <w:rPr>
                <w:color w:val="auto"/>
              </w:rPr>
            </w:pPr>
            <w:r w:rsidRPr="009F21BD">
              <w:rPr>
                <w:color w:val="auto"/>
              </w:rPr>
              <w:t xml:space="preserve">pracę farmy wiatrowej bez ograniczeń, odpowiednio do warunków wiatrowych. Podczas pracy farmy wiatrowej bez ograniczeń, odpowiednio do warunków wiatrowych, a także w trakcie uruchomień i odstawień farmy wiatrowej, gradient średni zmiany mocy czynnej farmy wiatrowej nie może przekraczać 10% mocy znamionowej farmy wiatrowej na minutę. </w:t>
            </w:r>
            <w:r>
              <w:rPr>
                <w:color w:val="auto"/>
              </w:rPr>
              <w:br/>
            </w:r>
            <w:r w:rsidRPr="009F21BD">
              <w:rPr>
                <w:color w:val="auto"/>
              </w:rPr>
              <w:lastRenderedPageBreak/>
              <w:t xml:space="preserve">W przypadku przekroczenia maksymalnej dopuszczalnej prędkości wiatru proces odstawiania z pracy poszczególnych turbin wiatrowych powinien odbywać się w jak najdłuższym czasie, przy zapewnieniu bezpieczeństwa urządzeń. </w:t>
            </w:r>
          </w:p>
          <w:p w14:paraId="416BD5D9" w14:textId="77777777" w:rsidR="00C9316D" w:rsidRPr="009F21BD" w:rsidRDefault="00C9316D">
            <w:pPr>
              <w:pStyle w:val="Default"/>
              <w:numPr>
                <w:ilvl w:val="0"/>
                <w:numId w:val="207"/>
              </w:numPr>
              <w:ind w:left="358" w:hanging="284"/>
              <w:jc w:val="both"/>
              <w:rPr>
                <w:color w:val="auto"/>
              </w:rPr>
            </w:pPr>
            <w:r w:rsidRPr="009F21BD">
              <w:rPr>
                <w:color w:val="auto"/>
              </w:rPr>
              <w:t>ograniczanie maksymalnego dopuszczalnego obciążenia mocą czynną (wykorzystanie interwencyjne farmy wiatrowej). Wartość zadanej, w trybie interwencyjnym przez operatora systemu, mocy czynnej powinna być utrzymywana z dokładnością co najmniej ±5% Pz (wartości zadanej), przy uwzględnieniu ograniczeń wynikających z warunków wiatrowych. Prędkość redukcji mocy, powinna wynosić domyślnie 2% mocy znamionowej farmy wiatrowej na sekundę, w zakresie obciążenia farmy od 100% do 20% mocy znamionowej. W przypadku pracy farmy z obciążeniem poniżej 20% mocy znamionowej, dopuszcza się mniejszą prędkość redukcji mocy</w:t>
            </w:r>
            <w:r w:rsidR="005E2FF4">
              <w:rPr>
                <w:color w:val="auto"/>
              </w:rPr>
              <w:t>,</w:t>
            </w:r>
            <w:r w:rsidRPr="009F21BD">
              <w:rPr>
                <w:color w:val="auto"/>
              </w:rPr>
              <w:t xml:space="preserve"> ale nie mniejszą niż 10% mocy znamionowej na minutę. </w:t>
            </w:r>
          </w:p>
          <w:p w14:paraId="60F7BB2C" w14:textId="77777777" w:rsidR="00C9316D" w:rsidRPr="009F21BD" w:rsidRDefault="00C9316D">
            <w:pPr>
              <w:pStyle w:val="Default"/>
              <w:numPr>
                <w:ilvl w:val="0"/>
                <w:numId w:val="207"/>
              </w:numPr>
              <w:ind w:left="350" w:hanging="284"/>
              <w:jc w:val="both"/>
              <w:rPr>
                <w:color w:val="auto"/>
              </w:rPr>
            </w:pPr>
            <w:r w:rsidRPr="009F21BD">
              <w:rPr>
                <w:color w:val="auto"/>
              </w:rPr>
              <w:t xml:space="preserve">automatyczną redukcję mocy czynnej, przy wzroście częstotliwości. Przy wzroście częstotliwości w miejscu przyłączenia farmy wiatrowej, układ regulacji mocy czynnej farmy wiatrowej, powinien być zdolny do automatycznej redukcji mocy czynnej, zgodnie z ustawioną charakterystyką statyczną przedstawioną na rysunku poniżej. W takim przypadku jako wartość domyślną prędkości redukcji mocy czynnej, należy przyjąć 5% mocy znamionowej farmy wiatrowej na sekundę dla całego zakresu obciążenia mocą czynną farmy wiatrowej. </w:t>
            </w:r>
          </w:p>
          <w:p w14:paraId="1AD482EB" w14:textId="77777777" w:rsidR="00C9316D" w:rsidRPr="009F21BD" w:rsidRDefault="00C9316D" w:rsidP="00E72E03">
            <w:pPr>
              <w:pStyle w:val="Default"/>
              <w:ind w:left="355"/>
              <w:jc w:val="both"/>
              <w:rPr>
                <w:color w:val="auto"/>
              </w:rPr>
            </w:pPr>
          </w:p>
          <w:p w14:paraId="65AF357B" w14:textId="77777777" w:rsidR="00C9316D" w:rsidRPr="009F21BD" w:rsidRDefault="00C9316D" w:rsidP="00E72E03">
            <w:pPr>
              <w:pStyle w:val="Default"/>
              <w:ind w:left="355"/>
              <w:jc w:val="both"/>
              <w:rPr>
                <w:color w:val="auto"/>
              </w:rPr>
            </w:pPr>
          </w:p>
        </w:tc>
      </w:tr>
      <w:tr w:rsidR="00C9316D" w:rsidRPr="009F21BD" w14:paraId="02C51F24" w14:textId="77777777" w:rsidTr="00F5641B">
        <w:tc>
          <w:tcPr>
            <w:tcW w:w="1063" w:type="dxa"/>
            <w:shd w:val="clear" w:color="auto" w:fill="auto"/>
          </w:tcPr>
          <w:p w14:paraId="568383FB" w14:textId="77777777" w:rsidR="00C9316D" w:rsidRPr="009F21BD" w:rsidRDefault="00C9316D" w:rsidP="00C9316D">
            <w:pPr>
              <w:spacing w:before="120"/>
              <w:jc w:val="both"/>
            </w:pPr>
          </w:p>
        </w:tc>
        <w:tc>
          <w:tcPr>
            <w:tcW w:w="8147" w:type="dxa"/>
            <w:shd w:val="clear" w:color="auto" w:fill="auto"/>
          </w:tcPr>
          <w:p w14:paraId="0E6B08DB" w14:textId="77777777" w:rsidR="00C9316D" w:rsidRPr="009F21BD" w:rsidRDefault="00215949" w:rsidP="00C9316D">
            <w:pPr>
              <w:pStyle w:val="Default"/>
              <w:spacing w:before="120"/>
              <w:jc w:val="both"/>
              <w:rPr>
                <w:color w:val="auto"/>
              </w:rPr>
            </w:pPr>
            <w:r>
              <w:rPr>
                <w:noProof/>
                <w:color w:val="auto"/>
              </w:rPr>
              <w:drawing>
                <wp:inline distT="0" distB="0" distL="0" distR="0" wp14:anchorId="59CA32C9" wp14:editId="3D0B2F13">
                  <wp:extent cx="4914900" cy="3171825"/>
                  <wp:effectExtent l="0" t="0" r="0" b="9525"/>
                  <wp:docPr id="17" name="Obraz 17" descr="fgbs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gbsf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4900" cy="3171825"/>
                          </a:xfrm>
                          <a:prstGeom prst="rect">
                            <a:avLst/>
                          </a:prstGeom>
                          <a:noFill/>
                          <a:ln>
                            <a:noFill/>
                          </a:ln>
                        </pic:spPr>
                      </pic:pic>
                    </a:graphicData>
                  </a:graphic>
                </wp:inline>
              </w:drawing>
            </w:r>
          </w:p>
          <w:p w14:paraId="3B3F76C7" w14:textId="77777777" w:rsidR="00C9316D" w:rsidRPr="009F21BD" w:rsidRDefault="00C9316D" w:rsidP="00C9316D">
            <w:pPr>
              <w:pStyle w:val="Default"/>
              <w:spacing w:before="120"/>
              <w:jc w:val="both"/>
              <w:rPr>
                <w:color w:val="auto"/>
              </w:rPr>
            </w:pPr>
          </w:p>
          <w:p w14:paraId="0CBC7322" w14:textId="77777777" w:rsidR="00C9316D" w:rsidRPr="009F21BD" w:rsidRDefault="00C9316D" w:rsidP="00C9316D">
            <w:pPr>
              <w:pStyle w:val="Default"/>
              <w:spacing w:before="120"/>
              <w:jc w:val="both"/>
              <w:rPr>
                <w:color w:val="auto"/>
              </w:rPr>
            </w:pPr>
          </w:p>
          <w:p w14:paraId="349993BA" w14:textId="77777777" w:rsidR="00C9316D" w:rsidRPr="009F21BD" w:rsidRDefault="00C9316D" w:rsidP="00C9316D">
            <w:pPr>
              <w:pStyle w:val="Default"/>
              <w:spacing w:before="120"/>
              <w:jc w:val="both"/>
              <w:rPr>
                <w:color w:val="auto"/>
              </w:rPr>
            </w:pPr>
          </w:p>
        </w:tc>
      </w:tr>
      <w:tr w:rsidR="00C9316D" w:rsidRPr="009F21BD" w14:paraId="562189C7" w14:textId="77777777" w:rsidTr="005E2FF4">
        <w:trPr>
          <w:trHeight w:val="7485"/>
        </w:trPr>
        <w:tc>
          <w:tcPr>
            <w:tcW w:w="1063" w:type="dxa"/>
            <w:shd w:val="clear" w:color="auto" w:fill="auto"/>
          </w:tcPr>
          <w:p w14:paraId="5F485003" w14:textId="77777777" w:rsidR="00C9316D" w:rsidRPr="009F21BD" w:rsidRDefault="00C9316D" w:rsidP="00C9316D">
            <w:pPr>
              <w:spacing w:before="120"/>
              <w:jc w:val="both"/>
            </w:pPr>
          </w:p>
        </w:tc>
        <w:tc>
          <w:tcPr>
            <w:tcW w:w="814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9"/>
              <w:gridCol w:w="850"/>
              <w:gridCol w:w="2835"/>
              <w:gridCol w:w="1276"/>
              <w:gridCol w:w="1972"/>
            </w:tblGrid>
            <w:tr w:rsidR="00C9316D" w:rsidRPr="009F21BD" w14:paraId="6C0CA803" w14:textId="77777777" w:rsidTr="00F5641B">
              <w:tc>
                <w:tcPr>
                  <w:tcW w:w="1059" w:type="dxa"/>
                  <w:shd w:val="clear" w:color="auto" w:fill="auto"/>
                </w:tcPr>
                <w:p w14:paraId="74327C2C" w14:textId="77777777" w:rsidR="00C9316D" w:rsidRPr="009F21BD" w:rsidRDefault="00C9316D" w:rsidP="00C9316D">
                  <w:pPr>
                    <w:pStyle w:val="Default"/>
                    <w:spacing w:before="120"/>
                    <w:jc w:val="both"/>
                    <w:rPr>
                      <w:b/>
                      <w:color w:val="auto"/>
                      <w:sz w:val="20"/>
                      <w:szCs w:val="20"/>
                    </w:rPr>
                  </w:pPr>
                  <w:r w:rsidRPr="009F21BD">
                    <w:rPr>
                      <w:b/>
                      <w:color w:val="auto"/>
                      <w:sz w:val="20"/>
                      <w:szCs w:val="20"/>
                    </w:rPr>
                    <w:t>Symbol</w:t>
                  </w:r>
                </w:p>
              </w:tc>
              <w:tc>
                <w:tcPr>
                  <w:tcW w:w="850" w:type="dxa"/>
                  <w:shd w:val="clear" w:color="auto" w:fill="auto"/>
                </w:tcPr>
                <w:p w14:paraId="4FD2A935" w14:textId="77777777" w:rsidR="00C9316D" w:rsidRPr="009F21BD" w:rsidRDefault="00C9316D" w:rsidP="00C9316D">
                  <w:pPr>
                    <w:pStyle w:val="Default"/>
                    <w:spacing w:before="120"/>
                    <w:jc w:val="both"/>
                    <w:rPr>
                      <w:b/>
                      <w:color w:val="auto"/>
                      <w:sz w:val="20"/>
                      <w:szCs w:val="20"/>
                    </w:rPr>
                  </w:pPr>
                  <w:r w:rsidRPr="009F21BD">
                    <w:rPr>
                      <w:b/>
                      <w:color w:val="auto"/>
                      <w:sz w:val="20"/>
                      <w:szCs w:val="20"/>
                    </w:rPr>
                    <w:t>Jedn.</w:t>
                  </w:r>
                </w:p>
              </w:tc>
              <w:tc>
                <w:tcPr>
                  <w:tcW w:w="2835" w:type="dxa"/>
                  <w:shd w:val="clear" w:color="auto" w:fill="auto"/>
                </w:tcPr>
                <w:p w14:paraId="5FB22E98" w14:textId="77777777" w:rsidR="00C9316D" w:rsidRPr="009F21BD" w:rsidRDefault="00C9316D" w:rsidP="00C9316D">
                  <w:pPr>
                    <w:pStyle w:val="Default"/>
                    <w:spacing w:before="120"/>
                    <w:jc w:val="both"/>
                    <w:rPr>
                      <w:b/>
                      <w:color w:val="auto"/>
                      <w:sz w:val="20"/>
                      <w:szCs w:val="20"/>
                    </w:rPr>
                  </w:pPr>
                  <w:r w:rsidRPr="009F21BD">
                    <w:rPr>
                      <w:b/>
                      <w:color w:val="auto"/>
                      <w:sz w:val="20"/>
                      <w:szCs w:val="20"/>
                    </w:rPr>
                    <w:t>Opis</w:t>
                  </w:r>
                </w:p>
              </w:tc>
              <w:tc>
                <w:tcPr>
                  <w:tcW w:w="1276" w:type="dxa"/>
                  <w:shd w:val="clear" w:color="auto" w:fill="auto"/>
                </w:tcPr>
                <w:p w14:paraId="51B25CFA" w14:textId="77777777" w:rsidR="00C9316D" w:rsidRPr="009F21BD" w:rsidRDefault="00C9316D" w:rsidP="00C9316D">
                  <w:pPr>
                    <w:pStyle w:val="Default"/>
                    <w:spacing w:before="120"/>
                    <w:jc w:val="both"/>
                    <w:rPr>
                      <w:b/>
                      <w:color w:val="auto"/>
                      <w:sz w:val="20"/>
                      <w:szCs w:val="20"/>
                    </w:rPr>
                  </w:pPr>
                  <w:r w:rsidRPr="009F21BD">
                    <w:rPr>
                      <w:b/>
                      <w:color w:val="auto"/>
                      <w:sz w:val="20"/>
                      <w:szCs w:val="20"/>
                    </w:rPr>
                    <w:t xml:space="preserve">Wartość domyślna </w:t>
                  </w:r>
                </w:p>
              </w:tc>
              <w:tc>
                <w:tcPr>
                  <w:tcW w:w="1972" w:type="dxa"/>
                  <w:shd w:val="clear" w:color="auto" w:fill="auto"/>
                </w:tcPr>
                <w:p w14:paraId="42A5C1E8" w14:textId="77777777" w:rsidR="00C9316D" w:rsidRPr="009F21BD" w:rsidRDefault="00C9316D" w:rsidP="00C9316D">
                  <w:pPr>
                    <w:pStyle w:val="Default"/>
                    <w:spacing w:before="120"/>
                    <w:rPr>
                      <w:b/>
                      <w:color w:val="auto"/>
                      <w:sz w:val="20"/>
                      <w:szCs w:val="20"/>
                    </w:rPr>
                  </w:pPr>
                  <w:r w:rsidRPr="009F21BD">
                    <w:rPr>
                      <w:b/>
                      <w:color w:val="auto"/>
                      <w:sz w:val="20"/>
                      <w:szCs w:val="20"/>
                    </w:rPr>
                    <w:t>Zakres nastawczy parametru ustawialnego</w:t>
                  </w:r>
                </w:p>
              </w:tc>
            </w:tr>
            <w:tr w:rsidR="00C9316D" w:rsidRPr="009F21BD" w14:paraId="45B7C209" w14:textId="77777777" w:rsidTr="00F5641B">
              <w:tc>
                <w:tcPr>
                  <w:tcW w:w="1059" w:type="dxa"/>
                  <w:shd w:val="clear" w:color="auto" w:fill="auto"/>
                </w:tcPr>
                <w:p w14:paraId="3C9666EA" w14:textId="77777777" w:rsidR="00C9316D" w:rsidRPr="009F21BD" w:rsidRDefault="00C9316D" w:rsidP="00C9316D">
                  <w:pPr>
                    <w:pStyle w:val="Default"/>
                    <w:spacing w:before="120"/>
                    <w:jc w:val="both"/>
                    <w:rPr>
                      <w:color w:val="auto"/>
                      <w:sz w:val="20"/>
                      <w:szCs w:val="20"/>
                    </w:rPr>
                  </w:pPr>
                  <w:r w:rsidRPr="009F21BD">
                    <w:rPr>
                      <w:color w:val="auto"/>
                      <w:sz w:val="20"/>
                      <w:szCs w:val="20"/>
                    </w:rPr>
                    <w:t>f</w:t>
                  </w:r>
                  <w:r w:rsidRPr="009F21BD">
                    <w:rPr>
                      <w:color w:val="auto"/>
                      <w:sz w:val="20"/>
                      <w:szCs w:val="20"/>
                      <w:vertAlign w:val="subscript"/>
                    </w:rPr>
                    <w:t>n</w:t>
                  </w:r>
                </w:p>
              </w:tc>
              <w:tc>
                <w:tcPr>
                  <w:tcW w:w="850" w:type="dxa"/>
                  <w:shd w:val="clear" w:color="auto" w:fill="auto"/>
                </w:tcPr>
                <w:p w14:paraId="70F6E12B" w14:textId="77777777" w:rsidR="00C9316D" w:rsidRPr="009F21BD" w:rsidRDefault="00C9316D" w:rsidP="00C9316D">
                  <w:pPr>
                    <w:pStyle w:val="Default"/>
                    <w:spacing w:before="120"/>
                    <w:jc w:val="both"/>
                    <w:rPr>
                      <w:color w:val="auto"/>
                      <w:sz w:val="20"/>
                      <w:szCs w:val="20"/>
                    </w:rPr>
                  </w:pPr>
                  <w:r w:rsidRPr="009F21BD">
                    <w:rPr>
                      <w:color w:val="auto"/>
                      <w:sz w:val="20"/>
                      <w:szCs w:val="20"/>
                    </w:rPr>
                    <w:t>Hz</w:t>
                  </w:r>
                </w:p>
              </w:tc>
              <w:tc>
                <w:tcPr>
                  <w:tcW w:w="2835" w:type="dxa"/>
                  <w:shd w:val="clear" w:color="auto" w:fill="auto"/>
                </w:tcPr>
                <w:p w14:paraId="4A29175F" w14:textId="77777777" w:rsidR="00C9316D" w:rsidRPr="009F21BD" w:rsidRDefault="00C9316D" w:rsidP="00C9316D">
                  <w:pPr>
                    <w:pStyle w:val="Default"/>
                    <w:spacing w:before="120"/>
                    <w:rPr>
                      <w:color w:val="auto"/>
                      <w:sz w:val="20"/>
                      <w:szCs w:val="20"/>
                    </w:rPr>
                  </w:pPr>
                  <w:r w:rsidRPr="009F21BD">
                    <w:rPr>
                      <w:color w:val="auto"/>
                      <w:sz w:val="20"/>
                      <w:szCs w:val="20"/>
                    </w:rPr>
                    <w:t>Nominalna wartość częstotliwości sieci</w:t>
                  </w:r>
                </w:p>
              </w:tc>
              <w:tc>
                <w:tcPr>
                  <w:tcW w:w="1276" w:type="dxa"/>
                  <w:shd w:val="clear" w:color="auto" w:fill="auto"/>
                </w:tcPr>
                <w:p w14:paraId="25726EF4" w14:textId="77777777" w:rsidR="00C9316D" w:rsidRPr="009F21BD" w:rsidRDefault="00C9316D" w:rsidP="00C9316D">
                  <w:pPr>
                    <w:pStyle w:val="Default"/>
                    <w:spacing w:before="120"/>
                    <w:jc w:val="both"/>
                    <w:rPr>
                      <w:color w:val="auto"/>
                      <w:sz w:val="20"/>
                      <w:szCs w:val="20"/>
                    </w:rPr>
                  </w:pPr>
                  <w:r w:rsidRPr="009F21BD">
                    <w:rPr>
                      <w:color w:val="auto"/>
                      <w:sz w:val="20"/>
                      <w:szCs w:val="20"/>
                    </w:rPr>
                    <w:t>50</w:t>
                  </w:r>
                </w:p>
              </w:tc>
              <w:tc>
                <w:tcPr>
                  <w:tcW w:w="1972" w:type="dxa"/>
                  <w:shd w:val="clear" w:color="auto" w:fill="auto"/>
                </w:tcPr>
                <w:p w14:paraId="32175F82" w14:textId="77777777" w:rsidR="00C9316D" w:rsidRPr="009F21BD" w:rsidRDefault="00C9316D" w:rsidP="00C9316D">
                  <w:pPr>
                    <w:pStyle w:val="Default"/>
                    <w:spacing w:before="120"/>
                    <w:jc w:val="both"/>
                    <w:rPr>
                      <w:color w:val="auto"/>
                      <w:sz w:val="20"/>
                      <w:szCs w:val="20"/>
                    </w:rPr>
                  </w:pPr>
                  <w:r w:rsidRPr="009F21BD">
                    <w:rPr>
                      <w:color w:val="auto"/>
                      <w:sz w:val="20"/>
                      <w:szCs w:val="20"/>
                    </w:rPr>
                    <w:t>nie dotyczy</w:t>
                  </w:r>
                </w:p>
              </w:tc>
            </w:tr>
            <w:tr w:rsidR="00C9316D" w:rsidRPr="009F21BD" w14:paraId="4D58245E" w14:textId="77777777" w:rsidTr="00F5641B">
              <w:tc>
                <w:tcPr>
                  <w:tcW w:w="1059" w:type="dxa"/>
                  <w:shd w:val="clear" w:color="auto" w:fill="auto"/>
                </w:tcPr>
                <w:p w14:paraId="359BBBDF" w14:textId="77777777" w:rsidR="00C9316D" w:rsidRPr="009F21BD" w:rsidRDefault="00C9316D" w:rsidP="00C9316D">
                  <w:pPr>
                    <w:pStyle w:val="Default"/>
                    <w:spacing w:before="120"/>
                    <w:jc w:val="both"/>
                    <w:rPr>
                      <w:color w:val="auto"/>
                      <w:sz w:val="20"/>
                      <w:szCs w:val="20"/>
                    </w:rPr>
                  </w:pPr>
                  <w:r w:rsidRPr="009F21BD">
                    <w:rPr>
                      <w:color w:val="auto"/>
                      <w:sz w:val="20"/>
                      <w:szCs w:val="20"/>
                    </w:rPr>
                    <w:t>f</w:t>
                  </w:r>
                  <w:r w:rsidRPr="009F21BD">
                    <w:rPr>
                      <w:color w:val="auto"/>
                      <w:sz w:val="20"/>
                      <w:szCs w:val="20"/>
                      <w:vertAlign w:val="subscript"/>
                    </w:rPr>
                    <w:t>min</w:t>
                  </w:r>
                </w:p>
              </w:tc>
              <w:tc>
                <w:tcPr>
                  <w:tcW w:w="850" w:type="dxa"/>
                  <w:shd w:val="clear" w:color="auto" w:fill="auto"/>
                </w:tcPr>
                <w:p w14:paraId="3283235E" w14:textId="77777777" w:rsidR="00C9316D" w:rsidRPr="009F21BD" w:rsidRDefault="00C9316D" w:rsidP="00C9316D">
                  <w:pPr>
                    <w:pStyle w:val="Default"/>
                    <w:spacing w:before="120"/>
                    <w:jc w:val="both"/>
                    <w:rPr>
                      <w:color w:val="auto"/>
                      <w:sz w:val="20"/>
                      <w:szCs w:val="20"/>
                    </w:rPr>
                  </w:pPr>
                  <w:r w:rsidRPr="009F21BD">
                    <w:rPr>
                      <w:color w:val="auto"/>
                      <w:sz w:val="20"/>
                      <w:szCs w:val="20"/>
                    </w:rPr>
                    <w:t>Hz</w:t>
                  </w:r>
                </w:p>
              </w:tc>
              <w:tc>
                <w:tcPr>
                  <w:tcW w:w="2835" w:type="dxa"/>
                  <w:shd w:val="clear" w:color="auto" w:fill="auto"/>
                </w:tcPr>
                <w:p w14:paraId="6BF0A051" w14:textId="77777777" w:rsidR="00C9316D" w:rsidRPr="009F21BD" w:rsidRDefault="00C9316D" w:rsidP="00C9316D">
                  <w:pPr>
                    <w:pStyle w:val="Default"/>
                    <w:spacing w:before="120"/>
                    <w:rPr>
                      <w:color w:val="auto"/>
                      <w:sz w:val="20"/>
                      <w:szCs w:val="20"/>
                    </w:rPr>
                  </w:pPr>
                  <w:r w:rsidRPr="009F21BD">
                    <w:rPr>
                      <w:color w:val="auto"/>
                      <w:sz w:val="20"/>
                      <w:szCs w:val="20"/>
                    </w:rPr>
                    <w:t xml:space="preserve">Minimalna wartość częstotliwości </w:t>
                  </w:r>
                  <w:r w:rsidRPr="009F21BD">
                    <w:rPr>
                      <w:color w:val="auto"/>
                      <w:sz w:val="20"/>
                      <w:szCs w:val="20"/>
                    </w:rPr>
                    <w:br/>
                    <w:t>w miejscu przyłączenia elektrowni wiatrowej, przy której następuje redukcja generowanej mocy czynnej</w:t>
                  </w:r>
                </w:p>
              </w:tc>
              <w:tc>
                <w:tcPr>
                  <w:tcW w:w="1276" w:type="dxa"/>
                  <w:shd w:val="clear" w:color="auto" w:fill="auto"/>
                </w:tcPr>
                <w:p w14:paraId="09433518" w14:textId="77777777" w:rsidR="00C9316D" w:rsidRPr="009F21BD" w:rsidRDefault="00C9316D" w:rsidP="00C9316D">
                  <w:pPr>
                    <w:pStyle w:val="Default"/>
                    <w:spacing w:before="120"/>
                    <w:jc w:val="both"/>
                    <w:rPr>
                      <w:color w:val="auto"/>
                      <w:sz w:val="20"/>
                      <w:szCs w:val="20"/>
                    </w:rPr>
                  </w:pPr>
                  <w:r w:rsidRPr="009F21BD">
                    <w:rPr>
                      <w:color w:val="auto"/>
                      <w:sz w:val="20"/>
                      <w:szCs w:val="20"/>
                    </w:rPr>
                    <w:t>50,5</w:t>
                  </w:r>
                </w:p>
              </w:tc>
              <w:tc>
                <w:tcPr>
                  <w:tcW w:w="1972" w:type="dxa"/>
                  <w:shd w:val="clear" w:color="auto" w:fill="auto"/>
                </w:tcPr>
                <w:p w14:paraId="7258A252" w14:textId="77777777" w:rsidR="00C9316D" w:rsidRPr="009F21BD" w:rsidRDefault="00C9316D" w:rsidP="00C9316D">
                  <w:pPr>
                    <w:pStyle w:val="Default"/>
                    <w:spacing w:before="120"/>
                    <w:jc w:val="both"/>
                    <w:rPr>
                      <w:color w:val="auto"/>
                      <w:sz w:val="20"/>
                      <w:szCs w:val="20"/>
                    </w:rPr>
                  </w:pPr>
                  <w:r w:rsidRPr="009F21BD">
                    <w:rPr>
                      <w:color w:val="auto"/>
                      <w:sz w:val="20"/>
                      <w:szCs w:val="20"/>
                    </w:rPr>
                    <w:t>(50÷51) Hz</w:t>
                  </w:r>
                </w:p>
              </w:tc>
            </w:tr>
            <w:tr w:rsidR="00C9316D" w:rsidRPr="009F21BD" w14:paraId="590AACD2" w14:textId="77777777" w:rsidTr="00F5641B">
              <w:tc>
                <w:tcPr>
                  <w:tcW w:w="1059" w:type="dxa"/>
                  <w:shd w:val="clear" w:color="auto" w:fill="auto"/>
                </w:tcPr>
                <w:p w14:paraId="4977F84C" w14:textId="77777777" w:rsidR="00C9316D" w:rsidRPr="009F21BD" w:rsidRDefault="00C9316D" w:rsidP="00C9316D">
                  <w:pPr>
                    <w:pStyle w:val="Default"/>
                    <w:spacing w:before="120"/>
                    <w:jc w:val="both"/>
                    <w:rPr>
                      <w:color w:val="auto"/>
                      <w:sz w:val="20"/>
                      <w:szCs w:val="20"/>
                    </w:rPr>
                  </w:pPr>
                  <w:r w:rsidRPr="009F21BD">
                    <w:rPr>
                      <w:color w:val="auto"/>
                      <w:sz w:val="20"/>
                      <w:szCs w:val="20"/>
                    </w:rPr>
                    <w:t>f</w:t>
                  </w:r>
                  <w:r w:rsidRPr="009F21BD">
                    <w:rPr>
                      <w:color w:val="auto"/>
                      <w:sz w:val="20"/>
                      <w:szCs w:val="20"/>
                      <w:vertAlign w:val="subscript"/>
                    </w:rPr>
                    <w:t>max</w:t>
                  </w:r>
                </w:p>
              </w:tc>
              <w:tc>
                <w:tcPr>
                  <w:tcW w:w="850" w:type="dxa"/>
                  <w:shd w:val="clear" w:color="auto" w:fill="auto"/>
                </w:tcPr>
                <w:p w14:paraId="1A7D66C2" w14:textId="77777777" w:rsidR="00C9316D" w:rsidRPr="009F21BD" w:rsidRDefault="00C9316D" w:rsidP="00C9316D">
                  <w:pPr>
                    <w:pStyle w:val="Default"/>
                    <w:spacing w:before="120"/>
                    <w:jc w:val="both"/>
                    <w:rPr>
                      <w:color w:val="auto"/>
                      <w:sz w:val="20"/>
                      <w:szCs w:val="20"/>
                    </w:rPr>
                  </w:pPr>
                  <w:r w:rsidRPr="009F21BD">
                    <w:rPr>
                      <w:color w:val="auto"/>
                      <w:sz w:val="20"/>
                      <w:szCs w:val="20"/>
                    </w:rPr>
                    <w:t>Hz</w:t>
                  </w:r>
                </w:p>
              </w:tc>
              <w:tc>
                <w:tcPr>
                  <w:tcW w:w="2835" w:type="dxa"/>
                  <w:shd w:val="clear" w:color="auto" w:fill="auto"/>
                </w:tcPr>
                <w:p w14:paraId="57DBF093" w14:textId="77777777" w:rsidR="00C9316D" w:rsidRPr="009F21BD" w:rsidRDefault="00C9316D" w:rsidP="00C9316D">
                  <w:pPr>
                    <w:pStyle w:val="Default"/>
                    <w:spacing w:before="120"/>
                    <w:rPr>
                      <w:color w:val="auto"/>
                      <w:sz w:val="20"/>
                      <w:szCs w:val="20"/>
                    </w:rPr>
                  </w:pPr>
                  <w:r w:rsidRPr="009F21BD">
                    <w:rPr>
                      <w:color w:val="auto"/>
                      <w:sz w:val="20"/>
                      <w:szCs w:val="20"/>
                    </w:rPr>
                    <w:t>Maksymalna wartość częstotliwości w miejscu przyłączenia elektrowni wiatrowej, przy której generowana jest zerowa moc czynna</w:t>
                  </w:r>
                </w:p>
              </w:tc>
              <w:tc>
                <w:tcPr>
                  <w:tcW w:w="1276" w:type="dxa"/>
                  <w:shd w:val="clear" w:color="auto" w:fill="auto"/>
                </w:tcPr>
                <w:p w14:paraId="2BA917E9" w14:textId="77777777" w:rsidR="00C9316D" w:rsidRPr="009F21BD" w:rsidRDefault="00C9316D" w:rsidP="00C9316D">
                  <w:pPr>
                    <w:pStyle w:val="Default"/>
                    <w:spacing w:before="120"/>
                    <w:jc w:val="both"/>
                    <w:rPr>
                      <w:color w:val="auto"/>
                      <w:sz w:val="20"/>
                      <w:szCs w:val="20"/>
                    </w:rPr>
                  </w:pPr>
                  <w:r w:rsidRPr="009F21BD">
                    <w:rPr>
                      <w:color w:val="auto"/>
                      <w:sz w:val="20"/>
                      <w:szCs w:val="20"/>
                    </w:rPr>
                    <w:t>51,5</w:t>
                  </w:r>
                </w:p>
              </w:tc>
              <w:tc>
                <w:tcPr>
                  <w:tcW w:w="1972" w:type="dxa"/>
                  <w:shd w:val="clear" w:color="auto" w:fill="auto"/>
                </w:tcPr>
                <w:p w14:paraId="11071DB0" w14:textId="77777777" w:rsidR="00C9316D" w:rsidRPr="009F21BD" w:rsidRDefault="00C9316D" w:rsidP="00C9316D">
                  <w:pPr>
                    <w:pStyle w:val="Default"/>
                    <w:spacing w:before="120"/>
                    <w:jc w:val="both"/>
                    <w:rPr>
                      <w:color w:val="auto"/>
                      <w:sz w:val="20"/>
                      <w:szCs w:val="20"/>
                    </w:rPr>
                  </w:pPr>
                  <w:r w:rsidRPr="009F21BD">
                    <w:rPr>
                      <w:color w:val="auto"/>
                      <w:sz w:val="20"/>
                      <w:szCs w:val="20"/>
                    </w:rPr>
                    <w:t>(51÷f</w:t>
                  </w:r>
                  <w:r w:rsidRPr="009F21BD">
                    <w:rPr>
                      <w:color w:val="auto"/>
                      <w:sz w:val="20"/>
                      <w:szCs w:val="20"/>
                      <w:vertAlign w:val="subscript"/>
                    </w:rPr>
                    <w:t>gr</w:t>
                  </w:r>
                  <w:r w:rsidRPr="009F21BD">
                    <w:rPr>
                      <w:color w:val="auto"/>
                      <w:sz w:val="20"/>
                      <w:szCs w:val="20"/>
                    </w:rPr>
                    <w:t>) Hz</w:t>
                  </w:r>
                </w:p>
              </w:tc>
            </w:tr>
            <w:tr w:rsidR="00C9316D" w:rsidRPr="009F21BD" w14:paraId="02C4D081" w14:textId="77777777" w:rsidTr="00F5641B">
              <w:tc>
                <w:tcPr>
                  <w:tcW w:w="1059" w:type="dxa"/>
                  <w:shd w:val="clear" w:color="auto" w:fill="auto"/>
                </w:tcPr>
                <w:p w14:paraId="0994E3DC" w14:textId="77777777" w:rsidR="00C9316D" w:rsidRPr="009F21BD" w:rsidRDefault="00C9316D" w:rsidP="00C9316D">
                  <w:pPr>
                    <w:pStyle w:val="Default"/>
                    <w:spacing w:before="120"/>
                    <w:jc w:val="both"/>
                    <w:rPr>
                      <w:color w:val="auto"/>
                      <w:sz w:val="20"/>
                      <w:szCs w:val="20"/>
                    </w:rPr>
                  </w:pPr>
                  <w:r w:rsidRPr="009F21BD">
                    <w:rPr>
                      <w:color w:val="auto"/>
                      <w:sz w:val="20"/>
                      <w:szCs w:val="20"/>
                    </w:rPr>
                    <w:t>f</w:t>
                  </w:r>
                  <w:r w:rsidRPr="009F21BD">
                    <w:rPr>
                      <w:color w:val="auto"/>
                      <w:sz w:val="20"/>
                      <w:szCs w:val="20"/>
                      <w:vertAlign w:val="subscript"/>
                    </w:rPr>
                    <w:t>gr</w:t>
                  </w:r>
                </w:p>
              </w:tc>
              <w:tc>
                <w:tcPr>
                  <w:tcW w:w="850" w:type="dxa"/>
                  <w:shd w:val="clear" w:color="auto" w:fill="auto"/>
                </w:tcPr>
                <w:p w14:paraId="2FF63428" w14:textId="77777777" w:rsidR="00C9316D" w:rsidRPr="009F21BD" w:rsidRDefault="00C9316D" w:rsidP="00C9316D">
                  <w:pPr>
                    <w:pStyle w:val="Default"/>
                    <w:spacing w:before="120"/>
                    <w:jc w:val="both"/>
                    <w:rPr>
                      <w:color w:val="auto"/>
                      <w:sz w:val="20"/>
                      <w:szCs w:val="20"/>
                    </w:rPr>
                  </w:pPr>
                  <w:r w:rsidRPr="009F21BD">
                    <w:rPr>
                      <w:color w:val="auto"/>
                      <w:sz w:val="20"/>
                      <w:szCs w:val="20"/>
                    </w:rPr>
                    <w:t>Hz</w:t>
                  </w:r>
                </w:p>
              </w:tc>
              <w:tc>
                <w:tcPr>
                  <w:tcW w:w="2835" w:type="dxa"/>
                  <w:shd w:val="clear" w:color="auto" w:fill="auto"/>
                </w:tcPr>
                <w:p w14:paraId="133BB614" w14:textId="77777777" w:rsidR="00C9316D" w:rsidRPr="009F21BD" w:rsidRDefault="00C9316D" w:rsidP="00C9316D">
                  <w:pPr>
                    <w:pStyle w:val="Default"/>
                    <w:spacing w:before="120"/>
                    <w:rPr>
                      <w:color w:val="auto"/>
                      <w:sz w:val="20"/>
                      <w:szCs w:val="20"/>
                    </w:rPr>
                  </w:pPr>
                  <w:r w:rsidRPr="009F21BD">
                    <w:rPr>
                      <w:color w:val="auto"/>
                      <w:sz w:val="20"/>
                      <w:szCs w:val="20"/>
                    </w:rPr>
                    <w:t>Maksymalna bezpieczna częstotliwość pracy elektrowni wiatrowej</w:t>
                  </w:r>
                </w:p>
              </w:tc>
              <w:tc>
                <w:tcPr>
                  <w:tcW w:w="1276" w:type="dxa"/>
                  <w:shd w:val="clear" w:color="auto" w:fill="auto"/>
                </w:tcPr>
                <w:p w14:paraId="74C4E50B" w14:textId="77777777" w:rsidR="00C9316D" w:rsidRPr="009F21BD" w:rsidRDefault="00C9316D" w:rsidP="00C9316D">
                  <w:pPr>
                    <w:pStyle w:val="Default"/>
                    <w:spacing w:before="120"/>
                    <w:jc w:val="both"/>
                    <w:rPr>
                      <w:color w:val="auto"/>
                      <w:sz w:val="20"/>
                      <w:szCs w:val="20"/>
                    </w:rPr>
                  </w:pPr>
                  <w:r w:rsidRPr="009F21BD">
                    <w:rPr>
                      <w:color w:val="auto"/>
                      <w:sz w:val="20"/>
                      <w:szCs w:val="20"/>
                    </w:rPr>
                    <w:t>52,5</w:t>
                  </w:r>
                </w:p>
              </w:tc>
              <w:tc>
                <w:tcPr>
                  <w:tcW w:w="1972" w:type="dxa"/>
                  <w:shd w:val="clear" w:color="auto" w:fill="auto"/>
                </w:tcPr>
                <w:p w14:paraId="4093D7A6" w14:textId="77777777" w:rsidR="00C9316D" w:rsidRPr="009F21BD" w:rsidRDefault="00C9316D" w:rsidP="00C9316D">
                  <w:pPr>
                    <w:pStyle w:val="Default"/>
                    <w:spacing w:before="120"/>
                    <w:jc w:val="both"/>
                    <w:rPr>
                      <w:color w:val="auto"/>
                      <w:sz w:val="20"/>
                      <w:szCs w:val="20"/>
                    </w:rPr>
                  </w:pPr>
                  <w:r w:rsidRPr="009F21BD">
                    <w:rPr>
                      <w:color w:val="auto"/>
                      <w:sz w:val="20"/>
                      <w:szCs w:val="20"/>
                    </w:rPr>
                    <w:t>-</w:t>
                  </w:r>
                </w:p>
              </w:tc>
            </w:tr>
            <w:tr w:rsidR="00C9316D" w:rsidRPr="009F21BD" w14:paraId="3BF08D88" w14:textId="77777777" w:rsidTr="00F5641B">
              <w:tc>
                <w:tcPr>
                  <w:tcW w:w="1059" w:type="dxa"/>
                  <w:shd w:val="clear" w:color="auto" w:fill="auto"/>
                </w:tcPr>
                <w:p w14:paraId="537F8621" w14:textId="77777777" w:rsidR="00C9316D" w:rsidRPr="009F21BD" w:rsidRDefault="00C9316D" w:rsidP="00C9316D">
                  <w:pPr>
                    <w:pStyle w:val="Default"/>
                    <w:spacing w:before="120"/>
                    <w:jc w:val="both"/>
                    <w:rPr>
                      <w:color w:val="auto"/>
                      <w:sz w:val="20"/>
                      <w:szCs w:val="20"/>
                    </w:rPr>
                  </w:pPr>
                  <w:r w:rsidRPr="009F21BD">
                    <w:rPr>
                      <w:color w:val="auto"/>
                      <w:sz w:val="20"/>
                      <w:szCs w:val="20"/>
                    </w:rPr>
                    <w:t>P</w:t>
                  </w:r>
                  <w:r w:rsidRPr="009F21BD">
                    <w:rPr>
                      <w:color w:val="auto"/>
                      <w:sz w:val="20"/>
                      <w:szCs w:val="20"/>
                      <w:vertAlign w:val="subscript"/>
                    </w:rPr>
                    <w:t>max</w:t>
                  </w:r>
                </w:p>
              </w:tc>
              <w:tc>
                <w:tcPr>
                  <w:tcW w:w="850" w:type="dxa"/>
                  <w:shd w:val="clear" w:color="auto" w:fill="auto"/>
                </w:tcPr>
                <w:p w14:paraId="5E4992B4" w14:textId="77777777" w:rsidR="00C9316D" w:rsidRPr="009F21BD" w:rsidRDefault="00C9316D" w:rsidP="00C9316D">
                  <w:pPr>
                    <w:pStyle w:val="Default"/>
                    <w:spacing w:before="120"/>
                    <w:jc w:val="both"/>
                    <w:rPr>
                      <w:color w:val="auto"/>
                      <w:sz w:val="20"/>
                      <w:szCs w:val="20"/>
                    </w:rPr>
                  </w:pPr>
                  <w:r w:rsidRPr="009F21BD">
                    <w:rPr>
                      <w:color w:val="auto"/>
                      <w:sz w:val="20"/>
                      <w:szCs w:val="20"/>
                    </w:rPr>
                    <w:t>MW</w:t>
                  </w:r>
                </w:p>
              </w:tc>
              <w:tc>
                <w:tcPr>
                  <w:tcW w:w="2835" w:type="dxa"/>
                  <w:shd w:val="clear" w:color="auto" w:fill="auto"/>
                </w:tcPr>
                <w:p w14:paraId="478DF7C1" w14:textId="77777777" w:rsidR="00C9316D" w:rsidRPr="009F21BD" w:rsidRDefault="00C9316D" w:rsidP="00C9316D">
                  <w:pPr>
                    <w:pStyle w:val="Default"/>
                    <w:spacing w:before="120"/>
                    <w:rPr>
                      <w:color w:val="auto"/>
                      <w:sz w:val="20"/>
                      <w:szCs w:val="20"/>
                    </w:rPr>
                  </w:pPr>
                  <w:r w:rsidRPr="009F21BD">
                    <w:rPr>
                      <w:color w:val="auto"/>
                      <w:sz w:val="20"/>
                      <w:szCs w:val="20"/>
                    </w:rPr>
                    <w:t>Moc elektrowni wiatrowej z jaką elektrownia pracowała w momencie wzrostu częstotliwości  sieci do wartości 50,5 Hz</w:t>
                  </w:r>
                </w:p>
              </w:tc>
              <w:tc>
                <w:tcPr>
                  <w:tcW w:w="1276" w:type="dxa"/>
                  <w:shd w:val="clear" w:color="auto" w:fill="auto"/>
                </w:tcPr>
                <w:p w14:paraId="2C668453" w14:textId="77777777" w:rsidR="00C9316D" w:rsidRPr="009F21BD" w:rsidRDefault="00C9316D" w:rsidP="00C9316D">
                  <w:pPr>
                    <w:pStyle w:val="Default"/>
                    <w:spacing w:before="120"/>
                    <w:jc w:val="both"/>
                    <w:rPr>
                      <w:color w:val="auto"/>
                      <w:sz w:val="20"/>
                      <w:szCs w:val="20"/>
                    </w:rPr>
                  </w:pPr>
                  <w:r w:rsidRPr="009F21BD">
                    <w:rPr>
                      <w:color w:val="auto"/>
                      <w:sz w:val="20"/>
                      <w:szCs w:val="20"/>
                    </w:rPr>
                    <w:t>-</w:t>
                  </w:r>
                </w:p>
              </w:tc>
              <w:tc>
                <w:tcPr>
                  <w:tcW w:w="1972" w:type="dxa"/>
                  <w:shd w:val="clear" w:color="auto" w:fill="auto"/>
                </w:tcPr>
                <w:p w14:paraId="73EF3C7D" w14:textId="77777777" w:rsidR="00C9316D" w:rsidRPr="009F21BD" w:rsidRDefault="00C9316D" w:rsidP="00C9316D">
                  <w:pPr>
                    <w:pStyle w:val="Default"/>
                    <w:spacing w:before="120"/>
                    <w:jc w:val="both"/>
                    <w:rPr>
                      <w:color w:val="auto"/>
                      <w:sz w:val="20"/>
                      <w:szCs w:val="20"/>
                    </w:rPr>
                  </w:pPr>
                  <w:r w:rsidRPr="009F21BD">
                    <w:rPr>
                      <w:color w:val="auto"/>
                      <w:sz w:val="20"/>
                      <w:szCs w:val="20"/>
                    </w:rPr>
                    <w:t>-</w:t>
                  </w:r>
                </w:p>
              </w:tc>
            </w:tr>
            <w:tr w:rsidR="00C9316D" w:rsidRPr="009F21BD" w14:paraId="1144A899" w14:textId="77777777" w:rsidTr="00F5641B">
              <w:tc>
                <w:tcPr>
                  <w:tcW w:w="1059" w:type="dxa"/>
                  <w:shd w:val="clear" w:color="auto" w:fill="auto"/>
                </w:tcPr>
                <w:p w14:paraId="167279A5" w14:textId="77777777" w:rsidR="00C9316D" w:rsidRPr="009F21BD" w:rsidRDefault="00C9316D" w:rsidP="00C9316D">
                  <w:pPr>
                    <w:pStyle w:val="Default"/>
                    <w:spacing w:before="120"/>
                    <w:jc w:val="both"/>
                    <w:rPr>
                      <w:color w:val="auto"/>
                      <w:sz w:val="20"/>
                      <w:szCs w:val="20"/>
                    </w:rPr>
                  </w:pPr>
                  <w:r w:rsidRPr="009F21BD">
                    <w:rPr>
                      <w:color w:val="auto"/>
                      <w:sz w:val="20"/>
                      <w:szCs w:val="20"/>
                    </w:rPr>
                    <w:t>s</w:t>
                  </w:r>
                </w:p>
              </w:tc>
              <w:tc>
                <w:tcPr>
                  <w:tcW w:w="850" w:type="dxa"/>
                  <w:shd w:val="clear" w:color="auto" w:fill="auto"/>
                </w:tcPr>
                <w:p w14:paraId="40B15D3F" w14:textId="77777777" w:rsidR="00C9316D" w:rsidRPr="009F21BD" w:rsidRDefault="00C9316D" w:rsidP="00C9316D">
                  <w:pPr>
                    <w:pStyle w:val="Default"/>
                    <w:spacing w:before="120"/>
                    <w:jc w:val="both"/>
                    <w:rPr>
                      <w:color w:val="auto"/>
                      <w:sz w:val="20"/>
                      <w:szCs w:val="20"/>
                    </w:rPr>
                  </w:pPr>
                  <w:r w:rsidRPr="009F21BD">
                    <w:rPr>
                      <w:color w:val="auto"/>
                      <w:sz w:val="20"/>
                      <w:szCs w:val="20"/>
                    </w:rPr>
                    <w:t>%</w:t>
                  </w:r>
                </w:p>
              </w:tc>
              <w:tc>
                <w:tcPr>
                  <w:tcW w:w="2835" w:type="dxa"/>
                  <w:shd w:val="clear" w:color="auto" w:fill="auto"/>
                </w:tcPr>
                <w:p w14:paraId="6F531D77" w14:textId="77777777" w:rsidR="00C9316D" w:rsidRPr="009F21BD" w:rsidRDefault="00C9316D" w:rsidP="00C9316D">
                  <w:pPr>
                    <w:pStyle w:val="Default"/>
                    <w:spacing w:before="120"/>
                    <w:rPr>
                      <w:color w:val="auto"/>
                      <w:sz w:val="20"/>
                      <w:szCs w:val="20"/>
                    </w:rPr>
                  </w:pPr>
                  <w:r w:rsidRPr="009F21BD">
                    <w:rPr>
                      <w:color w:val="auto"/>
                      <w:sz w:val="20"/>
                      <w:szCs w:val="20"/>
                    </w:rPr>
                    <w:t>Statyzm – względna zmiana częstotliwości do względnej zmiany mocy czynnej</w:t>
                  </w:r>
                </w:p>
              </w:tc>
              <w:tc>
                <w:tcPr>
                  <w:tcW w:w="1276" w:type="dxa"/>
                  <w:shd w:val="clear" w:color="auto" w:fill="auto"/>
                </w:tcPr>
                <w:p w14:paraId="629E476E" w14:textId="77777777" w:rsidR="00C9316D" w:rsidRPr="009F21BD" w:rsidRDefault="00C9316D" w:rsidP="00C9316D">
                  <w:pPr>
                    <w:pStyle w:val="Default"/>
                    <w:spacing w:before="120"/>
                    <w:jc w:val="both"/>
                    <w:rPr>
                      <w:color w:val="auto"/>
                      <w:sz w:val="20"/>
                      <w:szCs w:val="20"/>
                    </w:rPr>
                  </w:pPr>
                  <w:r w:rsidRPr="009F21BD">
                    <w:rPr>
                      <w:color w:val="auto"/>
                      <w:sz w:val="20"/>
                      <w:szCs w:val="20"/>
                    </w:rPr>
                    <w:t>-</w:t>
                  </w:r>
                </w:p>
              </w:tc>
              <w:tc>
                <w:tcPr>
                  <w:tcW w:w="1972" w:type="dxa"/>
                  <w:shd w:val="clear" w:color="auto" w:fill="auto"/>
                </w:tcPr>
                <w:p w14:paraId="6D2721B2" w14:textId="77777777" w:rsidR="00C9316D" w:rsidRPr="009F21BD" w:rsidRDefault="00C9316D" w:rsidP="00C9316D">
                  <w:pPr>
                    <w:pStyle w:val="Default"/>
                    <w:spacing w:before="120"/>
                    <w:rPr>
                      <w:color w:val="auto"/>
                      <w:sz w:val="16"/>
                      <w:szCs w:val="16"/>
                    </w:rPr>
                  </w:pPr>
                  <w:r w:rsidRPr="009F21BD">
                    <w:rPr>
                      <w:color w:val="auto"/>
                      <w:sz w:val="16"/>
                      <w:szCs w:val="16"/>
                    </w:rPr>
                    <w:t>Statyzm jest wartością wypadkową (nie ustawialną), zależną od doboru nastaw f</w:t>
                  </w:r>
                  <w:r w:rsidRPr="009F21BD">
                    <w:rPr>
                      <w:color w:val="auto"/>
                      <w:sz w:val="16"/>
                      <w:szCs w:val="16"/>
                      <w:vertAlign w:val="subscript"/>
                    </w:rPr>
                    <w:t>min</w:t>
                  </w:r>
                  <w:r w:rsidRPr="009F21BD">
                    <w:rPr>
                      <w:color w:val="auto"/>
                      <w:sz w:val="16"/>
                      <w:szCs w:val="16"/>
                    </w:rPr>
                    <w:t xml:space="preserve"> </w:t>
                  </w:r>
                  <w:r w:rsidRPr="009F21BD">
                    <w:rPr>
                      <w:color w:val="auto"/>
                      <w:sz w:val="16"/>
                      <w:szCs w:val="16"/>
                    </w:rPr>
                    <w:br/>
                    <w:t>i f</w:t>
                  </w:r>
                  <w:r w:rsidRPr="009F21BD">
                    <w:rPr>
                      <w:color w:val="auto"/>
                      <w:sz w:val="16"/>
                      <w:szCs w:val="16"/>
                      <w:vertAlign w:val="subscript"/>
                    </w:rPr>
                    <w:t>max</w:t>
                  </w:r>
                  <w:r w:rsidRPr="009F21BD">
                    <w:rPr>
                      <w:color w:val="auto"/>
                      <w:sz w:val="16"/>
                      <w:szCs w:val="16"/>
                    </w:rPr>
                    <w:t xml:space="preserve"> oraz obciążenia elektrowni wiatrowej s=[(Δf/f</w:t>
                  </w:r>
                  <w:r w:rsidRPr="009F21BD">
                    <w:rPr>
                      <w:color w:val="auto"/>
                      <w:sz w:val="16"/>
                      <w:szCs w:val="16"/>
                      <w:vertAlign w:val="subscript"/>
                    </w:rPr>
                    <w:t>n</w:t>
                  </w:r>
                  <w:r w:rsidRPr="009F21BD">
                    <w:rPr>
                      <w:color w:val="auto"/>
                      <w:sz w:val="16"/>
                      <w:szCs w:val="16"/>
                    </w:rPr>
                    <w:t>)/(ΔP/P</w:t>
                  </w:r>
                  <w:r w:rsidRPr="009F21BD">
                    <w:rPr>
                      <w:color w:val="auto"/>
                      <w:sz w:val="16"/>
                      <w:szCs w:val="16"/>
                      <w:vertAlign w:val="subscript"/>
                    </w:rPr>
                    <w:t>n</w:t>
                  </w:r>
                  <w:r w:rsidRPr="009F21BD">
                    <w:rPr>
                      <w:color w:val="auto"/>
                      <w:sz w:val="16"/>
                      <w:szCs w:val="16"/>
                    </w:rPr>
                    <w:t>)]</w:t>
                  </w:r>
                </w:p>
              </w:tc>
            </w:tr>
          </w:tbl>
          <w:p w14:paraId="12049DAC" w14:textId="77777777" w:rsidR="00C9316D" w:rsidRPr="009F21BD" w:rsidRDefault="00C9316D" w:rsidP="00C9316D">
            <w:pPr>
              <w:pStyle w:val="Default"/>
              <w:spacing w:before="120"/>
              <w:jc w:val="both"/>
              <w:rPr>
                <w:color w:val="auto"/>
              </w:rPr>
            </w:pPr>
          </w:p>
        </w:tc>
      </w:tr>
      <w:tr w:rsidR="00C9316D" w:rsidRPr="009F21BD" w14:paraId="58077CDB" w14:textId="77777777" w:rsidTr="00F5641B">
        <w:tc>
          <w:tcPr>
            <w:tcW w:w="1063" w:type="dxa"/>
          </w:tcPr>
          <w:p w14:paraId="5FAF7D45" w14:textId="77777777" w:rsidR="00C9316D" w:rsidRPr="009F21BD" w:rsidRDefault="00C9316D" w:rsidP="00D415DB">
            <w:pPr>
              <w:jc w:val="both"/>
            </w:pPr>
            <w:r w:rsidRPr="009F21BD">
              <w:t>7.2.5.</w:t>
            </w:r>
          </w:p>
        </w:tc>
        <w:tc>
          <w:tcPr>
            <w:tcW w:w="8147" w:type="dxa"/>
          </w:tcPr>
          <w:p w14:paraId="6A65A212" w14:textId="77777777" w:rsidR="00C9316D" w:rsidRPr="009F21BD" w:rsidRDefault="00C9316D" w:rsidP="00D415DB">
            <w:pPr>
              <w:pStyle w:val="Default"/>
              <w:jc w:val="both"/>
              <w:rPr>
                <w:color w:val="auto"/>
              </w:rPr>
            </w:pPr>
            <w:r w:rsidRPr="009F21BD">
              <w:rPr>
                <w:color w:val="auto"/>
              </w:rPr>
              <w:t xml:space="preserve">Zmniejszanie mocy wymagane przy zwyżce częstotliwości ponad 50,5 Hz powinno być realizowane w pierwszej kolejności poprzez możliwości regulacyjne poszczególnych turbin wiatrowych, a następnie poprzez wyłączanie poszczególnych pracujących turbin wiatrowych elektrowni wiatrowej. </w:t>
            </w:r>
          </w:p>
        </w:tc>
      </w:tr>
      <w:tr w:rsidR="00C9316D" w:rsidRPr="009F21BD" w14:paraId="21AF0054" w14:textId="77777777" w:rsidTr="00F5641B">
        <w:tc>
          <w:tcPr>
            <w:tcW w:w="1063" w:type="dxa"/>
          </w:tcPr>
          <w:p w14:paraId="324DC21D" w14:textId="77777777" w:rsidR="00C9316D" w:rsidRPr="009F21BD" w:rsidRDefault="00C9316D" w:rsidP="00D415DB">
            <w:pPr>
              <w:jc w:val="both"/>
            </w:pPr>
            <w:r w:rsidRPr="009F21BD">
              <w:t>7.2.6.</w:t>
            </w:r>
          </w:p>
        </w:tc>
        <w:tc>
          <w:tcPr>
            <w:tcW w:w="8147" w:type="dxa"/>
          </w:tcPr>
          <w:p w14:paraId="6C1CA33B" w14:textId="77777777" w:rsidR="00C9316D" w:rsidRPr="009F21BD" w:rsidRDefault="00C9316D" w:rsidP="00D415DB">
            <w:pPr>
              <w:pStyle w:val="Default"/>
              <w:jc w:val="both"/>
              <w:rPr>
                <w:color w:val="auto"/>
              </w:rPr>
            </w:pPr>
            <w:r w:rsidRPr="009F21BD">
              <w:rPr>
                <w:color w:val="auto"/>
              </w:rPr>
              <w:t>Określona w pkt</w:t>
            </w:r>
            <w:r>
              <w:rPr>
                <w:color w:val="auto"/>
              </w:rPr>
              <w:t>.</w:t>
            </w:r>
            <w:r w:rsidRPr="009F21BD">
              <w:rPr>
                <w:color w:val="auto"/>
              </w:rPr>
              <w:t xml:space="preserve"> 7.2.4.1) dopuszczalna prędkość zmian obciążenia nie ma zastosowania w przypadku odciążania elektrowni wiatrowej ze względu na wzrost częstotliwości powyżej 50,5 Hz, zgodnie z charakterystyką statyczną korekcji mocy elektrowni wiatrowej w funkcji wzrostu częstotliwości P = f(df) oraz </w:t>
            </w:r>
            <w:r w:rsidRPr="009F21BD">
              <w:rPr>
                <w:color w:val="auto"/>
              </w:rPr>
              <w:br/>
              <w:t>w sytuacjach zakłóceniowych w systemie, w przypadku</w:t>
            </w:r>
            <w:r w:rsidR="0039312D">
              <w:rPr>
                <w:color w:val="auto"/>
              </w:rPr>
              <w:t>,</w:t>
            </w:r>
            <w:r w:rsidRPr="009F21BD">
              <w:rPr>
                <w:color w:val="auto"/>
              </w:rPr>
              <w:t xml:space="preserve"> gdy OSP lub OSD poleci szybkie odciążenie lub, jeśli jest to technicznie możliwe, dociążenie elektrowni wiatrowej. W takich przypadkach należy zapewnić prędkość redukcji mocy zgodnie z postanowieniami pkt</w:t>
            </w:r>
            <w:r>
              <w:rPr>
                <w:color w:val="auto"/>
              </w:rPr>
              <w:t>.</w:t>
            </w:r>
            <w:r w:rsidRPr="009F21BD">
              <w:rPr>
                <w:color w:val="auto"/>
              </w:rPr>
              <w:t xml:space="preserve"> 7.2.4. 2) - 3). </w:t>
            </w:r>
          </w:p>
        </w:tc>
      </w:tr>
      <w:tr w:rsidR="00C9316D" w:rsidRPr="009F21BD" w14:paraId="0071060F" w14:textId="77777777" w:rsidTr="00F5641B">
        <w:tc>
          <w:tcPr>
            <w:tcW w:w="1063" w:type="dxa"/>
          </w:tcPr>
          <w:p w14:paraId="51AC4D96" w14:textId="77777777" w:rsidR="00C9316D" w:rsidRPr="009F21BD" w:rsidRDefault="00C9316D" w:rsidP="00D415DB">
            <w:pPr>
              <w:jc w:val="both"/>
            </w:pPr>
            <w:r w:rsidRPr="009F21BD">
              <w:t>7.2.7.</w:t>
            </w:r>
          </w:p>
        </w:tc>
        <w:tc>
          <w:tcPr>
            <w:tcW w:w="8147" w:type="dxa"/>
          </w:tcPr>
          <w:p w14:paraId="5A2960BD" w14:textId="77777777" w:rsidR="00C9316D" w:rsidRPr="009F21BD" w:rsidRDefault="00C9316D" w:rsidP="00D415DB">
            <w:pPr>
              <w:pStyle w:val="Default"/>
              <w:jc w:val="both"/>
              <w:rPr>
                <w:color w:val="auto"/>
              </w:rPr>
            </w:pPr>
            <w:r w:rsidRPr="009F21BD">
              <w:rPr>
                <w:color w:val="auto"/>
              </w:rPr>
              <w:t>W celu zapewnienia właściwości dynamicznych dla całej elektrowni wiatrowej zaleca się</w:t>
            </w:r>
            <w:r w:rsidR="00A1483C">
              <w:rPr>
                <w:color w:val="auto"/>
              </w:rPr>
              <w:t>,</w:t>
            </w:r>
            <w:r w:rsidRPr="009F21BD">
              <w:rPr>
                <w:color w:val="auto"/>
              </w:rPr>
              <w:t xml:space="preserve"> aby każda pojedyncza turbina wiatrowa elektrowni wiatrowej była zdolna do redukcji mocy czynnej z prędkością nie mniejszą niż 5% Pn mocy znamionowej na sekundę w zakresie od 100% do 40% mocy generowanej. </w:t>
            </w:r>
          </w:p>
        </w:tc>
      </w:tr>
      <w:tr w:rsidR="00C9316D" w:rsidRPr="009F21BD" w14:paraId="5C03942A" w14:textId="77777777" w:rsidTr="00F5641B">
        <w:tc>
          <w:tcPr>
            <w:tcW w:w="1063" w:type="dxa"/>
            <w:shd w:val="clear" w:color="auto" w:fill="auto"/>
          </w:tcPr>
          <w:p w14:paraId="0B02274C" w14:textId="77777777" w:rsidR="00C9316D" w:rsidRPr="009F21BD" w:rsidRDefault="00C9316D" w:rsidP="00D415DB">
            <w:pPr>
              <w:jc w:val="both"/>
            </w:pPr>
            <w:r w:rsidRPr="009F21BD">
              <w:t>7.2.8.</w:t>
            </w:r>
          </w:p>
        </w:tc>
        <w:tc>
          <w:tcPr>
            <w:tcW w:w="8147" w:type="dxa"/>
            <w:shd w:val="clear" w:color="auto" w:fill="auto"/>
          </w:tcPr>
          <w:p w14:paraId="6CAA4AC7" w14:textId="77777777" w:rsidR="00C9316D" w:rsidRPr="009F21BD" w:rsidRDefault="00C9316D" w:rsidP="00D415DB">
            <w:pPr>
              <w:pStyle w:val="Default"/>
              <w:jc w:val="both"/>
              <w:rPr>
                <w:color w:val="auto"/>
              </w:rPr>
            </w:pPr>
            <w:r w:rsidRPr="009F21BD">
              <w:rPr>
                <w:color w:val="auto"/>
              </w:rPr>
              <w:t xml:space="preserve">OSDn, z co najmniej 5 dniowym wyprzedzeniem, powiadamia właściciela elektrowni wiatrowej o konieczności jej wyłączenia, w celu dokonania określonych planowych prac modernizacyjnych lub naprawczych w sieci elektroenergetycznej. </w:t>
            </w:r>
          </w:p>
        </w:tc>
      </w:tr>
      <w:tr w:rsidR="00C9316D" w:rsidRPr="009F21BD" w14:paraId="09E4E7C4" w14:textId="77777777" w:rsidTr="00F5641B">
        <w:tc>
          <w:tcPr>
            <w:tcW w:w="1063" w:type="dxa"/>
            <w:shd w:val="clear" w:color="auto" w:fill="auto"/>
          </w:tcPr>
          <w:p w14:paraId="1057E5A7" w14:textId="77777777" w:rsidR="00C9316D" w:rsidRPr="009F21BD" w:rsidRDefault="00C9316D" w:rsidP="00D415DB">
            <w:pPr>
              <w:jc w:val="both"/>
            </w:pPr>
            <w:r w:rsidRPr="009F21BD">
              <w:t>7.2.9.</w:t>
            </w:r>
          </w:p>
        </w:tc>
        <w:tc>
          <w:tcPr>
            <w:tcW w:w="8147" w:type="dxa"/>
            <w:shd w:val="clear" w:color="auto" w:fill="auto"/>
          </w:tcPr>
          <w:p w14:paraId="1711FBB5" w14:textId="77777777" w:rsidR="00C9316D" w:rsidRPr="009F21BD" w:rsidRDefault="00C9316D" w:rsidP="00D415DB">
            <w:pPr>
              <w:jc w:val="both"/>
            </w:pPr>
            <w:r w:rsidRPr="009F21BD">
              <w:t xml:space="preserve">W sytuacjach zagrożenia bezpieczeństwa pracy systemu elektroenergetycznego OSDn, może polecić całkowite wyłączenie elektrowni wiatrowej. OSDn określa </w:t>
            </w:r>
            <w:r w:rsidRPr="009F21BD">
              <w:br/>
              <w:t>w warunkach przyłączenia do sieci wymagania w zakresie przystosowania elektrowni wiatrowej do zdalnego wyłączania, monitorowania i transmisji danych.</w:t>
            </w:r>
          </w:p>
          <w:p w14:paraId="27F1FF89" w14:textId="77777777" w:rsidR="00C9316D" w:rsidRPr="009F21BD" w:rsidRDefault="00C9316D" w:rsidP="00D415DB">
            <w:pPr>
              <w:jc w:val="both"/>
            </w:pPr>
          </w:p>
        </w:tc>
      </w:tr>
      <w:tr w:rsidR="00C9316D" w:rsidRPr="009F21BD" w14:paraId="538B1774" w14:textId="77777777" w:rsidTr="00F5641B">
        <w:tc>
          <w:tcPr>
            <w:tcW w:w="9210" w:type="dxa"/>
            <w:gridSpan w:val="2"/>
            <w:shd w:val="clear" w:color="auto" w:fill="auto"/>
          </w:tcPr>
          <w:p w14:paraId="2D9BF823" w14:textId="77777777" w:rsidR="00C9316D" w:rsidRPr="009F21BD" w:rsidRDefault="00C9316D" w:rsidP="00D415DB">
            <w:pPr>
              <w:jc w:val="both"/>
              <w:rPr>
                <w:b/>
                <w:bCs/>
              </w:rPr>
            </w:pPr>
            <w:r w:rsidRPr="009F21BD">
              <w:rPr>
                <w:b/>
                <w:bCs/>
              </w:rPr>
              <w:t>7.3. Praca elektrowni wiatrowej w zależności od częstotliwości i napięcia</w:t>
            </w:r>
          </w:p>
        </w:tc>
      </w:tr>
      <w:tr w:rsidR="00C9316D" w:rsidRPr="009F21BD" w14:paraId="49EF8605" w14:textId="77777777" w:rsidTr="00F5641B">
        <w:tc>
          <w:tcPr>
            <w:tcW w:w="1063" w:type="dxa"/>
            <w:shd w:val="clear" w:color="auto" w:fill="auto"/>
          </w:tcPr>
          <w:p w14:paraId="1A0F9496" w14:textId="77777777" w:rsidR="00C9316D" w:rsidRPr="009F21BD" w:rsidRDefault="00C9316D" w:rsidP="00D415DB">
            <w:pPr>
              <w:jc w:val="both"/>
            </w:pPr>
            <w:r w:rsidRPr="009F21BD">
              <w:t>7.3.1.</w:t>
            </w:r>
          </w:p>
        </w:tc>
        <w:tc>
          <w:tcPr>
            <w:tcW w:w="8147" w:type="dxa"/>
            <w:shd w:val="clear" w:color="auto" w:fill="auto"/>
          </w:tcPr>
          <w:p w14:paraId="62C3F0FE" w14:textId="77777777" w:rsidR="00C9316D" w:rsidRPr="009F21BD" w:rsidRDefault="00C9316D" w:rsidP="00D415DB">
            <w:pPr>
              <w:jc w:val="both"/>
            </w:pPr>
            <w:r w:rsidRPr="009F21BD">
              <w:t>Elektrownia wiatrowa powinna mieć możliwość pracy w następującym zakresie częstotliwości:</w:t>
            </w:r>
          </w:p>
          <w:p w14:paraId="12012A73" w14:textId="77777777" w:rsidR="00C9316D" w:rsidRPr="009F21BD" w:rsidRDefault="00C9316D">
            <w:pPr>
              <w:numPr>
                <w:ilvl w:val="0"/>
                <w:numId w:val="165"/>
              </w:numPr>
              <w:tabs>
                <w:tab w:val="clear" w:pos="286"/>
              </w:tabs>
              <w:ind w:left="377" w:hanging="360"/>
              <w:jc w:val="both"/>
            </w:pPr>
            <w:r w:rsidRPr="009F21BD">
              <w:t>Przy 49,5 ≤ f ≤ 50,5 Hz elektrownia wiatrowa musi mieć możliwość pracy trwałej z mocą znamionową,</w:t>
            </w:r>
          </w:p>
          <w:p w14:paraId="51C64003" w14:textId="77777777" w:rsidR="00C9316D" w:rsidRPr="009F21BD" w:rsidRDefault="00C9316D">
            <w:pPr>
              <w:numPr>
                <w:ilvl w:val="0"/>
                <w:numId w:val="165"/>
              </w:numPr>
              <w:ind w:left="377" w:hanging="360"/>
              <w:jc w:val="both"/>
            </w:pPr>
            <w:r w:rsidRPr="009F21BD">
              <w:t xml:space="preserve">Przy 48,5 ≤ f &lt; 49,5 Hz elektrownia wiatrowa musi mieć możliwość pracy </w:t>
            </w:r>
            <w:r w:rsidRPr="009F21BD">
              <w:br/>
              <w:t>z mocą większą niż 90% mocy wynikającej z aktualnej prędkości wiatru, przez co najmniej 30 min.,</w:t>
            </w:r>
          </w:p>
          <w:p w14:paraId="3D92A2CF" w14:textId="77777777" w:rsidR="00C9316D" w:rsidRPr="009F21BD" w:rsidRDefault="00C9316D">
            <w:pPr>
              <w:numPr>
                <w:ilvl w:val="0"/>
                <w:numId w:val="165"/>
              </w:numPr>
              <w:ind w:left="377" w:hanging="360"/>
              <w:jc w:val="both"/>
            </w:pPr>
            <w:r w:rsidRPr="009F21BD">
              <w:t xml:space="preserve">Przy 48,0 ≤ f &lt; 48,5 Hz elektrownia wiatrowa musi mieć możliwość pracy </w:t>
            </w:r>
            <w:r w:rsidRPr="009F21BD">
              <w:br/>
              <w:t>z mocą większą niż 85% mocy wynikającej z aktualnej prędkości wiatru, przez co najmniej 20 min.,</w:t>
            </w:r>
          </w:p>
          <w:p w14:paraId="3D7CB25F" w14:textId="77777777" w:rsidR="00C9316D" w:rsidRPr="009F21BD" w:rsidRDefault="00C9316D">
            <w:pPr>
              <w:numPr>
                <w:ilvl w:val="0"/>
                <w:numId w:val="165"/>
              </w:numPr>
              <w:ind w:left="377" w:hanging="360"/>
              <w:jc w:val="both"/>
            </w:pPr>
            <w:r w:rsidRPr="009F21BD">
              <w:t xml:space="preserve">Przy 47,5 ≤ f &lt; 48,0 Hz elektrownia wiatrowa musi mieć możliwość pracy </w:t>
            </w:r>
            <w:r w:rsidRPr="009F21BD">
              <w:br/>
              <w:t>z mocą większą niż 80% mocy wynikającej z aktualnej prędkości wiatru, przez co najmniej 10 min.,</w:t>
            </w:r>
          </w:p>
          <w:p w14:paraId="73D3B1D0" w14:textId="77777777" w:rsidR="00C9316D" w:rsidRPr="009F21BD" w:rsidRDefault="00C9316D">
            <w:pPr>
              <w:numPr>
                <w:ilvl w:val="0"/>
                <w:numId w:val="165"/>
              </w:numPr>
              <w:ind w:left="377" w:hanging="360"/>
              <w:jc w:val="both"/>
            </w:pPr>
            <w:r w:rsidRPr="009F21BD">
              <w:t>Przy f &lt; 47,5 Hz elektrownię wiatrową można odłączyć od sieci ze zwłoką czasową uzgodnioną z operatorem systemu,</w:t>
            </w:r>
          </w:p>
          <w:p w14:paraId="1B596775" w14:textId="77777777" w:rsidR="00C9316D" w:rsidRPr="009F21BD" w:rsidRDefault="00C9316D">
            <w:pPr>
              <w:numPr>
                <w:ilvl w:val="0"/>
                <w:numId w:val="165"/>
              </w:numPr>
              <w:ind w:left="377" w:hanging="360"/>
              <w:jc w:val="both"/>
            </w:pPr>
            <w:r w:rsidRPr="009F21BD">
              <w:t xml:space="preserve">Przy 50,5 &lt; f </w:t>
            </w:r>
            <w:r w:rsidRPr="009F21BD">
              <w:rPr>
                <w:rFonts w:eastAsia="SymbolMT"/>
              </w:rPr>
              <w:t xml:space="preserve">≤ </w:t>
            </w:r>
            <w:r w:rsidRPr="009F21BD">
              <w:t>51,5 Hz elektrownia wiatrowa musi mieć możliwość trwałej pracy z mocą ograniczaną wraz ze wzrostem częstotliwości, do zera przy częstotliwości 51,5 Hz,</w:t>
            </w:r>
          </w:p>
          <w:p w14:paraId="4FE2C6C0" w14:textId="77777777" w:rsidR="00C9316D" w:rsidRPr="009F21BD" w:rsidRDefault="00C9316D">
            <w:pPr>
              <w:numPr>
                <w:ilvl w:val="0"/>
                <w:numId w:val="165"/>
              </w:numPr>
              <w:ind w:left="377" w:hanging="360"/>
              <w:jc w:val="both"/>
            </w:pPr>
            <w:r w:rsidRPr="009F21BD">
              <w:t>Przy f &gt; 51,5 Hz elektrownię wiatrową należy odłączyć od sieci w ciągu maks. 0,3 s, o ile operator systemu nie określi inaczej w warunkach przyłączenia do sieci.</w:t>
            </w:r>
          </w:p>
        </w:tc>
      </w:tr>
      <w:tr w:rsidR="00C9316D" w:rsidRPr="009F21BD" w14:paraId="68D25311" w14:textId="77777777" w:rsidTr="00F5641B">
        <w:tc>
          <w:tcPr>
            <w:tcW w:w="1063" w:type="dxa"/>
            <w:shd w:val="clear" w:color="auto" w:fill="auto"/>
          </w:tcPr>
          <w:p w14:paraId="04F55898" w14:textId="77777777" w:rsidR="00C9316D" w:rsidRPr="009F21BD" w:rsidRDefault="00C9316D" w:rsidP="00D415DB">
            <w:pPr>
              <w:jc w:val="both"/>
            </w:pPr>
            <w:r w:rsidRPr="009F21BD">
              <w:t>7.3.2.</w:t>
            </w:r>
          </w:p>
        </w:tc>
        <w:tc>
          <w:tcPr>
            <w:tcW w:w="8147" w:type="dxa"/>
            <w:shd w:val="clear" w:color="auto" w:fill="auto"/>
          </w:tcPr>
          <w:p w14:paraId="53546C79" w14:textId="77777777" w:rsidR="00C9316D" w:rsidRPr="009F21BD" w:rsidRDefault="00C9316D" w:rsidP="00D415DB">
            <w:pPr>
              <w:jc w:val="both"/>
            </w:pPr>
            <w:r w:rsidRPr="009F21BD">
              <w:t>Elektrownia wiatrowa powinna spełniać warunki wymienione w pkt</w:t>
            </w:r>
            <w:r>
              <w:t>.</w:t>
            </w:r>
            <w:r w:rsidRPr="009F21BD">
              <w:t xml:space="preserve"> 7.3.1.a) </w:t>
            </w:r>
            <w:r w:rsidRPr="009F21BD">
              <w:br/>
              <w:t>i pkt</w:t>
            </w:r>
            <w:r>
              <w:t>.</w:t>
            </w:r>
            <w:r w:rsidRPr="009F21BD">
              <w:t xml:space="preserve"> 7.3.1.b) przy zmianach napięcia w miejscu przyłączenia do sieci w zakresie +/-10 % Un – dla sieci SN.</w:t>
            </w:r>
          </w:p>
        </w:tc>
      </w:tr>
      <w:tr w:rsidR="00C9316D" w:rsidRPr="009F21BD" w14:paraId="5B85BC64" w14:textId="77777777" w:rsidTr="00F5641B">
        <w:tc>
          <w:tcPr>
            <w:tcW w:w="1063" w:type="dxa"/>
            <w:shd w:val="clear" w:color="auto" w:fill="auto"/>
          </w:tcPr>
          <w:p w14:paraId="67C9AFB4" w14:textId="77777777" w:rsidR="00C9316D" w:rsidRPr="009F21BD" w:rsidRDefault="00C9316D" w:rsidP="00D415DB">
            <w:pPr>
              <w:jc w:val="both"/>
            </w:pPr>
            <w:r w:rsidRPr="009F21BD">
              <w:t>7.3.3.</w:t>
            </w:r>
          </w:p>
        </w:tc>
        <w:tc>
          <w:tcPr>
            <w:tcW w:w="8147" w:type="dxa"/>
            <w:shd w:val="clear" w:color="auto" w:fill="auto"/>
          </w:tcPr>
          <w:p w14:paraId="3F66883F" w14:textId="77777777" w:rsidR="00C9316D" w:rsidRPr="009F21BD" w:rsidRDefault="00C9316D" w:rsidP="00D415DB">
            <w:pPr>
              <w:jc w:val="both"/>
            </w:pPr>
            <w:r w:rsidRPr="009F21BD">
              <w:t xml:space="preserve">Wartości napięcia i częstotliwości podana powyżej są quasi-stacjonarnymi, </w:t>
            </w:r>
            <w:r w:rsidRPr="009F21BD">
              <w:br/>
              <w:t>z gradientem zmian dla częstotliwości mniejszym niż 0,5%/min, a dla napięcia mniejszym niż 5% na minutę.</w:t>
            </w:r>
          </w:p>
        </w:tc>
      </w:tr>
      <w:tr w:rsidR="00C9316D" w:rsidRPr="009F21BD" w14:paraId="442D7364" w14:textId="77777777" w:rsidTr="00F5641B">
        <w:tc>
          <w:tcPr>
            <w:tcW w:w="1063" w:type="dxa"/>
            <w:shd w:val="clear" w:color="auto" w:fill="auto"/>
          </w:tcPr>
          <w:p w14:paraId="34992A8F" w14:textId="77777777" w:rsidR="00C9316D" w:rsidRPr="009F21BD" w:rsidRDefault="00C9316D" w:rsidP="00D415DB">
            <w:pPr>
              <w:jc w:val="both"/>
            </w:pPr>
            <w:r w:rsidRPr="009F21BD">
              <w:t>7.3.4.</w:t>
            </w:r>
          </w:p>
        </w:tc>
        <w:tc>
          <w:tcPr>
            <w:tcW w:w="8147" w:type="dxa"/>
            <w:shd w:val="clear" w:color="auto" w:fill="auto"/>
          </w:tcPr>
          <w:p w14:paraId="73028ECE" w14:textId="77777777" w:rsidR="00C9316D" w:rsidRPr="009F21BD" w:rsidRDefault="00C9316D" w:rsidP="00D415DB">
            <w:pPr>
              <w:jc w:val="both"/>
            </w:pPr>
            <w:r w:rsidRPr="009F21BD">
              <w:t>Zmniejszanie mocy wymagane przy zwyżce częstotliwości ponad 50,5 Hz może być realizowane poprzez kolejne wyłączanie jednostek pracujących w elektrowni wiatrowej.</w:t>
            </w:r>
          </w:p>
        </w:tc>
      </w:tr>
      <w:tr w:rsidR="00C9316D" w:rsidRPr="009F21BD" w14:paraId="4375DA3A" w14:textId="77777777" w:rsidTr="00F5641B">
        <w:tc>
          <w:tcPr>
            <w:tcW w:w="1063" w:type="dxa"/>
            <w:shd w:val="clear" w:color="auto" w:fill="auto"/>
          </w:tcPr>
          <w:p w14:paraId="1EB0953A" w14:textId="77777777" w:rsidR="00C9316D" w:rsidRPr="009F21BD" w:rsidRDefault="00C9316D" w:rsidP="00D415DB">
            <w:pPr>
              <w:jc w:val="both"/>
            </w:pPr>
            <w:r w:rsidRPr="009F21BD">
              <w:t>7.3.5.</w:t>
            </w:r>
          </w:p>
        </w:tc>
        <w:tc>
          <w:tcPr>
            <w:tcW w:w="8147" w:type="dxa"/>
            <w:shd w:val="clear" w:color="auto" w:fill="auto"/>
          </w:tcPr>
          <w:p w14:paraId="77599A00" w14:textId="77777777" w:rsidR="00C9316D" w:rsidRPr="009F21BD" w:rsidRDefault="00C9316D" w:rsidP="00D415DB">
            <w:pPr>
              <w:jc w:val="both"/>
            </w:pPr>
            <w:r w:rsidRPr="009F21BD">
              <w:t>OSDn może określić w warunkach przyłączenia elektrowni wiatrowych przystosowanie do udziału w regulacji częstotliwości w systemie elektroenergetycznym, poprzez zmianę mocy po zmianie częstotliwości. Wymaganie to dotyczy pełnego zakresu obciążenia elektrowni wiatrowej.</w:t>
            </w:r>
          </w:p>
        </w:tc>
      </w:tr>
      <w:tr w:rsidR="00C9316D" w:rsidRPr="009F21BD" w14:paraId="22D11147" w14:textId="77777777" w:rsidTr="00F5641B">
        <w:tc>
          <w:tcPr>
            <w:tcW w:w="1063" w:type="dxa"/>
            <w:shd w:val="clear" w:color="auto" w:fill="auto"/>
          </w:tcPr>
          <w:p w14:paraId="1B41B006" w14:textId="77777777" w:rsidR="00C9316D" w:rsidRPr="009F21BD" w:rsidRDefault="00C9316D" w:rsidP="00D415DB">
            <w:pPr>
              <w:jc w:val="both"/>
            </w:pPr>
            <w:r w:rsidRPr="009F21BD">
              <w:t>7.3.6.</w:t>
            </w:r>
          </w:p>
        </w:tc>
        <w:tc>
          <w:tcPr>
            <w:tcW w:w="8147" w:type="dxa"/>
            <w:shd w:val="clear" w:color="auto" w:fill="auto"/>
          </w:tcPr>
          <w:p w14:paraId="420A9E90" w14:textId="77777777" w:rsidR="00C9316D" w:rsidRPr="009F21BD" w:rsidRDefault="00C9316D" w:rsidP="00D415DB">
            <w:pPr>
              <w:jc w:val="both"/>
            </w:pPr>
            <w:r w:rsidRPr="009F21BD">
              <w:t xml:space="preserve">W zależności od lokalizacji i skali rozwoju energetyki wiatrowej OSDn może </w:t>
            </w:r>
            <w:r w:rsidRPr="009F21BD">
              <w:br/>
              <w:t>w warunkach przyłączenia do sieci dopuścić odstępstwa od podanych wymagań określonych w pkt</w:t>
            </w:r>
            <w:r>
              <w:t>.</w:t>
            </w:r>
            <w:r w:rsidRPr="009F21BD">
              <w:t xml:space="preserve"> od 7.3.1. do 7.3.5.</w:t>
            </w:r>
          </w:p>
          <w:p w14:paraId="2C71BF9F" w14:textId="77777777" w:rsidR="00C9316D" w:rsidRPr="009F21BD" w:rsidRDefault="00C9316D" w:rsidP="00D415DB">
            <w:pPr>
              <w:jc w:val="both"/>
            </w:pPr>
          </w:p>
        </w:tc>
      </w:tr>
      <w:tr w:rsidR="00C9316D" w:rsidRPr="009F21BD" w14:paraId="4A9C00CE" w14:textId="77777777" w:rsidTr="00F5641B">
        <w:tc>
          <w:tcPr>
            <w:tcW w:w="9210" w:type="dxa"/>
            <w:gridSpan w:val="2"/>
            <w:shd w:val="clear" w:color="auto" w:fill="auto"/>
          </w:tcPr>
          <w:p w14:paraId="49909474" w14:textId="77777777" w:rsidR="00C9316D" w:rsidRPr="009F21BD" w:rsidRDefault="00C9316D" w:rsidP="00D415DB">
            <w:pPr>
              <w:jc w:val="both"/>
              <w:rPr>
                <w:b/>
                <w:bCs/>
              </w:rPr>
            </w:pPr>
            <w:r w:rsidRPr="009F21BD">
              <w:rPr>
                <w:b/>
                <w:bCs/>
              </w:rPr>
              <w:t>7.4. Załączanie i wyłączanie elektrowni wiatrowych</w:t>
            </w:r>
          </w:p>
        </w:tc>
      </w:tr>
      <w:tr w:rsidR="00C9316D" w:rsidRPr="009F21BD" w14:paraId="0F5DC5BC" w14:textId="77777777" w:rsidTr="00F5641B">
        <w:tc>
          <w:tcPr>
            <w:tcW w:w="1063" w:type="dxa"/>
            <w:shd w:val="clear" w:color="auto" w:fill="auto"/>
          </w:tcPr>
          <w:p w14:paraId="5DD7B06E" w14:textId="77777777" w:rsidR="00C9316D" w:rsidRPr="009F21BD" w:rsidRDefault="00C9316D" w:rsidP="00D415DB">
            <w:pPr>
              <w:jc w:val="both"/>
            </w:pPr>
            <w:r w:rsidRPr="009F21BD">
              <w:t>7.4.1.</w:t>
            </w:r>
          </w:p>
        </w:tc>
        <w:tc>
          <w:tcPr>
            <w:tcW w:w="8147" w:type="dxa"/>
            <w:shd w:val="clear" w:color="auto" w:fill="auto"/>
          </w:tcPr>
          <w:p w14:paraId="369864BF" w14:textId="77777777" w:rsidR="00C9316D" w:rsidRPr="009F21BD" w:rsidRDefault="00C9316D" w:rsidP="00D415DB">
            <w:pPr>
              <w:jc w:val="both"/>
            </w:pPr>
            <w:r w:rsidRPr="009F21BD">
              <w:t>Elektrownia wiatrowa powinna przekazywać do odpowiedniego operatora systemu sygnał informujący o aktualnym stanie jej jednostek wytwórczych. Sygnał ten powinien być generowany na podstawie identyfikacji stanu i przyczyn odstawienia jednostki.</w:t>
            </w:r>
          </w:p>
        </w:tc>
      </w:tr>
      <w:tr w:rsidR="00C9316D" w:rsidRPr="009F21BD" w14:paraId="00563976" w14:textId="77777777" w:rsidTr="00F5641B">
        <w:tc>
          <w:tcPr>
            <w:tcW w:w="1063" w:type="dxa"/>
            <w:shd w:val="clear" w:color="auto" w:fill="auto"/>
          </w:tcPr>
          <w:p w14:paraId="1B7788AD" w14:textId="77777777" w:rsidR="00C9316D" w:rsidRPr="009F21BD" w:rsidRDefault="00C9316D" w:rsidP="00D415DB">
            <w:pPr>
              <w:jc w:val="both"/>
            </w:pPr>
            <w:r w:rsidRPr="009F21BD">
              <w:t>7.4.2.</w:t>
            </w:r>
          </w:p>
        </w:tc>
        <w:tc>
          <w:tcPr>
            <w:tcW w:w="8147" w:type="dxa"/>
            <w:shd w:val="clear" w:color="auto" w:fill="auto"/>
          </w:tcPr>
          <w:p w14:paraId="53C32458" w14:textId="77777777" w:rsidR="00C9316D" w:rsidRPr="009F21BD" w:rsidRDefault="00C9316D" w:rsidP="00D415DB">
            <w:pPr>
              <w:pStyle w:val="Default"/>
              <w:jc w:val="both"/>
              <w:rPr>
                <w:color w:val="auto"/>
              </w:rPr>
            </w:pPr>
            <w:r w:rsidRPr="009F21BD">
              <w:rPr>
                <w:color w:val="auto"/>
              </w:rPr>
              <w:t>Podczas każdego uruchamiania elektrowni wiatrowej gradient przyrostu mocy elektrowni wiatrowej nie może przekraczać wartości określonej w pkt</w:t>
            </w:r>
            <w:r>
              <w:rPr>
                <w:color w:val="auto"/>
              </w:rPr>
              <w:t>.</w:t>
            </w:r>
            <w:r w:rsidRPr="009F21BD">
              <w:rPr>
                <w:color w:val="auto"/>
              </w:rPr>
              <w:t xml:space="preserve"> 7.2.2. niniejszego załącznika. </w:t>
            </w:r>
          </w:p>
        </w:tc>
      </w:tr>
      <w:tr w:rsidR="00C9316D" w:rsidRPr="009F21BD" w14:paraId="25C231D8" w14:textId="77777777" w:rsidTr="00F5641B">
        <w:tc>
          <w:tcPr>
            <w:tcW w:w="1063" w:type="dxa"/>
            <w:shd w:val="clear" w:color="auto" w:fill="auto"/>
          </w:tcPr>
          <w:p w14:paraId="06E71027" w14:textId="77777777" w:rsidR="00C9316D" w:rsidRPr="009F21BD" w:rsidRDefault="00C9316D" w:rsidP="00D415DB">
            <w:pPr>
              <w:jc w:val="both"/>
            </w:pPr>
            <w:r w:rsidRPr="009F21BD">
              <w:t>7.4.3.</w:t>
            </w:r>
          </w:p>
        </w:tc>
        <w:tc>
          <w:tcPr>
            <w:tcW w:w="8147" w:type="dxa"/>
            <w:shd w:val="clear" w:color="auto" w:fill="auto"/>
          </w:tcPr>
          <w:p w14:paraId="6963690E" w14:textId="77777777" w:rsidR="00C9316D" w:rsidRPr="009F21BD" w:rsidRDefault="00C9316D" w:rsidP="00D415DB">
            <w:pPr>
              <w:pStyle w:val="Default"/>
              <w:jc w:val="both"/>
              <w:rPr>
                <w:color w:val="auto"/>
              </w:rPr>
            </w:pPr>
            <w:r w:rsidRPr="009F21BD">
              <w:rPr>
                <w:color w:val="auto"/>
              </w:rPr>
              <w:t xml:space="preserve">Algorytm uruchamiania elektrowni wiatrowej musi zawierać kontrolę warunków napięciowych w miejscu przyłączenia do sieci. </w:t>
            </w:r>
          </w:p>
        </w:tc>
      </w:tr>
      <w:tr w:rsidR="00C9316D" w:rsidRPr="009F21BD" w14:paraId="5ADC8EDC" w14:textId="77777777" w:rsidTr="00F5641B">
        <w:tc>
          <w:tcPr>
            <w:tcW w:w="1063" w:type="dxa"/>
            <w:shd w:val="clear" w:color="auto" w:fill="auto"/>
          </w:tcPr>
          <w:p w14:paraId="25FEE803" w14:textId="77777777" w:rsidR="00C9316D" w:rsidRPr="009F21BD" w:rsidRDefault="00C9316D" w:rsidP="00D415DB">
            <w:pPr>
              <w:jc w:val="both"/>
            </w:pPr>
            <w:r w:rsidRPr="009F21BD">
              <w:t>7.4.4.</w:t>
            </w:r>
          </w:p>
        </w:tc>
        <w:tc>
          <w:tcPr>
            <w:tcW w:w="8147" w:type="dxa"/>
            <w:shd w:val="clear" w:color="auto" w:fill="auto"/>
          </w:tcPr>
          <w:p w14:paraId="3F178BF0" w14:textId="77777777" w:rsidR="00C9316D" w:rsidRPr="009F21BD" w:rsidRDefault="00C9316D" w:rsidP="00D415DB">
            <w:pPr>
              <w:pStyle w:val="Default"/>
              <w:jc w:val="both"/>
              <w:rPr>
                <w:color w:val="auto"/>
              </w:rPr>
            </w:pPr>
            <w:r w:rsidRPr="009F21BD">
              <w:rPr>
                <w:color w:val="auto"/>
              </w:rPr>
              <w:t>Z wyjątkiem przypadków zakłóceń w sieci i awarii elektrowni wiatrowej, redukcja mocy elektrowni wiatrowej powinna być realizowana zgodnie ze zdefiniowanym w pkt</w:t>
            </w:r>
            <w:r>
              <w:rPr>
                <w:color w:val="auto"/>
              </w:rPr>
              <w:t>.</w:t>
            </w:r>
            <w:r w:rsidRPr="009F21BD">
              <w:rPr>
                <w:color w:val="auto"/>
              </w:rPr>
              <w:t xml:space="preserve"> 7.2.2. niniejszego załącznika gradientem zmiany mocy czynnej. </w:t>
            </w:r>
          </w:p>
          <w:p w14:paraId="05604FA8" w14:textId="77777777" w:rsidR="00C9316D" w:rsidRPr="009F21BD" w:rsidRDefault="00C9316D" w:rsidP="00D415DB">
            <w:pPr>
              <w:jc w:val="both"/>
            </w:pPr>
          </w:p>
        </w:tc>
      </w:tr>
      <w:tr w:rsidR="00C9316D" w:rsidRPr="009F21BD" w14:paraId="68DBB2B9" w14:textId="77777777" w:rsidTr="00F5641B">
        <w:tc>
          <w:tcPr>
            <w:tcW w:w="9210" w:type="dxa"/>
            <w:gridSpan w:val="2"/>
            <w:shd w:val="clear" w:color="auto" w:fill="auto"/>
          </w:tcPr>
          <w:p w14:paraId="5A617BEA" w14:textId="77777777" w:rsidR="00C9316D" w:rsidRPr="009F21BD" w:rsidRDefault="00C9316D" w:rsidP="00D415DB">
            <w:pPr>
              <w:jc w:val="both"/>
              <w:rPr>
                <w:b/>
                <w:bCs/>
              </w:rPr>
            </w:pPr>
            <w:r w:rsidRPr="009F21BD">
              <w:rPr>
                <w:b/>
                <w:bCs/>
              </w:rPr>
              <w:t>7.5. Regulacja napięcia i mocy biernej</w:t>
            </w:r>
          </w:p>
        </w:tc>
      </w:tr>
      <w:tr w:rsidR="00C9316D" w:rsidRPr="009F21BD" w14:paraId="337BC828" w14:textId="77777777" w:rsidTr="00F5641B">
        <w:tc>
          <w:tcPr>
            <w:tcW w:w="1063" w:type="dxa"/>
            <w:shd w:val="clear" w:color="auto" w:fill="auto"/>
          </w:tcPr>
          <w:p w14:paraId="4F644091" w14:textId="77777777" w:rsidR="00C9316D" w:rsidRPr="009F21BD" w:rsidRDefault="00C9316D" w:rsidP="00D415DB">
            <w:pPr>
              <w:jc w:val="both"/>
            </w:pPr>
            <w:r w:rsidRPr="009F21BD">
              <w:t>7.5.1.</w:t>
            </w:r>
          </w:p>
        </w:tc>
        <w:tc>
          <w:tcPr>
            <w:tcW w:w="8147" w:type="dxa"/>
            <w:shd w:val="clear" w:color="auto" w:fill="auto"/>
          </w:tcPr>
          <w:p w14:paraId="540DE0F4" w14:textId="77777777" w:rsidR="00C9316D" w:rsidRPr="009F21BD" w:rsidRDefault="00C9316D" w:rsidP="00D415DB">
            <w:pPr>
              <w:jc w:val="both"/>
            </w:pPr>
            <w:r w:rsidRPr="009F21BD">
              <w:t>Wyposażenie elektrowni wiatrowej musi być tak dobrane, aby zapewnić utrzymanie, określonych w warunkach przyłączenia, warunków napięciowych w miejscu przyłączenia do sieci lub innym określonym w warunkach przyłączenia i stabilność współpracy z systemem elektroenergetycznym.</w:t>
            </w:r>
          </w:p>
        </w:tc>
      </w:tr>
      <w:tr w:rsidR="00C9316D" w:rsidRPr="009F21BD" w14:paraId="4EEB91B7" w14:textId="77777777" w:rsidTr="00F5641B">
        <w:tc>
          <w:tcPr>
            <w:tcW w:w="1063" w:type="dxa"/>
            <w:shd w:val="clear" w:color="auto" w:fill="auto"/>
          </w:tcPr>
          <w:p w14:paraId="2EBA865E" w14:textId="77777777" w:rsidR="00C9316D" w:rsidRPr="009F21BD" w:rsidRDefault="00C9316D" w:rsidP="00D415DB">
            <w:pPr>
              <w:jc w:val="both"/>
            </w:pPr>
            <w:r w:rsidRPr="009F21BD">
              <w:t>7.5.2.</w:t>
            </w:r>
          </w:p>
        </w:tc>
        <w:tc>
          <w:tcPr>
            <w:tcW w:w="8147" w:type="dxa"/>
            <w:shd w:val="clear" w:color="auto" w:fill="auto"/>
          </w:tcPr>
          <w:p w14:paraId="44C183D6" w14:textId="77777777" w:rsidR="00C9316D" w:rsidRPr="009F21BD" w:rsidRDefault="00C9316D" w:rsidP="00D415DB">
            <w:pPr>
              <w:jc w:val="both"/>
            </w:pPr>
            <w:r w:rsidRPr="009F21BD">
              <w:t>Elektrownia wiatrowa musi mieć możliwość regulacji współczynnika mocy lub napięcia w miejscu przyłączenia do sieci. OSDn w warunkach przyłączenia do sieci określa powyższe wymagania, w tym potrzebę zastosowania automatycznej regulacji zdalnej.</w:t>
            </w:r>
          </w:p>
        </w:tc>
      </w:tr>
      <w:tr w:rsidR="00C9316D" w:rsidRPr="009F21BD" w14:paraId="202DCDE2" w14:textId="77777777" w:rsidTr="00F5641B">
        <w:tc>
          <w:tcPr>
            <w:tcW w:w="1063" w:type="dxa"/>
            <w:shd w:val="clear" w:color="auto" w:fill="auto"/>
          </w:tcPr>
          <w:p w14:paraId="3E4205AD" w14:textId="77777777" w:rsidR="00C9316D" w:rsidRPr="009F21BD" w:rsidRDefault="00C9316D" w:rsidP="00D415DB">
            <w:pPr>
              <w:jc w:val="both"/>
            </w:pPr>
            <w:r w:rsidRPr="009F21BD">
              <w:t>7.5.3.</w:t>
            </w:r>
          </w:p>
        </w:tc>
        <w:tc>
          <w:tcPr>
            <w:tcW w:w="8147" w:type="dxa"/>
            <w:shd w:val="clear" w:color="auto" w:fill="auto"/>
          </w:tcPr>
          <w:p w14:paraId="05E0A2C8" w14:textId="77777777" w:rsidR="00C9316D" w:rsidRPr="009F21BD" w:rsidRDefault="00C9316D" w:rsidP="00D415DB">
            <w:pPr>
              <w:jc w:val="both"/>
            </w:pPr>
            <w:r w:rsidRPr="009F21BD">
              <w:t xml:space="preserve">W zależności od warunków napięciowych w miejscu przyłączenia elektrowni wiatrowej do sieci, odpowiedni operator systemu może w trybie operatywnym zmieniać w/w zakres regulacji współczynnika mocy lub wymagać pracy </w:t>
            </w:r>
            <w:r w:rsidRPr="009F21BD">
              <w:br/>
              <w:t>z określonym stałym współczynnikiem mocy.</w:t>
            </w:r>
          </w:p>
          <w:p w14:paraId="15D17979" w14:textId="77777777" w:rsidR="00C9316D" w:rsidRPr="009F21BD" w:rsidRDefault="00C9316D" w:rsidP="00D415DB">
            <w:pPr>
              <w:jc w:val="both"/>
            </w:pPr>
          </w:p>
        </w:tc>
      </w:tr>
      <w:tr w:rsidR="00C9316D" w:rsidRPr="009F21BD" w14:paraId="6CB477FF" w14:textId="77777777" w:rsidTr="00F5641B">
        <w:tc>
          <w:tcPr>
            <w:tcW w:w="9210" w:type="dxa"/>
            <w:gridSpan w:val="2"/>
            <w:shd w:val="clear" w:color="auto" w:fill="auto"/>
          </w:tcPr>
          <w:p w14:paraId="1840100D" w14:textId="77777777" w:rsidR="00C9316D" w:rsidRPr="009F21BD" w:rsidRDefault="00C9316D" w:rsidP="00D415DB">
            <w:pPr>
              <w:jc w:val="both"/>
              <w:rPr>
                <w:b/>
                <w:bCs/>
              </w:rPr>
            </w:pPr>
            <w:r w:rsidRPr="009F21BD">
              <w:rPr>
                <w:b/>
                <w:bCs/>
              </w:rPr>
              <w:t>7.6. Praca elektrowni wiatrowych przy zakłóceniach w sieci</w:t>
            </w:r>
          </w:p>
        </w:tc>
      </w:tr>
      <w:tr w:rsidR="00C9316D" w:rsidRPr="009F21BD" w14:paraId="1141A735" w14:textId="77777777" w:rsidTr="00F5641B">
        <w:tc>
          <w:tcPr>
            <w:tcW w:w="1063" w:type="dxa"/>
            <w:shd w:val="clear" w:color="auto" w:fill="auto"/>
          </w:tcPr>
          <w:p w14:paraId="626C5118" w14:textId="77777777" w:rsidR="00C9316D" w:rsidRPr="009F21BD" w:rsidRDefault="00C9316D" w:rsidP="00D415DB">
            <w:pPr>
              <w:jc w:val="both"/>
            </w:pPr>
            <w:r w:rsidRPr="009F21BD">
              <w:t>7.6.1.</w:t>
            </w:r>
          </w:p>
        </w:tc>
        <w:tc>
          <w:tcPr>
            <w:tcW w:w="8147" w:type="dxa"/>
            <w:shd w:val="clear" w:color="auto" w:fill="auto"/>
          </w:tcPr>
          <w:p w14:paraId="706FEF71" w14:textId="77777777" w:rsidR="00C9316D" w:rsidRPr="009F21BD" w:rsidRDefault="00C9316D" w:rsidP="00D415DB">
            <w:pPr>
              <w:jc w:val="both"/>
            </w:pPr>
            <w:r w:rsidRPr="009F21BD">
              <w:t>W niektórych lokalizacjach, OSDn może wymagać by elektrownie wiatrowe podczas zakłóceń w systemie produkowały możliwie dużą, w ramach ograniczeń technicznych, moc bierną. Wymaganie to określa OSDn w warunkach przyłączenia do sieci lub umowie o przyłączenie.</w:t>
            </w:r>
          </w:p>
        </w:tc>
      </w:tr>
      <w:tr w:rsidR="00C9316D" w:rsidRPr="009F21BD" w14:paraId="5A94F8F6" w14:textId="77777777" w:rsidTr="00F5641B">
        <w:tc>
          <w:tcPr>
            <w:tcW w:w="1063" w:type="dxa"/>
            <w:shd w:val="clear" w:color="auto" w:fill="auto"/>
          </w:tcPr>
          <w:p w14:paraId="1EB85820" w14:textId="77777777" w:rsidR="00C9316D" w:rsidRPr="009F21BD" w:rsidRDefault="00C9316D" w:rsidP="00D415DB">
            <w:pPr>
              <w:jc w:val="both"/>
            </w:pPr>
            <w:r w:rsidRPr="009F21BD">
              <w:t>7.6.2.</w:t>
            </w:r>
          </w:p>
        </w:tc>
        <w:tc>
          <w:tcPr>
            <w:tcW w:w="8147" w:type="dxa"/>
            <w:shd w:val="clear" w:color="auto" w:fill="auto"/>
          </w:tcPr>
          <w:p w14:paraId="21197C20" w14:textId="77777777" w:rsidR="00C9316D" w:rsidRPr="009F21BD" w:rsidRDefault="00C9316D" w:rsidP="00D415DB">
            <w:pPr>
              <w:jc w:val="both"/>
            </w:pPr>
            <w:r w:rsidRPr="009F21BD">
              <w:t>Wymagania w zakresie pracy elektrowni wiatrowej przy zakłóceniach w sieci, OSDn określa w warunkach przyłączenia do sieci, biorąc pod uwagę rodzaj zastosowanych generatorów, moc elektrowni wiatrowej, jej położenie w sieci, koncentrację generacji wiatrowej w systemie i wyniki ekspertyzy wpływu przyłączanej elektrowni wiatrowej na system.</w:t>
            </w:r>
          </w:p>
          <w:p w14:paraId="69BB8973" w14:textId="77777777" w:rsidR="00C9316D" w:rsidRPr="009F21BD" w:rsidRDefault="00C9316D" w:rsidP="00D415DB">
            <w:pPr>
              <w:jc w:val="both"/>
            </w:pPr>
          </w:p>
        </w:tc>
      </w:tr>
      <w:tr w:rsidR="00C9316D" w:rsidRPr="009F21BD" w14:paraId="01625EA7" w14:textId="77777777" w:rsidTr="00F5641B">
        <w:tc>
          <w:tcPr>
            <w:tcW w:w="9210" w:type="dxa"/>
            <w:gridSpan w:val="2"/>
            <w:shd w:val="clear" w:color="auto" w:fill="auto"/>
          </w:tcPr>
          <w:p w14:paraId="201FDCB2" w14:textId="77777777" w:rsidR="00C9316D" w:rsidRPr="009F21BD" w:rsidRDefault="00C9316D" w:rsidP="00D415DB">
            <w:pPr>
              <w:jc w:val="both"/>
              <w:rPr>
                <w:b/>
                <w:bCs/>
              </w:rPr>
            </w:pPr>
            <w:r w:rsidRPr="009F21BD">
              <w:rPr>
                <w:b/>
                <w:bCs/>
              </w:rPr>
              <w:t>7.7. Dotrzymanie standardów jakości energii</w:t>
            </w:r>
          </w:p>
        </w:tc>
      </w:tr>
      <w:tr w:rsidR="00C9316D" w:rsidRPr="009F21BD" w14:paraId="48E245DA" w14:textId="77777777" w:rsidTr="00F5641B">
        <w:tc>
          <w:tcPr>
            <w:tcW w:w="1063" w:type="dxa"/>
            <w:shd w:val="clear" w:color="auto" w:fill="auto"/>
          </w:tcPr>
          <w:p w14:paraId="35D5D2CF" w14:textId="77777777" w:rsidR="00C9316D" w:rsidRPr="009F21BD" w:rsidRDefault="00C9316D" w:rsidP="00D415DB">
            <w:pPr>
              <w:jc w:val="both"/>
            </w:pPr>
            <w:r w:rsidRPr="009F21BD">
              <w:t>7.7.1.</w:t>
            </w:r>
          </w:p>
        </w:tc>
        <w:tc>
          <w:tcPr>
            <w:tcW w:w="8147" w:type="dxa"/>
            <w:shd w:val="clear" w:color="auto" w:fill="auto"/>
          </w:tcPr>
          <w:p w14:paraId="67051422" w14:textId="77777777" w:rsidR="00C9316D" w:rsidRPr="009F21BD" w:rsidRDefault="00C9316D" w:rsidP="00D415DB">
            <w:pPr>
              <w:jc w:val="both"/>
            </w:pPr>
            <w:r w:rsidRPr="009F21BD">
              <w:t>Elektrownia wiatrowa nie powinna powodować nagłych zmian i skoków napięcia przekraczających 3%. W przypadku gdy zakłócenia napięcia spowodowane pracą elektrowni wiatrowej mają charakter powtarzający się, zakres jednorazowej szybkiej zmiany wartości skutecznej napięcia nie może przekraczać 2,5% dla częstości do 10 zakłóceń/godz. i 1,5% dla częstości do 100 zakłóceń/godz. Wymagania powyższe dotyczą również przypadków rozruchu i wyłączeń jednostek wytwórczych.</w:t>
            </w:r>
          </w:p>
        </w:tc>
      </w:tr>
      <w:tr w:rsidR="00C9316D" w:rsidRPr="009F21BD" w14:paraId="249F0CF0" w14:textId="77777777" w:rsidTr="00F5641B">
        <w:tc>
          <w:tcPr>
            <w:tcW w:w="1063" w:type="dxa"/>
            <w:shd w:val="clear" w:color="auto" w:fill="auto"/>
          </w:tcPr>
          <w:p w14:paraId="2B9E8C72" w14:textId="77777777" w:rsidR="00C9316D" w:rsidRPr="009F21BD" w:rsidRDefault="00C9316D" w:rsidP="00D415DB">
            <w:pPr>
              <w:jc w:val="both"/>
            </w:pPr>
            <w:r w:rsidRPr="009F21BD">
              <w:t>7.7.2.</w:t>
            </w:r>
          </w:p>
        </w:tc>
        <w:tc>
          <w:tcPr>
            <w:tcW w:w="8147" w:type="dxa"/>
            <w:shd w:val="clear" w:color="auto" w:fill="auto"/>
          </w:tcPr>
          <w:p w14:paraId="7C7EB97E" w14:textId="77777777" w:rsidR="00C9316D" w:rsidRPr="009F21BD" w:rsidRDefault="00C9316D" w:rsidP="00D415DB">
            <w:pPr>
              <w:pStyle w:val="Default"/>
              <w:jc w:val="both"/>
              <w:rPr>
                <w:color w:val="auto"/>
              </w:rPr>
            </w:pPr>
            <w:r w:rsidRPr="009F21BD">
              <w:rPr>
                <w:color w:val="auto"/>
              </w:rPr>
              <w:t xml:space="preserve">Szybkie zmiany napięcia spowodowane pulsacją mocy elektrowni wiatrowej </w:t>
            </w:r>
            <w:r w:rsidRPr="009F21BD">
              <w:rPr>
                <w:color w:val="auto"/>
              </w:rPr>
              <w:br/>
              <w:t>o częstotliwości rzędu 1 Hz powinny mieć amplitudę nie większą niż 0,7%.</w:t>
            </w:r>
          </w:p>
        </w:tc>
      </w:tr>
      <w:tr w:rsidR="00C9316D" w:rsidRPr="009F21BD" w14:paraId="5289A45B" w14:textId="77777777" w:rsidTr="00F5641B">
        <w:tc>
          <w:tcPr>
            <w:tcW w:w="1063" w:type="dxa"/>
            <w:shd w:val="clear" w:color="auto" w:fill="auto"/>
          </w:tcPr>
          <w:p w14:paraId="04C017E7" w14:textId="77777777" w:rsidR="00C9316D" w:rsidRPr="009F21BD" w:rsidRDefault="00C9316D" w:rsidP="00D415DB">
            <w:pPr>
              <w:jc w:val="both"/>
            </w:pPr>
            <w:r w:rsidRPr="009F21BD">
              <w:t>7.7.3.</w:t>
            </w:r>
          </w:p>
        </w:tc>
        <w:tc>
          <w:tcPr>
            <w:tcW w:w="8147" w:type="dxa"/>
            <w:shd w:val="clear" w:color="auto" w:fill="auto"/>
          </w:tcPr>
          <w:p w14:paraId="58619BAF" w14:textId="77777777" w:rsidR="00C9316D" w:rsidRPr="009F21BD" w:rsidRDefault="00C9316D" w:rsidP="00D415DB">
            <w:pPr>
              <w:jc w:val="both"/>
            </w:pPr>
            <w:r w:rsidRPr="009F21BD">
              <w:t>Wskaźniki krótkookresowego (Pst) i długookresowego (Plt) migotania napięcia elektrowni wiatrowych przyłączonych do sieci SN nie powinny przekraczać odpowiednio wartości:</w:t>
            </w:r>
          </w:p>
          <w:p w14:paraId="339E6D34" w14:textId="77777777" w:rsidR="00C9316D" w:rsidRPr="009F21BD" w:rsidRDefault="00C9316D">
            <w:pPr>
              <w:numPr>
                <w:ilvl w:val="0"/>
                <w:numId w:val="172"/>
              </w:numPr>
              <w:ind w:hanging="794"/>
              <w:jc w:val="both"/>
            </w:pPr>
            <w:r w:rsidRPr="009F21BD">
              <w:t>P st &lt; 0,45 dla sieci SN,</w:t>
            </w:r>
          </w:p>
          <w:p w14:paraId="5FD03B8E" w14:textId="77777777" w:rsidR="00C9316D" w:rsidRPr="009F21BD" w:rsidRDefault="00C9316D">
            <w:pPr>
              <w:numPr>
                <w:ilvl w:val="0"/>
                <w:numId w:val="172"/>
              </w:numPr>
              <w:ind w:hanging="794"/>
              <w:jc w:val="both"/>
            </w:pPr>
            <w:r w:rsidRPr="009F21BD">
              <w:t>P lt &lt; 0,35 dla sieci SN.</w:t>
            </w:r>
          </w:p>
        </w:tc>
      </w:tr>
      <w:tr w:rsidR="00C9316D" w:rsidRPr="009F21BD" w14:paraId="7ED48BA9" w14:textId="77777777" w:rsidTr="00F5641B">
        <w:tc>
          <w:tcPr>
            <w:tcW w:w="1063" w:type="dxa"/>
            <w:shd w:val="clear" w:color="auto" w:fill="auto"/>
          </w:tcPr>
          <w:p w14:paraId="057314DF" w14:textId="77777777" w:rsidR="00C9316D" w:rsidRPr="009F21BD" w:rsidRDefault="00C9316D" w:rsidP="00D415DB">
            <w:pPr>
              <w:jc w:val="both"/>
            </w:pPr>
            <w:r w:rsidRPr="009F21BD">
              <w:t>7.7.4.</w:t>
            </w:r>
          </w:p>
        </w:tc>
        <w:tc>
          <w:tcPr>
            <w:tcW w:w="8147" w:type="dxa"/>
            <w:shd w:val="clear" w:color="auto" w:fill="auto"/>
          </w:tcPr>
          <w:p w14:paraId="2AF47260" w14:textId="77777777" w:rsidR="00C9316D" w:rsidRPr="009F21BD" w:rsidRDefault="00C9316D" w:rsidP="00D415DB">
            <w:pPr>
              <w:jc w:val="both"/>
            </w:pPr>
            <w:r w:rsidRPr="009F21BD">
              <w:t>Elektrownie wiatrowe nie powinny powodować w miejscu przyłączenia emisji pojedynczych harmonicznych napięcia rzędu od 2 do 50 większych niż 1,5 dla sieci SN. Współczynnik dystorsji harmonicznych THD w miejscu przyłączenia do sieci powinien być mniejszy od 4% dla sieci SN.</w:t>
            </w:r>
          </w:p>
        </w:tc>
      </w:tr>
      <w:tr w:rsidR="00C9316D" w:rsidRPr="009F21BD" w14:paraId="48CE3BD9" w14:textId="77777777" w:rsidTr="00F5641B">
        <w:tc>
          <w:tcPr>
            <w:tcW w:w="1063" w:type="dxa"/>
            <w:shd w:val="clear" w:color="auto" w:fill="auto"/>
          </w:tcPr>
          <w:p w14:paraId="3AFEDAD7" w14:textId="77777777" w:rsidR="00C9316D" w:rsidRPr="009F21BD" w:rsidRDefault="00C9316D" w:rsidP="00D415DB">
            <w:pPr>
              <w:jc w:val="both"/>
            </w:pPr>
            <w:r w:rsidRPr="009F21BD">
              <w:t>7.7.5.</w:t>
            </w:r>
          </w:p>
        </w:tc>
        <w:tc>
          <w:tcPr>
            <w:tcW w:w="8147" w:type="dxa"/>
            <w:shd w:val="clear" w:color="auto" w:fill="auto"/>
          </w:tcPr>
          <w:p w14:paraId="5E1E3B1A" w14:textId="77777777" w:rsidR="00C9316D" w:rsidRPr="009F21BD" w:rsidRDefault="00C9316D" w:rsidP="00D415DB">
            <w:pPr>
              <w:pStyle w:val="Default"/>
              <w:jc w:val="both"/>
              <w:rPr>
                <w:color w:val="auto"/>
              </w:rPr>
            </w:pPr>
            <w:r w:rsidRPr="009F21BD">
              <w:rPr>
                <w:color w:val="auto"/>
              </w:rPr>
              <w:t>W ciągu każdego tygodnia 99 % ze zbioru 10-minutowych średnich wartości skutecznych podanych powyżej w pkt</w:t>
            </w:r>
            <w:r>
              <w:rPr>
                <w:color w:val="auto"/>
              </w:rPr>
              <w:t>.</w:t>
            </w:r>
            <w:r w:rsidRPr="009F21BD">
              <w:rPr>
                <w:color w:val="auto"/>
              </w:rPr>
              <w:t xml:space="preserve"> od 7.7.1. do 7.7.3. współczynników jakości energii, powinno mieścić się w granicach określonych w tych punktach. </w:t>
            </w:r>
          </w:p>
        </w:tc>
      </w:tr>
      <w:tr w:rsidR="00C9316D" w:rsidRPr="009F21BD" w14:paraId="3D7CDFBA" w14:textId="77777777" w:rsidTr="00F5641B">
        <w:tc>
          <w:tcPr>
            <w:tcW w:w="1063" w:type="dxa"/>
            <w:shd w:val="clear" w:color="auto" w:fill="auto"/>
          </w:tcPr>
          <w:p w14:paraId="2ADAC0C9" w14:textId="77777777" w:rsidR="00C9316D" w:rsidRPr="009F21BD" w:rsidRDefault="00C9316D" w:rsidP="00D415DB">
            <w:pPr>
              <w:jc w:val="both"/>
            </w:pPr>
            <w:r w:rsidRPr="009F21BD">
              <w:t>7.7.6.</w:t>
            </w:r>
          </w:p>
        </w:tc>
        <w:tc>
          <w:tcPr>
            <w:tcW w:w="8147" w:type="dxa"/>
            <w:shd w:val="clear" w:color="auto" w:fill="auto"/>
          </w:tcPr>
          <w:p w14:paraId="2522A767" w14:textId="77777777" w:rsidR="00C9316D" w:rsidRPr="009F21BD" w:rsidRDefault="00C9316D" w:rsidP="00D415DB">
            <w:pPr>
              <w:pStyle w:val="Default"/>
              <w:jc w:val="both"/>
              <w:rPr>
                <w:color w:val="auto"/>
              </w:rPr>
            </w:pPr>
            <w:r w:rsidRPr="009F21BD">
              <w:rPr>
                <w:color w:val="auto"/>
              </w:rPr>
              <w:t xml:space="preserve">Elektrownie wiatrowe powinny być wyposażone w system pomiaru i rejestracji parametrów jakości energii (pomiar współczynnika migotania światła oraz harmonicznych napięcia i prądu). </w:t>
            </w:r>
          </w:p>
        </w:tc>
      </w:tr>
      <w:tr w:rsidR="00C9316D" w:rsidRPr="009F21BD" w14:paraId="0B29B969" w14:textId="77777777" w:rsidTr="00F5641B">
        <w:tc>
          <w:tcPr>
            <w:tcW w:w="1063" w:type="dxa"/>
            <w:shd w:val="clear" w:color="auto" w:fill="auto"/>
          </w:tcPr>
          <w:p w14:paraId="7A9FBD15" w14:textId="77777777" w:rsidR="00C9316D" w:rsidRPr="009F21BD" w:rsidRDefault="00C9316D" w:rsidP="00D415DB">
            <w:pPr>
              <w:jc w:val="both"/>
            </w:pPr>
            <w:r w:rsidRPr="009F21BD">
              <w:t>7.7.7.</w:t>
            </w:r>
          </w:p>
        </w:tc>
        <w:tc>
          <w:tcPr>
            <w:tcW w:w="8147" w:type="dxa"/>
            <w:shd w:val="clear" w:color="auto" w:fill="auto"/>
          </w:tcPr>
          <w:p w14:paraId="5D25B8A7" w14:textId="77777777" w:rsidR="00C9316D" w:rsidRPr="009F21BD" w:rsidRDefault="00C9316D" w:rsidP="00D415DB">
            <w:pPr>
              <w:pStyle w:val="Default"/>
              <w:jc w:val="both"/>
              <w:rPr>
                <w:color w:val="auto"/>
              </w:rPr>
            </w:pPr>
            <w:r w:rsidRPr="009F21BD">
              <w:rPr>
                <w:color w:val="auto"/>
              </w:rPr>
              <w:t xml:space="preserve">Współczynnik zakłóceń harmonicznymi telefonii THFF powinien być poniżej 1%. </w:t>
            </w:r>
          </w:p>
        </w:tc>
      </w:tr>
      <w:tr w:rsidR="00C9316D" w:rsidRPr="009F21BD" w14:paraId="576A5742" w14:textId="77777777" w:rsidTr="00F5641B">
        <w:tc>
          <w:tcPr>
            <w:tcW w:w="1063" w:type="dxa"/>
            <w:shd w:val="clear" w:color="auto" w:fill="auto"/>
          </w:tcPr>
          <w:p w14:paraId="5ABAA358" w14:textId="77777777" w:rsidR="00C9316D" w:rsidRPr="009F21BD" w:rsidRDefault="00C9316D" w:rsidP="00D415DB">
            <w:pPr>
              <w:jc w:val="both"/>
            </w:pPr>
            <w:r w:rsidRPr="009F21BD">
              <w:t>7.7.8.</w:t>
            </w:r>
          </w:p>
        </w:tc>
        <w:tc>
          <w:tcPr>
            <w:tcW w:w="8147" w:type="dxa"/>
            <w:shd w:val="clear" w:color="auto" w:fill="auto"/>
          </w:tcPr>
          <w:p w14:paraId="45195BA2" w14:textId="77777777" w:rsidR="00C9316D" w:rsidRDefault="00C9316D" w:rsidP="00D415DB">
            <w:pPr>
              <w:pStyle w:val="Default"/>
              <w:jc w:val="both"/>
              <w:rPr>
                <w:color w:val="auto"/>
              </w:rPr>
            </w:pPr>
            <w:r w:rsidRPr="009F21BD">
              <w:rPr>
                <w:color w:val="auto"/>
              </w:rPr>
              <w:t xml:space="preserve">Ze względu na ochronę urządzeń telekomunikacyjnych poziom zakłóceń powodowany przez elektrownię wiatrową w miejscu przyłączenia do sieci, powinien spełniać wymagania odpowiednich przepisów telekomunikacyjnych. </w:t>
            </w:r>
          </w:p>
          <w:p w14:paraId="78DD2892" w14:textId="77777777" w:rsidR="00D415DB" w:rsidRPr="009F21BD" w:rsidRDefault="00D415DB" w:rsidP="00D415DB">
            <w:pPr>
              <w:pStyle w:val="Default"/>
              <w:jc w:val="both"/>
              <w:rPr>
                <w:color w:val="auto"/>
              </w:rPr>
            </w:pPr>
          </w:p>
        </w:tc>
      </w:tr>
      <w:tr w:rsidR="00C9316D" w:rsidRPr="009F21BD" w14:paraId="61558EAA" w14:textId="77777777" w:rsidTr="00F5641B">
        <w:tc>
          <w:tcPr>
            <w:tcW w:w="9210" w:type="dxa"/>
            <w:gridSpan w:val="2"/>
            <w:shd w:val="clear" w:color="auto" w:fill="auto"/>
          </w:tcPr>
          <w:p w14:paraId="25A2604F" w14:textId="77777777" w:rsidR="00C9316D" w:rsidRPr="009F21BD" w:rsidRDefault="00C9316D" w:rsidP="00D415DB">
            <w:pPr>
              <w:jc w:val="both"/>
              <w:rPr>
                <w:b/>
                <w:bCs/>
              </w:rPr>
            </w:pPr>
            <w:r w:rsidRPr="009F21BD">
              <w:rPr>
                <w:b/>
                <w:bCs/>
              </w:rPr>
              <w:t>7.8. Elektroenergetyczna automatyka zabezpieczeniowa</w:t>
            </w:r>
          </w:p>
        </w:tc>
      </w:tr>
      <w:tr w:rsidR="00C9316D" w:rsidRPr="009F21BD" w14:paraId="5D0F093A" w14:textId="77777777" w:rsidTr="00F5641B">
        <w:tc>
          <w:tcPr>
            <w:tcW w:w="1063" w:type="dxa"/>
            <w:shd w:val="clear" w:color="auto" w:fill="auto"/>
          </w:tcPr>
          <w:p w14:paraId="2A4EF30A" w14:textId="77777777" w:rsidR="00C9316D" w:rsidRPr="009F21BD" w:rsidRDefault="00C9316D" w:rsidP="00D415DB">
            <w:pPr>
              <w:jc w:val="both"/>
            </w:pPr>
            <w:r w:rsidRPr="009F21BD">
              <w:t>7.8.1.</w:t>
            </w:r>
          </w:p>
        </w:tc>
        <w:tc>
          <w:tcPr>
            <w:tcW w:w="8147" w:type="dxa"/>
            <w:shd w:val="clear" w:color="auto" w:fill="auto"/>
          </w:tcPr>
          <w:p w14:paraId="31CE93F6" w14:textId="77777777" w:rsidR="00C9316D" w:rsidRPr="009F21BD" w:rsidRDefault="00C9316D" w:rsidP="00D415DB">
            <w:pPr>
              <w:jc w:val="both"/>
            </w:pPr>
            <w:r w:rsidRPr="009F21BD">
              <w:t>Właściciel elektrowni wiatrowej ponosi odpowiedzialność za projekt i instalację zabezpieczeń chroniących elektrownię przed skutkami prądów zwarciowych, napięć powrotnych po wyłączeniu zwarć w systemie, pracy asynchronicznej tej elektrowni oraz innymi oddziaływaniami zakłóceń systemowych.</w:t>
            </w:r>
          </w:p>
        </w:tc>
      </w:tr>
      <w:tr w:rsidR="00C9316D" w:rsidRPr="009F21BD" w14:paraId="3D4981DC" w14:textId="77777777" w:rsidTr="00F5641B">
        <w:tc>
          <w:tcPr>
            <w:tcW w:w="1063" w:type="dxa"/>
            <w:shd w:val="clear" w:color="auto" w:fill="auto"/>
          </w:tcPr>
          <w:p w14:paraId="24E1CD24" w14:textId="77777777" w:rsidR="00C9316D" w:rsidRPr="009F21BD" w:rsidRDefault="00C9316D" w:rsidP="00D415DB">
            <w:pPr>
              <w:jc w:val="both"/>
            </w:pPr>
            <w:r w:rsidRPr="009F21BD">
              <w:t>7.8.2.</w:t>
            </w:r>
          </w:p>
        </w:tc>
        <w:tc>
          <w:tcPr>
            <w:tcW w:w="8147" w:type="dxa"/>
            <w:shd w:val="clear" w:color="auto" w:fill="auto"/>
          </w:tcPr>
          <w:p w14:paraId="0587941B" w14:textId="77777777" w:rsidR="00C9316D" w:rsidRPr="009F21BD" w:rsidRDefault="00C9316D" w:rsidP="00D415DB">
            <w:pPr>
              <w:jc w:val="both"/>
            </w:pPr>
            <w:r w:rsidRPr="009F21BD">
              <w:t xml:space="preserve">Nastawienia zabezpieczeń elektrowni wiatrowej powinny być skoordynowane </w:t>
            </w:r>
            <w:r w:rsidRPr="009F21BD">
              <w:br/>
              <w:t>z zabezpieczeniami zainstalowanymi w sieci elektroenergetycznej.</w:t>
            </w:r>
          </w:p>
        </w:tc>
      </w:tr>
      <w:tr w:rsidR="00C9316D" w:rsidRPr="009F21BD" w14:paraId="59AEE02C" w14:textId="77777777" w:rsidTr="00F5641B">
        <w:tc>
          <w:tcPr>
            <w:tcW w:w="1063" w:type="dxa"/>
            <w:shd w:val="clear" w:color="auto" w:fill="auto"/>
          </w:tcPr>
          <w:p w14:paraId="4807BBA6" w14:textId="77777777" w:rsidR="00C9316D" w:rsidRPr="009F21BD" w:rsidRDefault="00C9316D" w:rsidP="00D415DB">
            <w:pPr>
              <w:jc w:val="both"/>
            </w:pPr>
            <w:r w:rsidRPr="009F21BD">
              <w:t>7.8.3.</w:t>
            </w:r>
          </w:p>
        </w:tc>
        <w:tc>
          <w:tcPr>
            <w:tcW w:w="8147" w:type="dxa"/>
            <w:shd w:val="clear" w:color="auto" w:fill="auto"/>
          </w:tcPr>
          <w:p w14:paraId="6BB6AA44" w14:textId="77777777" w:rsidR="00C9316D" w:rsidRPr="009F21BD" w:rsidRDefault="00C9316D" w:rsidP="00D415DB">
            <w:pPr>
              <w:jc w:val="both"/>
            </w:pPr>
            <w:r w:rsidRPr="009F21BD">
              <w:t>Nastawy zabezpieczeń elektrowni wiatrowej muszą zapewniać selektywność współdziałania z zabezpieczeniami sieci dla zwarć w sieci i w tej elektrowni wiatrowej.</w:t>
            </w:r>
          </w:p>
        </w:tc>
      </w:tr>
      <w:tr w:rsidR="00C9316D" w:rsidRPr="009F21BD" w14:paraId="0F555155" w14:textId="77777777" w:rsidTr="00F5641B">
        <w:tc>
          <w:tcPr>
            <w:tcW w:w="1063" w:type="dxa"/>
            <w:shd w:val="clear" w:color="auto" w:fill="auto"/>
          </w:tcPr>
          <w:p w14:paraId="24DAE05D" w14:textId="77777777" w:rsidR="00C9316D" w:rsidRPr="009F21BD" w:rsidRDefault="00C9316D" w:rsidP="00D415DB">
            <w:pPr>
              <w:jc w:val="both"/>
            </w:pPr>
            <w:r w:rsidRPr="009F21BD">
              <w:t>7.8.4.</w:t>
            </w:r>
          </w:p>
        </w:tc>
        <w:tc>
          <w:tcPr>
            <w:tcW w:w="8147" w:type="dxa"/>
            <w:shd w:val="clear" w:color="auto" w:fill="auto"/>
          </w:tcPr>
          <w:p w14:paraId="7BDE043B" w14:textId="77777777" w:rsidR="00C9316D" w:rsidRPr="009F21BD" w:rsidRDefault="00C9316D" w:rsidP="00D415DB">
            <w:pPr>
              <w:jc w:val="both"/>
            </w:pPr>
            <w:r w:rsidRPr="009F21BD">
              <w:t xml:space="preserve">Zwarcia wewnątrz elektrowni wiatrowej powinny być likwidowane selektywnie </w:t>
            </w:r>
            <w:r w:rsidRPr="009F21BD">
              <w:br/>
              <w:t>i powodować możliwie jak najmniejszy ubytek mocy tej elektrowni.</w:t>
            </w:r>
          </w:p>
        </w:tc>
      </w:tr>
      <w:tr w:rsidR="00C9316D" w:rsidRPr="009F21BD" w14:paraId="08162D8A" w14:textId="77777777" w:rsidTr="00F5641B">
        <w:tc>
          <w:tcPr>
            <w:tcW w:w="1063" w:type="dxa"/>
            <w:shd w:val="clear" w:color="auto" w:fill="auto"/>
          </w:tcPr>
          <w:p w14:paraId="571DF422" w14:textId="77777777" w:rsidR="00C9316D" w:rsidRPr="009F21BD" w:rsidRDefault="00C9316D" w:rsidP="00D415DB">
            <w:pPr>
              <w:jc w:val="both"/>
            </w:pPr>
            <w:r w:rsidRPr="009F21BD">
              <w:t>7.8.5.</w:t>
            </w:r>
          </w:p>
        </w:tc>
        <w:tc>
          <w:tcPr>
            <w:tcW w:w="8147" w:type="dxa"/>
            <w:shd w:val="clear" w:color="auto" w:fill="auto"/>
          </w:tcPr>
          <w:p w14:paraId="332B966B" w14:textId="77777777" w:rsidR="00C9316D" w:rsidRPr="009F21BD" w:rsidRDefault="00C9316D" w:rsidP="00D415DB">
            <w:pPr>
              <w:jc w:val="both"/>
            </w:pPr>
            <w:r w:rsidRPr="009F21BD">
              <w:t>Na etapie opracowywania projektu podstawowego elektrowni wiatrowej należy przeprowadzić i uzgodnić z odpowiednim operatorem systemu analizę zabezpieczeń obejmującą sprawdzenie:</w:t>
            </w:r>
          </w:p>
          <w:p w14:paraId="2A364716" w14:textId="77777777" w:rsidR="00C9316D" w:rsidRPr="009F21BD" w:rsidRDefault="00C9316D">
            <w:pPr>
              <w:numPr>
                <w:ilvl w:val="0"/>
                <w:numId w:val="166"/>
              </w:numPr>
              <w:ind w:left="355" w:hanging="355"/>
              <w:jc w:val="both"/>
            </w:pPr>
            <w:r w:rsidRPr="009F21BD">
              <w:t>kompletności zabezpieczeń,</w:t>
            </w:r>
          </w:p>
          <w:p w14:paraId="7F51E404" w14:textId="77777777" w:rsidR="00C9316D" w:rsidRPr="009F21BD" w:rsidRDefault="00C9316D">
            <w:pPr>
              <w:numPr>
                <w:ilvl w:val="0"/>
                <w:numId w:val="166"/>
              </w:numPr>
              <w:ind w:left="355" w:hanging="355"/>
              <w:jc w:val="both"/>
            </w:pPr>
            <w:r w:rsidRPr="009F21BD">
              <w:t>poprawności nastaw na poszczególnych jednostkach i w rozdzielni elektrowni wiatrowej,</w:t>
            </w:r>
          </w:p>
          <w:p w14:paraId="03A5632B" w14:textId="77777777" w:rsidR="00C9316D" w:rsidRPr="009F21BD" w:rsidRDefault="00C9316D">
            <w:pPr>
              <w:numPr>
                <w:ilvl w:val="0"/>
                <w:numId w:val="166"/>
              </w:numPr>
              <w:ind w:left="355" w:hanging="355"/>
              <w:jc w:val="both"/>
            </w:pPr>
            <w:r w:rsidRPr="009F21BD">
              <w:t xml:space="preserve">koordynacji z zabezpieczeniami systemu rozdzielczego i/lub przesyłowego. </w:t>
            </w:r>
          </w:p>
          <w:p w14:paraId="7ADA29E1" w14:textId="77777777" w:rsidR="00C9316D" w:rsidRDefault="00C9316D" w:rsidP="00D415DB">
            <w:pPr>
              <w:jc w:val="both"/>
            </w:pPr>
            <w:r w:rsidRPr="009F21BD">
              <w:t>Wyniki analiz należy przekazać do OSDn.</w:t>
            </w:r>
          </w:p>
          <w:p w14:paraId="1E85A4F6" w14:textId="77777777" w:rsidR="00D415DB" w:rsidRPr="009F21BD" w:rsidRDefault="00D415DB" w:rsidP="00D415DB">
            <w:pPr>
              <w:jc w:val="both"/>
            </w:pPr>
          </w:p>
        </w:tc>
      </w:tr>
      <w:tr w:rsidR="00C9316D" w:rsidRPr="009F21BD" w14:paraId="357AEDC9" w14:textId="77777777" w:rsidTr="00F5641B">
        <w:tc>
          <w:tcPr>
            <w:tcW w:w="9210" w:type="dxa"/>
            <w:gridSpan w:val="2"/>
            <w:shd w:val="clear" w:color="auto" w:fill="auto"/>
          </w:tcPr>
          <w:p w14:paraId="55DDB523" w14:textId="77777777" w:rsidR="00C9316D" w:rsidRPr="009F21BD" w:rsidRDefault="00C9316D" w:rsidP="00D415DB">
            <w:pPr>
              <w:jc w:val="both"/>
              <w:rPr>
                <w:b/>
                <w:bCs/>
              </w:rPr>
            </w:pPr>
            <w:r w:rsidRPr="009F21BD">
              <w:rPr>
                <w:b/>
                <w:bCs/>
              </w:rPr>
              <w:t>7.9. Monitoring i komunikacja elektrowni wiatrowej z operatorem systemu</w:t>
            </w:r>
          </w:p>
        </w:tc>
      </w:tr>
      <w:tr w:rsidR="00C9316D" w:rsidRPr="009F21BD" w14:paraId="7D8B3367" w14:textId="77777777" w:rsidTr="00F5641B">
        <w:tc>
          <w:tcPr>
            <w:tcW w:w="1063" w:type="dxa"/>
            <w:shd w:val="clear" w:color="auto" w:fill="auto"/>
          </w:tcPr>
          <w:p w14:paraId="48010B57" w14:textId="77777777" w:rsidR="00C9316D" w:rsidRPr="009F21BD" w:rsidRDefault="00C9316D" w:rsidP="00D415DB">
            <w:pPr>
              <w:jc w:val="both"/>
            </w:pPr>
            <w:r w:rsidRPr="009F21BD">
              <w:t>7.9.1.</w:t>
            </w:r>
          </w:p>
        </w:tc>
        <w:tc>
          <w:tcPr>
            <w:tcW w:w="8147" w:type="dxa"/>
            <w:shd w:val="clear" w:color="auto" w:fill="auto"/>
          </w:tcPr>
          <w:p w14:paraId="6B1CE1D8" w14:textId="77777777" w:rsidR="00C9316D" w:rsidRPr="009F21BD" w:rsidRDefault="00C9316D" w:rsidP="00D415DB">
            <w:pPr>
              <w:autoSpaceDE w:val="0"/>
              <w:autoSpaceDN w:val="0"/>
              <w:adjustRightInd w:val="0"/>
              <w:jc w:val="both"/>
            </w:pPr>
            <w:r w:rsidRPr="009F21BD">
              <w:t>Operator systemu, do sieci którego przyłączana jest farma wiatrowa, musi otrzymywać sygnały pomiarowe i rejestrowane parametry elektrowni.</w:t>
            </w:r>
          </w:p>
          <w:p w14:paraId="4E11021F" w14:textId="77777777" w:rsidR="00C9316D" w:rsidRPr="009F21BD" w:rsidRDefault="00C9316D" w:rsidP="00D415DB">
            <w:pPr>
              <w:pStyle w:val="Default"/>
              <w:jc w:val="both"/>
              <w:rPr>
                <w:color w:val="auto"/>
              </w:rPr>
            </w:pPr>
            <w:r w:rsidRPr="009F21BD">
              <w:rPr>
                <w:color w:val="auto"/>
              </w:rPr>
              <w:t xml:space="preserve">Zakres danych przekazywanych do operatora systemu przesyłowego </w:t>
            </w:r>
            <w:r w:rsidRPr="009F21BD">
              <w:rPr>
                <w:color w:val="auto"/>
              </w:rPr>
              <w:br/>
              <w:t xml:space="preserve">i odpowiedniego operatora systemu dystrybucyjnego oraz miejsce ich dostarczania określają warunki przyłączenia. </w:t>
            </w:r>
          </w:p>
        </w:tc>
      </w:tr>
      <w:tr w:rsidR="00C9316D" w:rsidRPr="009F21BD" w14:paraId="1566E59A" w14:textId="77777777" w:rsidTr="00F5641B">
        <w:tc>
          <w:tcPr>
            <w:tcW w:w="1063" w:type="dxa"/>
            <w:shd w:val="clear" w:color="auto" w:fill="auto"/>
          </w:tcPr>
          <w:p w14:paraId="603FF5F2" w14:textId="77777777" w:rsidR="00C9316D" w:rsidRPr="009F21BD" w:rsidRDefault="00C9316D" w:rsidP="00D415DB">
            <w:pPr>
              <w:jc w:val="both"/>
            </w:pPr>
            <w:r w:rsidRPr="009F21BD">
              <w:t>7.9.2.</w:t>
            </w:r>
          </w:p>
        </w:tc>
        <w:tc>
          <w:tcPr>
            <w:tcW w:w="8147" w:type="dxa"/>
            <w:shd w:val="clear" w:color="auto" w:fill="auto"/>
          </w:tcPr>
          <w:p w14:paraId="10CB24C0" w14:textId="77777777" w:rsidR="00C9316D" w:rsidRPr="009F21BD" w:rsidRDefault="00C9316D" w:rsidP="00D415DB">
            <w:pPr>
              <w:jc w:val="both"/>
            </w:pPr>
            <w:r w:rsidRPr="009F21BD">
              <w:t xml:space="preserve">Minimalny zakres udostępnianych OSDn pomiarów wielkości analogowych </w:t>
            </w:r>
            <w:r w:rsidRPr="009F21BD">
              <w:br/>
              <w:t>z elektrowni wiatrowej obejmuje wartości chwilowe:</w:t>
            </w:r>
          </w:p>
          <w:p w14:paraId="5C4D9970" w14:textId="77777777" w:rsidR="00C9316D" w:rsidRPr="009F21BD" w:rsidRDefault="00C9316D" w:rsidP="00D415DB">
            <w:pPr>
              <w:jc w:val="both"/>
            </w:pPr>
            <w:r w:rsidRPr="009F21BD">
              <w:t>a) mocy czynnej,</w:t>
            </w:r>
          </w:p>
          <w:p w14:paraId="280446AA" w14:textId="77777777" w:rsidR="00C9316D" w:rsidRPr="009F21BD" w:rsidRDefault="00C9316D" w:rsidP="00D415DB">
            <w:pPr>
              <w:jc w:val="both"/>
            </w:pPr>
            <w:r w:rsidRPr="009F21BD">
              <w:t>b) mocy biernej,</w:t>
            </w:r>
          </w:p>
          <w:p w14:paraId="4717AD97" w14:textId="77777777" w:rsidR="00C9316D" w:rsidRPr="009F21BD" w:rsidRDefault="00C9316D" w:rsidP="00D415DB">
            <w:pPr>
              <w:jc w:val="both"/>
            </w:pPr>
            <w:r w:rsidRPr="009F21BD">
              <w:t>c) napięcia w miejscu przyłączenia do sieci,</w:t>
            </w:r>
          </w:p>
          <w:p w14:paraId="726B5EC8" w14:textId="77777777" w:rsidR="00C9316D" w:rsidRPr="009F21BD" w:rsidRDefault="00C9316D" w:rsidP="00D415DB">
            <w:pPr>
              <w:jc w:val="both"/>
            </w:pPr>
            <w:r w:rsidRPr="009F21BD">
              <w:t>d) współczynnika mocy cos φ,</w:t>
            </w:r>
          </w:p>
          <w:p w14:paraId="1C201233" w14:textId="77777777" w:rsidR="00C9316D" w:rsidRPr="009F21BD" w:rsidRDefault="00C9316D" w:rsidP="00D415DB">
            <w:pPr>
              <w:jc w:val="both"/>
            </w:pPr>
            <w:r w:rsidRPr="009F21BD">
              <w:t>e) średniej dla elektrowni prędkości wiatru.</w:t>
            </w:r>
          </w:p>
        </w:tc>
      </w:tr>
      <w:tr w:rsidR="00C9316D" w:rsidRPr="009F21BD" w14:paraId="2C6E7771" w14:textId="77777777" w:rsidTr="00F5641B">
        <w:tc>
          <w:tcPr>
            <w:tcW w:w="1063" w:type="dxa"/>
            <w:shd w:val="clear" w:color="auto" w:fill="auto"/>
          </w:tcPr>
          <w:p w14:paraId="27830BD4" w14:textId="77777777" w:rsidR="00C9316D" w:rsidRPr="009F21BD" w:rsidRDefault="00C9316D" w:rsidP="00D415DB">
            <w:pPr>
              <w:jc w:val="both"/>
            </w:pPr>
            <w:r w:rsidRPr="009F21BD">
              <w:t>7.9.3.</w:t>
            </w:r>
          </w:p>
        </w:tc>
        <w:tc>
          <w:tcPr>
            <w:tcW w:w="8147" w:type="dxa"/>
            <w:shd w:val="clear" w:color="auto" w:fill="auto"/>
          </w:tcPr>
          <w:p w14:paraId="69699769" w14:textId="77777777" w:rsidR="00C9316D" w:rsidRPr="009F21BD" w:rsidRDefault="00C9316D" w:rsidP="00D415DB">
            <w:pPr>
              <w:jc w:val="both"/>
            </w:pPr>
            <w:r w:rsidRPr="009F21BD">
              <w:t>Minimalny zakres udostępnianych OSDn danych dwustanowych obejmuje:</w:t>
            </w:r>
          </w:p>
          <w:p w14:paraId="12E2775B" w14:textId="77777777" w:rsidR="00C9316D" w:rsidRPr="009F21BD" w:rsidRDefault="00C9316D">
            <w:pPr>
              <w:numPr>
                <w:ilvl w:val="0"/>
                <w:numId w:val="167"/>
              </w:numPr>
              <w:ind w:left="355" w:hanging="355"/>
              <w:jc w:val="both"/>
            </w:pPr>
            <w:r w:rsidRPr="009F21BD">
              <w:t>aktualny stan jednostek wytwórczych elektrowni, w tym liczbę jednostek pracujących, gotowych do pracy i przyczyny postoju pozostałych,</w:t>
            </w:r>
          </w:p>
          <w:p w14:paraId="15099A3B" w14:textId="77777777" w:rsidR="00C9316D" w:rsidRPr="009F21BD" w:rsidRDefault="00C9316D">
            <w:pPr>
              <w:numPr>
                <w:ilvl w:val="0"/>
                <w:numId w:val="167"/>
              </w:numPr>
              <w:ind w:left="355" w:hanging="355"/>
              <w:jc w:val="both"/>
            </w:pPr>
            <w:r w:rsidRPr="009F21BD">
              <w:t>inne dane mogące skutkować wyłączeniem elektrowni wiatrowej, na warunkach uzgodnionych w umowie o przyłączenie.</w:t>
            </w:r>
          </w:p>
        </w:tc>
      </w:tr>
      <w:tr w:rsidR="00C9316D" w:rsidRPr="009F21BD" w14:paraId="7533D559" w14:textId="77777777" w:rsidTr="00F5641B">
        <w:tc>
          <w:tcPr>
            <w:tcW w:w="1063" w:type="dxa"/>
            <w:shd w:val="clear" w:color="auto" w:fill="auto"/>
          </w:tcPr>
          <w:p w14:paraId="24E8F1C2" w14:textId="77777777" w:rsidR="00C9316D" w:rsidRPr="009F21BD" w:rsidRDefault="00C9316D" w:rsidP="00D415DB">
            <w:pPr>
              <w:jc w:val="both"/>
            </w:pPr>
            <w:r w:rsidRPr="009F21BD">
              <w:t>7.9.4.</w:t>
            </w:r>
          </w:p>
        </w:tc>
        <w:tc>
          <w:tcPr>
            <w:tcW w:w="8147" w:type="dxa"/>
            <w:shd w:val="clear" w:color="auto" w:fill="auto"/>
          </w:tcPr>
          <w:p w14:paraId="178F72CD" w14:textId="77777777" w:rsidR="00C9316D" w:rsidRPr="009F21BD" w:rsidRDefault="00C9316D" w:rsidP="00D415DB">
            <w:pPr>
              <w:jc w:val="both"/>
            </w:pPr>
            <w:r w:rsidRPr="009F21BD">
              <w:t xml:space="preserve">Właściciel elektrowni wiatrowej dostarcza odpowiedniemu operatorowi systemu aktualne parametry wyposażenia elektrowni wiatrowej (urządzeń podstawowych </w:t>
            </w:r>
            <w:r w:rsidRPr="009F21BD">
              <w:br/>
              <w:t>i układów regulacji), niezbędne dla przeprowadzania analiz systemowych. W fazie przed uruchomieniem elektrowni wiatrowej są to dane producentów urządzeń.</w:t>
            </w:r>
          </w:p>
        </w:tc>
      </w:tr>
      <w:tr w:rsidR="00C9316D" w:rsidRPr="009F21BD" w14:paraId="40427F77" w14:textId="77777777" w:rsidTr="00F5641B">
        <w:tc>
          <w:tcPr>
            <w:tcW w:w="1063" w:type="dxa"/>
            <w:shd w:val="clear" w:color="auto" w:fill="auto"/>
          </w:tcPr>
          <w:p w14:paraId="608C9DFB" w14:textId="77777777" w:rsidR="00C9316D" w:rsidRPr="009F21BD" w:rsidRDefault="00C9316D" w:rsidP="00D415DB">
            <w:pPr>
              <w:jc w:val="both"/>
            </w:pPr>
            <w:r w:rsidRPr="009F21BD">
              <w:t>7.9.5.</w:t>
            </w:r>
          </w:p>
        </w:tc>
        <w:tc>
          <w:tcPr>
            <w:tcW w:w="8147" w:type="dxa"/>
            <w:shd w:val="clear" w:color="auto" w:fill="auto"/>
          </w:tcPr>
          <w:p w14:paraId="0D95A0B2" w14:textId="77777777" w:rsidR="00C9316D" w:rsidRPr="009F21BD" w:rsidRDefault="00C9316D" w:rsidP="00D415DB">
            <w:pPr>
              <w:jc w:val="both"/>
            </w:pPr>
            <w:r w:rsidRPr="009F21BD">
              <w:t>OSDn określa w warunkach przyłączenia do sieci zakres danych technicznych dla danej elektrowni wiatrowej, które są niezbędne do prowadzenia i planowania ruchu systemu.</w:t>
            </w:r>
          </w:p>
        </w:tc>
      </w:tr>
      <w:tr w:rsidR="00C9316D" w:rsidRPr="009F21BD" w14:paraId="1305D5C5" w14:textId="77777777" w:rsidTr="00F5641B">
        <w:tc>
          <w:tcPr>
            <w:tcW w:w="1063" w:type="dxa"/>
            <w:shd w:val="clear" w:color="auto" w:fill="auto"/>
          </w:tcPr>
          <w:p w14:paraId="5220D7EA" w14:textId="77777777" w:rsidR="00C9316D" w:rsidRPr="009F21BD" w:rsidRDefault="00C9316D" w:rsidP="00D415DB">
            <w:pPr>
              <w:jc w:val="both"/>
            </w:pPr>
            <w:r w:rsidRPr="009F21BD">
              <w:t>7.9.6.</w:t>
            </w:r>
          </w:p>
        </w:tc>
        <w:tc>
          <w:tcPr>
            <w:tcW w:w="8147" w:type="dxa"/>
            <w:shd w:val="clear" w:color="auto" w:fill="auto"/>
          </w:tcPr>
          <w:p w14:paraId="5108041F" w14:textId="77777777" w:rsidR="00C9316D" w:rsidRPr="009F21BD" w:rsidRDefault="00C9316D" w:rsidP="00D415DB">
            <w:pPr>
              <w:jc w:val="both"/>
            </w:pPr>
            <w:r w:rsidRPr="009F21BD">
              <w:t>Parametry techniczne systemu wymiany informacji pomiędzy elektrownią wiatrową i OSDn, określa OSDn na etapie projektowania.</w:t>
            </w:r>
          </w:p>
          <w:p w14:paraId="3B930A7B" w14:textId="77777777" w:rsidR="00C9316D" w:rsidRPr="009F21BD" w:rsidRDefault="00C9316D" w:rsidP="00D415DB">
            <w:pPr>
              <w:jc w:val="both"/>
            </w:pPr>
          </w:p>
        </w:tc>
      </w:tr>
      <w:tr w:rsidR="00C9316D" w:rsidRPr="009F21BD" w14:paraId="69680A5E" w14:textId="77777777" w:rsidTr="00F5641B">
        <w:tc>
          <w:tcPr>
            <w:tcW w:w="9210" w:type="dxa"/>
            <w:gridSpan w:val="2"/>
            <w:shd w:val="clear" w:color="auto" w:fill="auto"/>
          </w:tcPr>
          <w:p w14:paraId="61E6AC2C" w14:textId="77777777" w:rsidR="00C9316D" w:rsidRPr="009F21BD" w:rsidRDefault="00C9316D" w:rsidP="00D415DB">
            <w:pPr>
              <w:jc w:val="both"/>
              <w:rPr>
                <w:b/>
                <w:bCs/>
              </w:rPr>
            </w:pPr>
            <w:r w:rsidRPr="009F21BD">
              <w:rPr>
                <w:b/>
                <w:bCs/>
              </w:rPr>
              <w:t>7.10. Testy sprawdzające</w:t>
            </w:r>
          </w:p>
        </w:tc>
      </w:tr>
      <w:tr w:rsidR="00C9316D" w:rsidRPr="009F21BD" w14:paraId="687E15F9" w14:textId="77777777" w:rsidTr="00F5641B">
        <w:tc>
          <w:tcPr>
            <w:tcW w:w="1063" w:type="dxa"/>
            <w:shd w:val="clear" w:color="auto" w:fill="auto"/>
          </w:tcPr>
          <w:p w14:paraId="5762B80D" w14:textId="77777777" w:rsidR="00C9316D" w:rsidRPr="009F21BD" w:rsidRDefault="00C9316D" w:rsidP="00D415DB">
            <w:pPr>
              <w:jc w:val="both"/>
            </w:pPr>
            <w:r w:rsidRPr="009F21BD">
              <w:t>7.10.1.</w:t>
            </w:r>
          </w:p>
        </w:tc>
        <w:tc>
          <w:tcPr>
            <w:tcW w:w="8147" w:type="dxa"/>
            <w:shd w:val="clear" w:color="auto" w:fill="auto"/>
          </w:tcPr>
          <w:p w14:paraId="013BA6E3" w14:textId="77777777" w:rsidR="00C9316D" w:rsidRPr="009F21BD" w:rsidRDefault="00C9316D" w:rsidP="00D415DB">
            <w:pPr>
              <w:jc w:val="both"/>
            </w:pPr>
            <w:r w:rsidRPr="009F21BD">
              <w:t>Właściciel elektrowni wiatrowej przyłączanej do sieci dystrybucyjnej jest zobowiązany do przeprowadzenia w okresie pierwszego roku pracy elektrowni, testów sprawdzających spełnienie wymagań IRiESD. Sposób przeprowadzenia testów elektrowni wiatrowej uzgadniany jest z właściwym operatorem systemu. Uzgodnienie to powinno nastąpić na co najmniej 6 miesięcy przed terminem uruchomienia elektrowni wiatrowej.</w:t>
            </w:r>
          </w:p>
        </w:tc>
      </w:tr>
      <w:tr w:rsidR="00C9316D" w:rsidRPr="009F21BD" w14:paraId="64C471B0" w14:textId="77777777" w:rsidTr="00F5641B">
        <w:tc>
          <w:tcPr>
            <w:tcW w:w="1063" w:type="dxa"/>
            <w:shd w:val="clear" w:color="auto" w:fill="auto"/>
          </w:tcPr>
          <w:p w14:paraId="481DE48C" w14:textId="77777777" w:rsidR="00C9316D" w:rsidRPr="009F21BD" w:rsidRDefault="00C9316D" w:rsidP="00D415DB">
            <w:pPr>
              <w:jc w:val="both"/>
            </w:pPr>
            <w:r w:rsidRPr="009F21BD">
              <w:t>7.10.2.</w:t>
            </w:r>
          </w:p>
        </w:tc>
        <w:tc>
          <w:tcPr>
            <w:tcW w:w="8147" w:type="dxa"/>
            <w:shd w:val="clear" w:color="auto" w:fill="auto"/>
          </w:tcPr>
          <w:p w14:paraId="3DD5B42A" w14:textId="77777777" w:rsidR="00C9316D" w:rsidRDefault="00C9316D" w:rsidP="00D415DB">
            <w:pPr>
              <w:pStyle w:val="Default"/>
              <w:jc w:val="both"/>
              <w:rPr>
                <w:color w:val="auto"/>
              </w:rPr>
            </w:pPr>
            <w:r w:rsidRPr="009F21BD">
              <w:rPr>
                <w:color w:val="auto"/>
              </w:rPr>
              <w:t xml:space="preserve">Właściciel elektrowni wiatrowej na co najmniej 2 miesiące przed terminem uruchomienia elektrowni wiatrowej dostarcza odpowiedniemu operatorowi systemu zakres, program i harmonogram przeprowadzania testów, dostarczając równocześnie inne niezbędne dokumenty, jak instrukcje układów regulacji </w:t>
            </w:r>
            <w:r w:rsidRPr="009F21BD">
              <w:rPr>
                <w:color w:val="auto"/>
              </w:rPr>
              <w:br/>
              <w:t xml:space="preserve">i instrukcję współpracy ruchowej. Powyższe dokumenty podlegają uzgodnieniu </w:t>
            </w:r>
            <w:r w:rsidRPr="009F21BD">
              <w:rPr>
                <w:color w:val="auto"/>
              </w:rPr>
              <w:br/>
              <w:t xml:space="preserve">z właściwym operatorem systemu. Uzgodnienie to powinno być zakończone </w:t>
            </w:r>
            <w:r w:rsidRPr="009F21BD">
              <w:rPr>
                <w:color w:val="auto"/>
              </w:rPr>
              <w:br/>
              <w:t xml:space="preserve">w terminie 30 dni roboczych przed rozpoczęciem testów sprawdzających. </w:t>
            </w:r>
          </w:p>
          <w:p w14:paraId="4A6D78E9" w14:textId="77777777" w:rsidR="00C9316D" w:rsidRPr="009F21BD" w:rsidRDefault="00C9316D" w:rsidP="00D415DB">
            <w:pPr>
              <w:jc w:val="both"/>
            </w:pPr>
            <w:r w:rsidRPr="009F21BD">
              <w:t>W testach sprawdzających powinna uczestniczyć niezależna firma ekspercka, uzgodniona pomiędzy OSDn i podmiotem posiadającym farmę wiatrową. Możliwe jest wytypowanie dla danego obszaru merytorycznego (określonej grupy testów sprawdzających) odrębnej, niezależnej firmy eksperckiej, o ile takie rozwiązanie zostanie uzgodnione pomiędzy stronami. Firma ekspercka nie powinna być zaangażowana w jakiekolwiek prace przy budowie farmy wiatrowej, będące przedmiotem przeprowadzenia obiektowych testów sprawdzających.</w:t>
            </w:r>
          </w:p>
        </w:tc>
      </w:tr>
      <w:tr w:rsidR="00C9316D" w:rsidRPr="009F21BD" w14:paraId="0F3B07A3" w14:textId="77777777" w:rsidTr="00F5641B">
        <w:tc>
          <w:tcPr>
            <w:tcW w:w="1063" w:type="dxa"/>
            <w:shd w:val="clear" w:color="auto" w:fill="auto"/>
          </w:tcPr>
          <w:p w14:paraId="5F4A4E1E" w14:textId="77777777" w:rsidR="00C9316D" w:rsidRPr="009F21BD" w:rsidRDefault="00C9316D" w:rsidP="00D415DB">
            <w:pPr>
              <w:jc w:val="both"/>
            </w:pPr>
            <w:r w:rsidRPr="009F21BD">
              <w:t>7.10.3.</w:t>
            </w:r>
          </w:p>
        </w:tc>
        <w:tc>
          <w:tcPr>
            <w:tcW w:w="8147" w:type="dxa"/>
            <w:shd w:val="clear" w:color="auto" w:fill="auto"/>
          </w:tcPr>
          <w:p w14:paraId="40A3C54B" w14:textId="77777777" w:rsidR="00C9316D" w:rsidRPr="009F21BD" w:rsidRDefault="00C9316D" w:rsidP="00D415DB">
            <w:pPr>
              <w:jc w:val="both"/>
            </w:pPr>
            <w:r w:rsidRPr="009F21BD">
              <w:t>Testy dotyczyć powinny w szczególności:</w:t>
            </w:r>
          </w:p>
          <w:p w14:paraId="65D49367" w14:textId="77777777" w:rsidR="00C9316D" w:rsidRPr="009F21BD" w:rsidRDefault="00C9316D">
            <w:pPr>
              <w:numPr>
                <w:ilvl w:val="0"/>
                <w:numId w:val="168"/>
              </w:numPr>
              <w:ind w:left="357" w:hanging="357"/>
              <w:jc w:val="both"/>
            </w:pPr>
            <w:r w:rsidRPr="009F21BD">
              <w:t>charakterystyki mocy elektrowni wiatrowej w funkcji prędkości wiatru,</w:t>
            </w:r>
          </w:p>
          <w:p w14:paraId="2727C95C" w14:textId="77777777" w:rsidR="00C9316D" w:rsidRPr="009F21BD" w:rsidRDefault="00C9316D">
            <w:pPr>
              <w:numPr>
                <w:ilvl w:val="0"/>
                <w:numId w:val="168"/>
              </w:numPr>
              <w:ind w:left="357" w:hanging="357"/>
              <w:jc w:val="both"/>
            </w:pPr>
            <w:r w:rsidRPr="009F21BD">
              <w:t>uruchomienia elektrowni wiatrowej przy wietrze umożliwiającym osiągnięcie co najmniej 75% mocy znamionowej, z kontrolą gradientu wzrostu mocy i zmian napięcia,</w:t>
            </w:r>
          </w:p>
          <w:p w14:paraId="3C649A53" w14:textId="77777777" w:rsidR="00C9316D" w:rsidRPr="009F21BD" w:rsidRDefault="00C9316D">
            <w:pPr>
              <w:numPr>
                <w:ilvl w:val="0"/>
                <w:numId w:val="168"/>
              </w:numPr>
              <w:ind w:left="357" w:hanging="357"/>
              <w:jc w:val="both"/>
            </w:pPr>
            <w:r w:rsidRPr="009F21BD">
              <w:t>odstawiania elektrowni wiatrowej przy prędkości wiatru przekraczającej wartość, przy której osiągana jest moc znamionowa,</w:t>
            </w:r>
          </w:p>
          <w:p w14:paraId="7A813C10" w14:textId="77777777" w:rsidR="00C9316D" w:rsidRPr="009F21BD" w:rsidRDefault="00C9316D">
            <w:pPr>
              <w:numPr>
                <w:ilvl w:val="0"/>
                <w:numId w:val="168"/>
              </w:numPr>
              <w:ind w:left="357" w:hanging="357"/>
              <w:jc w:val="both"/>
            </w:pPr>
            <w:r w:rsidRPr="009F21BD">
              <w:t>szybkości zmian napięcia przez układ regulacji napięcia,</w:t>
            </w:r>
          </w:p>
          <w:p w14:paraId="4AEA30D1" w14:textId="77777777" w:rsidR="00C9316D" w:rsidRPr="009F21BD" w:rsidRDefault="00C9316D">
            <w:pPr>
              <w:numPr>
                <w:ilvl w:val="0"/>
                <w:numId w:val="168"/>
              </w:numPr>
              <w:ind w:left="357" w:hanging="357"/>
              <w:jc w:val="both"/>
            </w:pPr>
            <w:r w:rsidRPr="009F21BD">
              <w:t>działania układu regulacji mocy i częstotliwości,</w:t>
            </w:r>
          </w:p>
          <w:p w14:paraId="155F9746" w14:textId="77777777" w:rsidR="00C9316D" w:rsidRPr="009F21BD" w:rsidRDefault="00C9316D">
            <w:pPr>
              <w:numPr>
                <w:ilvl w:val="0"/>
                <w:numId w:val="168"/>
              </w:numPr>
              <w:ind w:left="357" w:hanging="357"/>
              <w:jc w:val="both"/>
            </w:pPr>
            <w:r w:rsidRPr="009F21BD">
              <w:t>wpływu elektrowni wiatrowej na jakość energii.</w:t>
            </w:r>
          </w:p>
        </w:tc>
      </w:tr>
      <w:tr w:rsidR="00C9316D" w:rsidRPr="009F21BD" w14:paraId="37DBDB93" w14:textId="77777777" w:rsidTr="00F5641B">
        <w:tc>
          <w:tcPr>
            <w:tcW w:w="1063" w:type="dxa"/>
            <w:shd w:val="clear" w:color="auto" w:fill="auto"/>
          </w:tcPr>
          <w:p w14:paraId="66A0BC53" w14:textId="77777777" w:rsidR="00C9316D" w:rsidRPr="009F21BD" w:rsidRDefault="00C9316D" w:rsidP="00D415DB">
            <w:pPr>
              <w:jc w:val="both"/>
            </w:pPr>
            <w:r w:rsidRPr="009F21BD">
              <w:t>7.10.4.</w:t>
            </w:r>
          </w:p>
        </w:tc>
        <w:tc>
          <w:tcPr>
            <w:tcW w:w="8147" w:type="dxa"/>
            <w:shd w:val="clear" w:color="auto" w:fill="auto"/>
          </w:tcPr>
          <w:p w14:paraId="3F659A43" w14:textId="77777777" w:rsidR="00C9316D" w:rsidRPr="009F21BD" w:rsidRDefault="00C9316D" w:rsidP="00D415DB">
            <w:pPr>
              <w:jc w:val="both"/>
            </w:pPr>
            <w:r w:rsidRPr="009F21BD">
              <w:t>OSDn wydaje zgodę na pierwsze uruchomienie elektrowni wiatrowej i przeprowadzenie testów.</w:t>
            </w:r>
          </w:p>
        </w:tc>
      </w:tr>
      <w:tr w:rsidR="00C9316D" w:rsidRPr="009F21BD" w14:paraId="4A2CE919" w14:textId="77777777" w:rsidTr="00F5641B">
        <w:tc>
          <w:tcPr>
            <w:tcW w:w="1063" w:type="dxa"/>
            <w:shd w:val="clear" w:color="auto" w:fill="auto"/>
          </w:tcPr>
          <w:p w14:paraId="08836B13" w14:textId="77777777" w:rsidR="00C9316D" w:rsidRPr="009F21BD" w:rsidRDefault="00C9316D" w:rsidP="00D415DB">
            <w:pPr>
              <w:jc w:val="both"/>
            </w:pPr>
            <w:r w:rsidRPr="009F21BD">
              <w:t>7.10.5.</w:t>
            </w:r>
          </w:p>
        </w:tc>
        <w:tc>
          <w:tcPr>
            <w:tcW w:w="8147" w:type="dxa"/>
            <w:shd w:val="clear" w:color="auto" w:fill="auto"/>
          </w:tcPr>
          <w:p w14:paraId="34AF751F" w14:textId="77777777" w:rsidR="00C9316D" w:rsidRPr="009F21BD" w:rsidRDefault="00C9316D" w:rsidP="00D415DB">
            <w:pPr>
              <w:jc w:val="both"/>
            </w:pPr>
            <w:r w:rsidRPr="009F21BD">
              <w:t>Szczegółowy raport z przeprowadzonych testów dostarczany jest OSDn w terminie do 6 tygodni po ich zakończeniu.</w:t>
            </w:r>
          </w:p>
        </w:tc>
      </w:tr>
      <w:tr w:rsidR="00C9316D" w:rsidRPr="009F21BD" w14:paraId="4A0C5DDC" w14:textId="77777777" w:rsidTr="00F5641B">
        <w:tc>
          <w:tcPr>
            <w:tcW w:w="1063" w:type="dxa"/>
            <w:shd w:val="clear" w:color="auto" w:fill="auto"/>
          </w:tcPr>
          <w:p w14:paraId="37F73ED2" w14:textId="77777777" w:rsidR="00C9316D" w:rsidRPr="009F21BD" w:rsidRDefault="00C9316D" w:rsidP="00D415DB">
            <w:pPr>
              <w:jc w:val="both"/>
            </w:pPr>
            <w:r w:rsidRPr="009F21BD">
              <w:t>7.10.6.</w:t>
            </w:r>
          </w:p>
        </w:tc>
        <w:tc>
          <w:tcPr>
            <w:tcW w:w="8147" w:type="dxa"/>
            <w:shd w:val="clear" w:color="auto" w:fill="auto"/>
          </w:tcPr>
          <w:p w14:paraId="2331D6DB" w14:textId="77777777" w:rsidR="00C9316D" w:rsidRPr="009F21BD" w:rsidRDefault="00C9316D" w:rsidP="00D415DB">
            <w:pPr>
              <w:pStyle w:val="Default"/>
              <w:jc w:val="both"/>
              <w:rPr>
                <w:color w:val="auto"/>
              </w:rPr>
            </w:pPr>
            <w:r w:rsidRPr="009F21BD">
              <w:rPr>
                <w:color w:val="auto"/>
              </w:rPr>
              <w:t xml:space="preserve">W przypadku gdy przeprowadzone testy wykażą, iż elektrownia wiatrowa nie spełnia wymagań określonych w IRiESD oraz umowie o przyłączenie, właściwy operator systemu wyznacza termin na usunięcie nieprawidłowości i powtórne wykonanie testów. W przypadku dalszego niespełnienia wymagań określonych </w:t>
            </w:r>
            <w:r w:rsidRPr="009F21BD">
              <w:rPr>
                <w:color w:val="auto"/>
              </w:rPr>
              <w:br/>
              <w:t xml:space="preserve">w IRiESD oraz umowie o przyłączenie, OSDn ma prawo do odłączenia farmy wiatrowej, do czasu usunięcia nieprawidłowości. </w:t>
            </w:r>
          </w:p>
        </w:tc>
      </w:tr>
      <w:tr w:rsidR="00C9316D" w:rsidRPr="009F21BD" w14:paraId="25ECBB5E" w14:textId="77777777" w:rsidTr="00F5641B">
        <w:tc>
          <w:tcPr>
            <w:tcW w:w="9210" w:type="dxa"/>
            <w:gridSpan w:val="2"/>
            <w:shd w:val="clear" w:color="auto" w:fill="auto"/>
          </w:tcPr>
          <w:p w14:paraId="577993A4" w14:textId="77777777" w:rsidR="00C9316D" w:rsidRDefault="00C9316D" w:rsidP="00D415DB">
            <w:pPr>
              <w:tabs>
                <w:tab w:val="left" w:pos="426"/>
              </w:tabs>
              <w:ind w:left="426" w:hanging="426"/>
              <w:jc w:val="both"/>
              <w:rPr>
                <w:b/>
                <w:bCs/>
              </w:rPr>
            </w:pPr>
            <w:r w:rsidRPr="009F21BD">
              <w:rPr>
                <w:b/>
                <w:bCs/>
              </w:rPr>
              <w:t>8.    KRYTERIA MOŻLIWOŚCI PRZYŁĄCZENIA JEDNOSTEK WYTWÓRCZYCH DO SIECI SN i nN</w:t>
            </w:r>
          </w:p>
          <w:p w14:paraId="6E21E8CC" w14:textId="77777777" w:rsidR="00D415DB" w:rsidRPr="009F21BD" w:rsidRDefault="00D415DB" w:rsidP="00D415DB">
            <w:pPr>
              <w:tabs>
                <w:tab w:val="left" w:pos="426"/>
              </w:tabs>
              <w:ind w:left="426" w:hanging="426"/>
              <w:jc w:val="both"/>
              <w:rPr>
                <w:b/>
                <w:bCs/>
              </w:rPr>
            </w:pPr>
          </w:p>
        </w:tc>
      </w:tr>
      <w:tr w:rsidR="00C9316D" w:rsidRPr="009F21BD" w14:paraId="05AA30F5" w14:textId="77777777" w:rsidTr="00F5641B">
        <w:tc>
          <w:tcPr>
            <w:tcW w:w="1063" w:type="dxa"/>
            <w:shd w:val="clear" w:color="auto" w:fill="auto"/>
          </w:tcPr>
          <w:p w14:paraId="05DCD64D" w14:textId="77777777" w:rsidR="00C9316D" w:rsidRPr="009F21BD" w:rsidRDefault="00C9316D" w:rsidP="00D415DB">
            <w:pPr>
              <w:ind w:left="360" w:hanging="360"/>
              <w:jc w:val="both"/>
            </w:pPr>
            <w:r w:rsidRPr="009F21BD">
              <w:t>8.1.</w:t>
            </w:r>
          </w:p>
        </w:tc>
        <w:tc>
          <w:tcPr>
            <w:tcW w:w="8147" w:type="dxa"/>
            <w:shd w:val="clear" w:color="auto" w:fill="auto"/>
          </w:tcPr>
          <w:p w14:paraId="0415F096" w14:textId="182B1206" w:rsidR="00DB52DF" w:rsidRDefault="00C9316D" w:rsidP="00D415DB">
            <w:pPr>
              <w:pStyle w:val="Default"/>
              <w:jc w:val="both"/>
              <w:rPr>
                <w:color w:val="auto"/>
              </w:rPr>
            </w:pPr>
            <w:r w:rsidRPr="009F21BD">
              <w:rPr>
                <w:color w:val="auto"/>
              </w:rPr>
              <w:t>OSDn stosuje kryteria oceny możliwości przyłączania oraz wymagania techniczne dla jednostek wytwórczych przyłączanych do sieci dystrybucyjnej SN i nN zgodnie z zamieszczonymi na stronie internetowej</w:t>
            </w:r>
            <w:r w:rsidR="00DB52DF">
              <w:rPr>
                <w:color w:val="auto"/>
              </w:rPr>
              <w:t>:</w:t>
            </w:r>
          </w:p>
          <w:p w14:paraId="58BB6F33" w14:textId="21066AA5" w:rsidR="00C9316D" w:rsidRPr="009F21BD" w:rsidRDefault="00C9316D">
            <w:pPr>
              <w:pStyle w:val="Default"/>
              <w:numPr>
                <w:ilvl w:val="1"/>
                <w:numId w:val="210"/>
              </w:numPr>
              <w:ind w:left="350" w:hanging="284"/>
              <w:jc w:val="both"/>
              <w:rPr>
                <w:color w:val="auto"/>
              </w:rPr>
            </w:pPr>
            <w:r>
              <w:rPr>
                <w:color w:val="auto"/>
              </w:rPr>
              <w:t>OSDp</w:t>
            </w:r>
            <w:r w:rsidR="00734DFD">
              <w:rPr>
                <w:color w:val="auto"/>
              </w:rPr>
              <w:t xml:space="preserve"> TAURON Dystrybucja S.A.</w:t>
            </w:r>
            <w:r w:rsidR="004E17E1">
              <w:rPr>
                <w:color w:val="auto"/>
              </w:rPr>
              <w:t>:</w:t>
            </w:r>
          </w:p>
          <w:p w14:paraId="29A5E706" w14:textId="77777777" w:rsidR="00C9316D" w:rsidRPr="009F21BD" w:rsidRDefault="00C9316D">
            <w:pPr>
              <w:pStyle w:val="Default"/>
              <w:numPr>
                <w:ilvl w:val="0"/>
                <w:numId w:val="192"/>
              </w:numPr>
              <w:ind w:left="497" w:hanging="284"/>
              <w:jc w:val="both"/>
              <w:rPr>
                <w:bCs/>
                <w:i/>
                <w:color w:val="auto"/>
              </w:rPr>
            </w:pPr>
            <w:r w:rsidRPr="009F21BD">
              <w:rPr>
                <w:bCs/>
                <w:i/>
                <w:color w:val="auto"/>
              </w:rPr>
              <w:t>Kryteria oceny mo</w:t>
            </w:r>
            <w:r w:rsidRPr="009F21BD">
              <w:rPr>
                <w:i/>
                <w:color w:val="auto"/>
              </w:rPr>
              <w:t>ż</w:t>
            </w:r>
            <w:r w:rsidRPr="009F21BD">
              <w:rPr>
                <w:bCs/>
                <w:i/>
                <w:color w:val="auto"/>
              </w:rPr>
              <w:t>liwo</w:t>
            </w:r>
            <w:r w:rsidRPr="009F21BD">
              <w:rPr>
                <w:i/>
                <w:color w:val="auto"/>
              </w:rPr>
              <w:t>ś</w:t>
            </w:r>
            <w:r w:rsidRPr="009F21BD">
              <w:rPr>
                <w:bCs/>
                <w:i/>
                <w:color w:val="auto"/>
              </w:rPr>
              <w:t>ci przył</w:t>
            </w:r>
            <w:r w:rsidRPr="009F21BD">
              <w:rPr>
                <w:i/>
                <w:color w:val="auto"/>
              </w:rPr>
              <w:t>ą</w:t>
            </w:r>
            <w:r w:rsidRPr="009F21BD">
              <w:rPr>
                <w:bCs/>
                <w:i/>
                <w:color w:val="auto"/>
              </w:rPr>
              <w:t xml:space="preserve">czenia oraz wymagania techniczne dla jednostek wytwórczych przyłączanych do sieci dystrybucyjnej </w:t>
            </w:r>
            <w:r w:rsidRPr="009F21BD">
              <w:rPr>
                <w:i/>
                <w:color w:val="auto"/>
              </w:rPr>
              <w:t>ś</w:t>
            </w:r>
            <w:r w:rsidRPr="009F21BD">
              <w:rPr>
                <w:bCs/>
                <w:i/>
                <w:color w:val="auto"/>
              </w:rPr>
              <w:t>redniego napi</w:t>
            </w:r>
            <w:r w:rsidRPr="009F21BD">
              <w:rPr>
                <w:i/>
                <w:color w:val="auto"/>
              </w:rPr>
              <w:t>ę</w:t>
            </w:r>
            <w:r w:rsidRPr="009F21BD">
              <w:rPr>
                <w:bCs/>
                <w:i/>
                <w:color w:val="auto"/>
              </w:rPr>
              <w:t>cia Operatora Systemu Dystrybucyjnego,</w:t>
            </w:r>
          </w:p>
          <w:p w14:paraId="5C9C8F72" w14:textId="673188AB" w:rsidR="00C9316D" w:rsidRPr="00DB52DF" w:rsidRDefault="00C9316D">
            <w:pPr>
              <w:pStyle w:val="Default"/>
              <w:numPr>
                <w:ilvl w:val="0"/>
                <w:numId w:val="192"/>
              </w:numPr>
              <w:ind w:left="497" w:hanging="284"/>
              <w:jc w:val="both"/>
              <w:rPr>
                <w:bCs/>
                <w:i/>
                <w:color w:val="auto"/>
              </w:rPr>
            </w:pPr>
            <w:r w:rsidRPr="009F21BD">
              <w:rPr>
                <w:bCs/>
                <w:i/>
                <w:color w:val="auto"/>
              </w:rPr>
              <w:t>Kryteria oceny mo</w:t>
            </w:r>
            <w:r w:rsidRPr="009F21BD">
              <w:rPr>
                <w:i/>
                <w:color w:val="auto"/>
              </w:rPr>
              <w:t>ż</w:t>
            </w:r>
            <w:r w:rsidRPr="009F21BD">
              <w:rPr>
                <w:bCs/>
                <w:i/>
                <w:color w:val="auto"/>
              </w:rPr>
              <w:t>liwo</w:t>
            </w:r>
            <w:r w:rsidRPr="009F21BD">
              <w:rPr>
                <w:i/>
                <w:color w:val="auto"/>
              </w:rPr>
              <w:t>ś</w:t>
            </w:r>
            <w:r w:rsidRPr="009F21BD">
              <w:rPr>
                <w:bCs/>
                <w:i/>
                <w:color w:val="auto"/>
              </w:rPr>
              <w:t>ci przył</w:t>
            </w:r>
            <w:r w:rsidRPr="009F21BD">
              <w:rPr>
                <w:i/>
                <w:color w:val="auto"/>
              </w:rPr>
              <w:t>ą</w:t>
            </w:r>
            <w:r w:rsidRPr="009F21BD">
              <w:rPr>
                <w:bCs/>
                <w:i/>
                <w:color w:val="auto"/>
              </w:rPr>
              <w:t>czenia</w:t>
            </w:r>
            <w:r w:rsidR="00100E48">
              <w:rPr>
                <w:bCs/>
                <w:i/>
                <w:color w:val="auto"/>
              </w:rPr>
              <w:t xml:space="preserve"> </w:t>
            </w:r>
            <w:r w:rsidRPr="009F21BD">
              <w:rPr>
                <w:i/>
                <w:color w:val="auto"/>
              </w:rPr>
              <w:t>mikroinstalacji i małych instalacji przyłączanych do sieci dystrybucyjnej niskiego napięcia Operatora Systemu Dystrybucyjnego</w:t>
            </w:r>
            <w:r w:rsidR="00DB52DF">
              <w:rPr>
                <w:i/>
                <w:color w:val="auto"/>
              </w:rPr>
              <w:t>,</w:t>
            </w:r>
          </w:p>
          <w:p w14:paraId="18F838DD" w14:textId="77777777" w:rsidR="00DB52DF" w:rsidRPr="009F21BD" w:rsidRDefault="00DB52DF" w:rsidP="00F833AC">
            <w:pPr>
              <w:pStyle w:val="Default"/>
              <w:ind w:left="497"/>
              <w:jc w:val="both"/>
              <w:rPr>
                <w:bCs/>
                <w:i/>
                <w:color w:val="auto"/>
              </w:rPr>
            </w:pPr>
          </w:p>
        </w:tc>
      </w:tr>
      <w:tr w:rsidR="00C9316D" w:rsidRPr="009F21BD" w14:paraId="2F7777F3" w14:textId="77777777" w:rsidTr="00F5641B">
        <w:tc>
          <w:tcPr>
            <w:tcW w:w="1063" w:type="dxa"/>
            <w:shd w:val="clear" w:color="auto" w:fill="auto"/>
          </w:tcPr>
          <w:p w14:paraId="6D24E318" w14:textId="77777777" w:rsidR="00C9316D" w:rsidRPr="009F21BD" w:rsidRDefault="00C9316D" w:rsidP="00D415DB">
            <w:pPr>
              <w:ind w:left="360" w:hanging="360"/>
              <w:jc w:val="both"/>
            </w:pPr>
            <w:r w:rsidRPr="009F21BD">
              <w:t>8.2.</w:t>
            </w:r>
          </w:p>
        </w:tc>
        <w:tc>
          <w:tcPr>
            <w:tcW w:w="8147" w:type="dxa"/>
            <w:shd w:val="clear" w:color="auto" w:fill="auto"/>
          </w:tcPr>
          <w:p w14:paraId="3B29037C" w14:textId="77777777" w:rsidR="00C9316D" w:rsidRPr="009F21BD" w:rsidRDefault="00C9316D" w:rsidP="00D415DB">
            <w:pPr>
              <w:pStyle w:val="Default"/>
              <w:jc w:val="both"/>
              <w:rPr>
                <w:color w:val="auto"/>
              </w:rPr>
            </w:pPr>
            <w:r w:rsidRPr="009F21BD">
              <w:rPr>
                <w:color w:val="auto"/>
              </w:rPr>
              <w:t xml:space="preserve">Wytwórcy, którzy planują przyłączenie jednostek wytwórczych do sieci dystrybucyjnej SN lub nN należącej do OSDn, zobowiązani są do stosowania się do kryteriów przyłączania określonych w dokumentach wyszczególnionych </w:t>
            </w:r>
            <w:r w:rsidRPr="009F21BD">
              <w:rPr>
                <w:color w:val="auto"/>
              </w:rPr>
              <w:br/>
              <w:t>w pkt</w:t>
            </w:r>
            <w:r>
              <w:rPr>
                <w:color w:val="auto"/>
              </w:rPr>
              <w:t>.</w:t>
            </w:r>
            <w:r w:rsidRPr="009F21BD">
              <w:rPr>
                <w:color w:val="auto"/>
              </w:rPr>
              <w:t xml:space="preserve"> 8.1. oraz niniejszej IRiESD.</w:t>
            </w:r>
          </w:p>
        </w:tc>
      </w:tr>
    </w:tbl>
    <w:p w14:paraId="15417F32" w14:textId="77777777" w:rsidR="007A4C3D" w:rsidRPr="003B5EA2" w:rsidRDefault="007A4C3D" w:rsidP="007A4C3D">
      <w:pPr>
        <w:pStyle w:val="Akapitzlist"/>
        <w:spacing w:line="276" w:lineRule="auto"/>
        <w:rPr>
          <w:rFonts w:eastAsia="Times New Roman"/>
          <w:b/>
          <w:bCs/>
          <w:color w:val="000000"/>
          <w:szCs w:val="24"/>
        </w:rPr>
      </w:pPr>
    </w:p>
    <w:p w14:paraId="0CB95372" w14:textId="77777777" w:rsidR="007A4C3D" w:rsidRDefault="007A4C3D" w:rsidP="007A4C3D">
      <w:pPr>
        <w:spacing w:line="276" w:lineRule="auto"/>
        <w:rPr>
          <w:rFonts w:eastAsia="Times New Roman"/>
          <w:b/>
          <w:bCs/>
          <w:color w:val="000000"/>
          <w:szCs w:val="24"/>
        </w:rPr>
      </w:pPr>
      <w:r w:rsidRPr="003B5EA2">
        <w:rPr>
          <w:rFonts w:eastAsia="Times New Roman"/>
          <w:b/>
          <w:bCs/>
          <w:color w:val="000000"/>
          <w:szCs w:val="24"/>
        </w:rPr>
        <w:t>9. DODATKOWE WYMAGANIA DLA MIKROINSTALACJI</w:t>
      </w:r>
    </w:p>
    <w:p w14:paraId="3CC2EB52" w14:textId="77777777" w:rsidR="00D415DB" w:rsidRPr="003B5EA2" w:rsidRDefault="00D415DB" w:rsidP="007A4C3D">
      <w:pPr>
        <w:spacing w:line="276" w:lineRule="auto"/>
        <w:rPr>
          <w:rFonts w:eastAsia="Times New Roman"/>
          <w:b/>
          <w:bCs/>
          <w:color w:val="000000"/>
          <w:szCs w:val="24"/>
        </w:rPr>
      </w:pPr>
    </w:p>
    <w:p w14:paraId="1CCA7764" w14:textId="0E01ED17" w:rsidR="007A4C3D" w:rsidRDefault="007A4C3D" w:rsidP="007B7164">
      <w:pPr>
        <w:rPr>
          <w:rFonts w:eastAsia="Times New Roman"/>
          <w:b/>
          <w:bCs/>
          <w:color w:val="000000"/>
          <w:szCs w:val="24"/>
        </w:rPr>
      </w:pPr>
      <w:r w:rsidRPr="003B5EA2">
        <w:rPr>
          <w:rFonts w:eastAsia="Times New Roman"/>
          <w:b/>
          <w:bCs/>
          <w:color w:val="000000"/>
          <w:szCs w:val="24"/>
        </w:rPr>
        <w:t>9.1. Wymagania techniczne</w:t>
      </w:r>
    </w:p>
    <w:p w14:paraId="7AF146D8" w14:textId="6031B9BA" w:rsidR="008A2C5F" w:rsidRPr="008A2C5F" w:rsidRDefault="008A2C5F" w:rsidP="007B7164">
      <w:pPr>
        <w:rPr>
          <w:rFonts w:eastAsia="Times New Roman"/>
          <w:color w:val="000000"/>
          <w:szCs w:val="24"/>
        </w:rPr>
      </w:pPr>
      <w:r w:rsidRPr="008A2C5F">
        <w:rPr>
          <w:rFonts w:eastAsia="Times New Roman"/>
          <w:color w:val="000000"/>
          <w:szCs w:val="24"/>
        </w:rPr>
        <w:t>9.1.1. Wymagania ogólne</w:t>
      </w:r>
    </w:p>
    <w:p w14:paraId="1A124948" w14:textId="3226E8C1" w:rsidR="008A2C5F" w:rsidRPr="008A2C5F" w:rsidRDefault="008A2C5F" w:rsidP="00A139D3">
      <w:pPr>
        <w:spacing w:before="120"/>
        <w:ind w:left="1134" w:right="2" w:hanging="850"/>
        <w:jc w:val="both"/>
        <w:rPr>
          <w:rFonts w:cs="Times New Roman"/>
          <w:szCs w:val="24"/>
        </w:rPr>
      </w:pPr>
      <w:r>
        <w:rPr>
          <w:rFonts w:cs="Times New Roman"/>
          <w:szCs w:val="24"/>
        </w:rPr>
        <w:t xml:space="preserve">9.1.1.1. </w:t>
      </w:r>
      <w:r w:rsidRPr="008A2C5F">
        <w:rPr>
          <w:rFonts w:cs="Times New Roman"/>
          <w:szCs w:val="24"/>
        </w:rPr>
        <w:t xml:space="preserve">Mikroinstalacja przyłączona do sieci OSDn poprzez jedno przyłącze, powinna umożliwiać OSDn monitorowanie i sterowanie jej parametrami w sposób zintegrowany (jedno urządzenie sterujące – np. falownik lub integrator - zapewniające wspólne i jednoczesne sterowanie pracą wszystkich falowników, </w:t>
      </w:r>
      <w:r>
        <w:rPr>
          <w:rFonts w:cs="Times New Roman"/>
          <w:szCs w:val="24"/>
        </w:rPr>
        <w:br/>
      </w:r>
      <w:r w:rsidRPr="008A2C5F">
        <w:rPr>
          <w:rFonts w:cs="Times New Roman"/>
          <w:szCs w:val="24"/>
        </w:rPr>
        <w:t>w tym wspólne zapewnienie spełnienia wymagań zawartych w IRiESD oraz kodeksach sieciowych).</w:t>
      </w:r>
    </w:p>
    <w:p w14:paraId="4A920C99" w14:textId="77777777" w:rsidR="008A2C5F" w:rsidRPr="008A2C5F" w:rsidRDefault="008A2C5F" w:rsidP="00A139D3">
      <w:pPr>
        <w:tabs>
          <w:tab w:val="left" w:pos="1843"/>
        </w:tabs>
        <w:spacing w:before="120"/>
        <w:ind w:left="1134" w:right="2" w:hanging="850"/>
        <w:jc w:val="both"/>
        <w:rPr>
          <w:rFonts w:cs="Times New Roman"/>
          <w:szCs w:val="24"/>
        </w:rPr>
      </w:pPr>
      <w:r w:rsidRPr="008A2C5F">
        <w:rPr>
          <w:rFonts w:cs="Times New Roman"/>
          <w:szCs w:val="24"/>
        </w:rPr>
        <w:t>9.1.1.2.</w:t>
      </w:r>
      <w:r w:rsidRPr="008A2C5F">
        <w:rPr>
          <w:rFonts w:cs="Times New Roman"/>
          <w:szCs w:val="24"/>
        </w:rPr>
        <w:tab/>
        <w:t>Dla jednego przyłącza dopuszcza się zabudowę mikroinstalacji za pomocą falowników jednofazowych o łącznej mocy nie większej niż 3,68 kW na każdej fazie, pod warunkiem spełnienia wymagań z pkt 9.1.1.1.</w:t>
      </w:r>
    </w:p>
    <w:p w14:paraId="6EAEF7E3" w14:textId="2565FF25" w:rsidR="008A2C5F" w:rsidRPr="008A2C5F" w:rsidRDefault="008A2C5F" w:rsidP="00A139D3">
      <w:pPr>
        <w:ind w:left="1134" w:right="2" w:hanging="850"/>
        <w:jc w:val="both"/>
        <w:rPr>
          <w:rFonts w:eastAsia="Times New Roman" w:cs="Times New Roman"/>
          <w:b/>
          <w:bCs/>
          <w:color w:val="000000"/>
          <w:szCs w:val="24"/>
        </w:rPr>
      </w:pPr>
      <w:r w:rsidRPr="008A2C5F">
        <w:rPr>
          <w:rFonts w:cs="Times New Roman"/>
          <w:szCs w:val="24"/>
        </w:rPr>
        <w:t>9.1.1.3.</w:t>
      </w:r>
      <w:r w:rsidRPr="008A2C5F">
        <w:rPr>
          <w:rFonts w:cs="Times New Roman"/>
          <w:szCs w:val="24"/>
        </w:rPr>
        <w:tab/>
        <w:t>Urządzenie sterujące o którym mowa w pkt 9.1.1.1. powinno być wyposażone w port wejściowy RS485 obsługujący protokół komunikacji SUNSPEC, który umożliwia przyjęcie od OSDn poleceń sterujących. Port wejściowy RS485 powinien być zlokalizowany w miejscu zapewniającym łatwy dostęp dla służb technicznych OSDn. Urządzenie sterujące dostarcza OSDn</w:t>
      </w:r>
      <w:r w:rsidR="006B2713">
        <w:rPr>
          <w:rFonts w:cs="Times New Roman"/>
          <w:szCs w:val="24"/>
        </w:rPr>
        <w:t>.</w:t>
      </w:r>
    </w:p>
    <w:p w14:paraId="1E52FF90" w14:textId="33D63F98" w:rsidR="007A4C3D" w:rsidRPr="003B5EA2" w:rsidRDefault="007A4C3D" w:rsidP="007B7164">
      <w:pPr>
        <w:ind w:right="569"/>
        <w:jc w:val="both"/>
        <w:rPr>
          <w:rFonts w:eastAsia="Times New Roman"/>
          <w:color w:val="000000"/>
          <w:szCs w:val="24"/>
          <w:u w:val="single"/>
        </w:rPr>
      </w:pPr>
      <w:r w:rsidRPr="003B5EA2">
        <w:rPr>
          <w:rFonts w:eastAsia="Times New Roman"/>
          <w:color w:val="000000"/>
          <w:szCs w:val="24"/>
          <w:u w:val="single"/>
        </w:rPr>
        <w:t>9.1</w:t>
      </w:r>
      <w:r w:rsidR="008A2C5F">
        <w:rPr>
          <w:rFonts w:eastAsia="Times New Roman"/>
          <w:color w:val="000000"/>
          <w:szCs w:val="24"/>
          <w:u w:val="single"/>
        </w:rPr>
        <w:t>.2</w:t>
      </w:r>
      <w:r w:rsidRPr="003B5EA2">
        <w:rPr>
          <w:rFonts w:eastAsia="Times New Roman"/>
          <w:color w:val="000000"/>
          <w:szCs w:val="24"/>
          <w:u w:val="single"/>
        </w:rPr>
        <w:t>. Wymagania w zakresie regulacji mocy biernej</w:t>
      </w:r>
    </w:p>
    <w:p w14:paraId="7122EEAF" w14:textId="74591798" w:rsidR="007A4C3D" w:rsidRPr="003B5EA2" w:rsidRDefault="007A4C3D" w:rsidP="007B7164">
      <w:pPr>
        <w:ind w:right="569"/>
        <w:jc w:val="both"/>
        <w:rPr>
          <w:rFonts w:eastAsia="Times New Roman"/>
          <w:color w:val="000000"/>
          <w:szCs w:val="24"/>
        </w:rPr>
      </w:pPr>
      <w:r w:rsidRPr="003B5EA2">
        <w:rPr>
          <w:rFonts w:eastAsia="Times New Roman"/>
          <w:color w:val="000000"/>
          <w:szCs w:val="24"/>
        </w:rPr>
        <w:t>9.1.</w:t>
      </w:r>
      <w:r w:rsidR="008A2C5F">
        <w:rPr>
          <w:rFonts w:eastAsia="Times New Roman"/>
          <w:color w:val="000000"/>
          <w:szCs w:val="24"/>
        </w:rPr>
        <w:t>2</w:t>
      </w:r>
      <w:r w:rsidRPr="003B5EA2">
        <w:rPr>
          <w:rFonts w:eastAsia="Times New Roman"/>
          <w:color w:val="000000"/>
          <w:szCs w:val="24"/>
        </w:rPr>
        <w:t>.1. Wymagania ogólne:</w:t>
      </w:r>
    </w:p>
    <w:p w14:paraId="642B9254" w14:textId="77777777" w:rsidR="007A4C3D" w:rsidRPr="003B5EA2" w:rsidRDefault="007A4C3D" w:rsidP="007B7164">
      <w:pPr>
        <w:ind w:left="851" w:right="2" w:hanging="851"/>
        <w:jc w:val="both"/>
        <w:rPr>
          <w:rFonts w:eastAsia="Times New Roman"/>
          <w:color w:val="000000"/>
          <w:szCs w:val="24"/>
        </w:rPr>
      </w:pPr>
      <w:r w:rsidRPr="003B5EA2">
        <w:rPr>
          <w:rFonts w:eastAsia="Times New Roman"/>
          <w:color w:val="000000"/>
          <w:szCs w:val="24"/>
        </w:rPr>
        <w:t xml:space="preserve">              Mikroinstalacja przyłączona przez falownik ma być zdolna do pracy </w:t>
      </w:r>
      <w:r w:rsidR="003B4973">
        <w:rPr>
          <w:rFonts w:eastAsia="Times New Roman"/>
          <w:color w:val="000000"/>
          <w:szCs w:val="24"/>
        </w:rPr>
        <w:br/>
      </w:r>
      <w:r w:rsidRPr="003B5EA2">
        <w:rPr>
          <w:rFonts w:eastAsia="Times New Roman"/>
          <w:color w:val="000000"/>
          <w:szCs w:val="24"/>
        </w:rPr>
        <w:t>w normalnych warunkach eksploatacji w paśmie tolerancji napięcia od 0,85 U</w:t>
      </w:r>
      <w:r w:rsidRPr="003B5EA2">
        <w:rPr>
          <w:rFonts w:eastAsia="Times New Roman"/>
          <w:color w:val="000000"/>
          <w:szCs w:val="24"/>
          <w:vertAlign w:val="subscript"/>
        </w:rPr>
        <w:t>n</w:t>
      </w:r>
      <w:r w:rsidRPr="003B5EA2">
        <w:rPr>
          <w:rFonts w:eastAsia="Times New Roman"/>
          <w:color w:val="000000"/>
          <w:szCs w:val="24"/>
        </w:rPr>
        <w:t xml:space="preserve"> do 1,1 U</w:t>
      </w:r>
      <w:r w:rsidRPr="003B5EA2">
        <w:rPr>
          <w:rFonts w:eastAsia="Times New Roman"/>
          <w:color w:val="000000"/>
          <w:szCs w:val="24"/>
          <w:vertAlign w:val="subscript"/>
        </w:rPr>
        <w:t>n</w:t>
      </w:r>
      <w:r w:rsidRPr="003B5EA2">
        <w:rPr>
          <w:rFonts w:eastAsia="Times New Roman"/>
          <w:color w:val="000000"/>
          <w:szCs w:val="24"/>
        </w:rPr>
        <w:t xml:space="preserve"> z następującą mocą bierną:</w:t>
      </w:r>
    </w:p>
    <w:p w14:paraId="769989F0" w14:textId="77777777" w:rsidR="007A4C3D" w:rsidRPr="003B5EA2" w:rsidRDefault="007A4C3D">
      <w:pPr>
        <w:numPr>
          <w:ilvl w:val="0"/>
          <w:numId w:val="230"/>
        </w:numPr>
        <w:ind w:left="1134" w:right="2" w:hanging="283"/>
        <w:jc w:val="both"/>
        <w:rPr>
          <w:rFonts w:eastAsia="Times New Roman"/>
          <w:color w:val="000000"/>
          <w:szCs w:val="24"/>
        </w:rPr>
      </w:pPr>
      <w:r w:rsidRPr="003B5EA2">
        <w:rPr>
          <w:rFonts w:eastAsia="Times New Roman"/>
          <w:color w:val="000000"/>
          <w:szCs w:val="24"/>
        </w:rPr>
        <w:t xml:space="preserve">zgodnie z krzywą charakterystyki zadanej przez OSDn w obrębie współczynników przesunięcia fazowego podstawowych harmonicznych napięcia </w:t>
      </w:r>
      <w:r w:rsidR="005E2FF4">
        <w:rPr>
          <w:rFonts w:eastAsia="Times New Roman"/>
          <w:color w:val="000000"/>
          <w:szCs w:val="24"/>
        </w:rPr>
        <w:br/>
      </w:r>
      <w:r w:rsidRPr="003B5EA2">
        <w:rPr>
          <w:rFonts w:eastAsia="Times New Roman"/>
          <w:color w:val="000000"/>
          <w:szCs w:val="24"/>
        </w:rPr>
        <w:t xml:space="preserve">i prądu od cos </w:t>
      </w:r>
      <w:r w:rsidRPr="003B5EA2">
        <w:rPr>
          <w:rFonts w:eastAsia="Times New Roman"/>
          <w:color w:val="000000"/>
          <w:szCs w:val="24"/>
        </w:rPr>
        <w:sym w:font="Symbol" w:char="F06A"/>
      </w:r>
      <w:r w:rsidRPr="003B5EA2">
        <w:rPr>
          <w:rFonts w:eastAsia="Times New Roman"/>
          <w:color w:val="000000"/>
          <w:szCs w:val="24"/>
        </w:rPr>
        <w:t>=0,9</w:t>
      </w:r>
      <w:r w:rsidRPr="003B5EA2">
        <w:rPr>
          <w:rFonts w:eastAsia="Times New Roman"/>
          <w:color w:val="000000"/>
          <w:szCs w:val="24"/>
          <w:vertAlign w:val="subscript"/>
        </w:rPr>
        <w:t>ind</w:t>
      </w:r>
      <w:r w:rsidRPr="003B5EA2">
        <w:rPr>
          <w:rFonts w:eastAsia="Times New Roman"/>
          <w:color w:val="000000"/>
          <w:szCs w:val="24"/>
        </w:rPr>
        <w:t xml:space="preserve"> do cos </w:t>
      </w:r>
      <w:r w:rsidRPr="003B5EA2">
        <w:rPr>
          <w:rFonts w:eastAsia="Times New Roman"/>
          <w:color w:val="000000"/>
          <w:szCs w:val="24"/>
        </w:rPr>
        <w:sym w:font="Symbol" w:char="F06A"/>
      </w:r>
      <w:r w:rsidRPr="003B5EA2">
        <w:rPr>
          <w:rFonts w:eastAsia="Times New Roman"/>
          <w:color w:val="000000"/>
          <w:szCs w:val="24"/>
        </w:rPr>
        <w:t>=0,9</w:t>
      </w:r>
      <w:r w:rsidRPr="003B5EA2">
        <w:rPr>
          <w:rFonts w:eastAsia="Times New Roman"/>
          <w:color w:val="000000"/>
          <w:szCs w:val="24"/>
          <w:vertAlign w:val="subscript"/>
        </w:rPr>
        <w:t>poj</w:t>
      </w:r>
      <w:r w:rsidRPr="003B5EA2">
        <w:rPr>
          <w:rFonts w:eastAsia="Times New Roman"/>
          <w:color w:val="000000"/>
          <w:szCs w:val="24"/>
        </w:rPr>
        <w:t>,</w:t>
      </w:r>
      <w:r w:rsidRPr="003B5EA2">
        <w:rPr>
          <w:rFonts w:eastAsia="Times New Roman"/>
          <w:color w:val="000000"/>
          <w:szCs w:val="24"/>
          <w:vertAlign w:val="subscript"/>
        </w:rPr>
        <w:t xml:space="preserve"> </w:t>
      </w:r>
      <w:r w:rsidRPr="003B5EA2">
        <w:rPr>
          <w:rFonts w:eastAsia="Times New Roman"/>
          <w:color w:val="000000"/>
          <w:szCs w:val="24"/>
        </w:rPr>
        <w:t>gdzie moc czynna wyjściowa mikroinstalacji jest równa 20% znamionowej mocy czynnej lub większa,</w:t>
      </w:r>
    </w:p>
    <w:p w14:paraId="7B4DABD4" w14:textId="77777777" w:rsidR="007A4C3D" w:rsidRPr="003B5EA2" w:rsidRDefault="007A4C3D">
      <w:pPr>
        <w:numPr>
          <w:ilvl w:val="0"/>
          <w:numId w:val="230"/>
        </w:numPr>
        <w:ind w:left="1134" w:right="2" w:hanging="283"/>
        <w:jc w:val="both"/>
        <w:rPr>
          <w:rFonts w:eastAsia="Times New Roman"/>
          <w:color w:val="000000"/>
          <w:szCs w:val="24"/>
        </w:rPr>
      </w:pPr>
      <w:r w:rsidRPr="003B5EA2">
        <w:rPr>
          <w:rFonts w:eastAsia="Times New Roman"/>
          <w:color w:val="000000"/>
          <w:szCs w:val="24"/>
        </w:rPr>
        <w:t>bez zmian mocy biernej więcej niż o 10% znamionowej mocy czynnej mikroinstalacji przy mocy czynnej niższej niż 20% znamionowej mocy czynnej.</w:t>
      </w:r>
    </w:p>
    <w:p w14:paraId="6DC5D6BA" w14:textId="77777777" w:rsidR="007A4C3D" w:rsidRPr="003B5EA2" w:rsidRDefault="007A4C3D" w:rsidP="007B7164">
      <w:pPr>
        <w:ind w:left="1134" w:right="2" w:hanging="283"/>
        <w:jc w:val="both"/>
        <w:rPr>
          <w:rFonts w:eastAsia="Times New Roman"/>
          <w:color w:val="000000"/>
          <w:szCs w:val="24"/>
        </w:rPr>
      </w:pPr>
      <w:r w:rsidRPr="003B5EA2">
        <w:rPr>
          <w:rFonts w:eastAsia="Times New Roman"/>
          <w:color w:val="000000"/>
          <w:szCs w:val="24"/>
        </w:rPr>
        <w:t>Wymaganie to przedstawiono na rys. 2.</w:t>
      </w:r>
    </w:p>
    <w:p w14:paraId="59CBA15E" w14:textId="77777777" w:rsidR="007A4C3D" w:rsidRPr="003B5EA2" w:rsidRDefault="007A4C3D" w:rsidP="007B7164">
      <w:pPr>
        <w:jc w:val="both"/>
        <w:rPr>
          <w:rFonts w:eastAsia="Times New Roman"/>
          <w:color w:val="000000"/>
          <w:szCs w:val="24"/>
        </w:rPr>
      </w:pPr>
    </w:p>
    <w:p w14:paraId="73FA8077" w14:textId="77777777" w:rsidR="007A4C3D" w:rsidRPr="003B5EA2" w:rsidRDefault="00215949" w:rsidP="007B7164">
      <w:pPr>
        <w:jc w:val="center"/>
        <w:rPr>
          <w:rFonts w:eastAsia="Times New Roman"/>
          <w:color w:val="000000"/>
          <w:szCs w:val="24"/>
        </w:rPr>
      </w:pPr>
      <w:r>
        <w:rPr>
          <w:rFonts w:eastAsia="Times New Roman"/>
          <w:noProof/>
          <w:color w:val="000000"/>
          <w:szCs w:val="24"/>
        </w:rPr>
        <w:drawing>
          <wp:inline distT="0" distB="0" distL="0" distR="0" wp14:anchorId="7119BCE6" wp14:editId="0370AAF6">
            <wp:extent cx="3419475" cy="2857500"/>
            <wp:effectExtent l="0" t="0" r="9525" b="0"/>
            <wp:docPr id="18" name="Obraz 18" descr="Ry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ys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2857500"/>
                    </a:xfrm>
                    <a:prstGeom prst="rect">
                      <a:avLst/>
                    </a:prstGeom>
                    <a:noFill/>
                    <a:ln>
                      <a:noFill/>
                    </a:ln>
                  </pic:spPr>
                </pic:pic>
              </a:graphicData>
            </a:graphic>
          </wp:inline>
        </w:drawing>
      </w:r>
    </w:p>
    <w:p w14:paraId="6C1F55F4" w14:textId="77777777" w:rsidR="007A4C3D" w:rsidRPr="003B5EA2" w:rsidRDefault="007A4C3D" w:rsidP="007B7164">
      <w:pPr>
        <w:ind w:left="426"/>
        <w:jc w:val="center"/>
        <w:rPr>
          <w:rFonts w:eastAsia="Times New Roman"/>
          <w:i/>
          <w:iCs/>
          <w:color w:val="000000"/>
          <w:szCs w:val="24"/>
        </w:rPr>
      </w:pPr>
      <w:r w:rsidRPr="003B5EA2">
        <w:rPr>
          <w:rFonts w:eastAsia="Times New Roman"/>
          <w:i/>
          <w:iCs/>
          <w:color w:val="000000"/>
          <w:szCs w:val="24"/>
        </w:rPr>
        <w:t>Rys.2. Zdolność do generacji mocy biernej w obciążeniowym układzie odniesienia</w:t>
      </w:r>
    </w:p>
    <w:p w14:paraId="0931743F" w14:textId="77777777" w:rsidR="007A4C3D" w:rsidRPr="003B5EA2" w:rsidRDefault="007A4C3D" w:rsidP="007B7164">
      <w:pPr>
        <w:ind w:left="426"/>
        <w:jc w:val="center"/>
        <w:rPr>
          <w:rFonts w:eastAsia="Times New Roman"/>
          <w:i/>
          <w:iCs/>
          <w:color w:val="000000"/>
          <w:szCs w:val="24"/>
        </w:rPr>
      </w:pPr>
    </w:p>
    <w:p w14:paraId="49453914" w14:textId="6D82378E" w:rsidR="007A4C3D" w:rsidRPr="003B5EA2" w:rsidRDefault="007A4C3D" w:rsidP="007B7164">
      <w:pPr>
        <w:ind w:left="284" w:right="2" w:hanging="284"/>
        <w:jc w:val="both"/>
        <w:rPr>
          <w:rFonts w:eastAsia="Times New Roman"/>
          <w:color w:val="000000"/>
          <w:szCs w:val="24"/>
        </w:rPr>
      </w:pPr>
      <w:r w:rsidRPr="003B5EA2">
        <w:rPr>
          <w:rFonts w:eastAsia="Times New Roman"/>
          <w:color w:val="000000"/>
          <w:szCs w:val="24"/>
        </w:rPr>
        <w:t>9.1.</w:t>
      </w:r>
      <w:r w:rsidR="002E7DD1">
        <w:rPr>
          <w:rFonts w:eastAsia="Times New Roman"/>
          <w:color w:val="000000"/>
          <w:szCs w:val="24"/>
        </w:rPr>
        <w:t>2</w:t>
      </w:r>
      <w:r w:rsidRPr="003B5EA2">
        <w:rPr>
          <w:rFonts w:eastAsia="Times New Roman"/>
          <w:color w:val="000000"/>
          <w:szCs w:val="24"/>
        </w:rPr>
        <w:t>.2. Wymagane tryby regulacji mocy biernej:</w:t>
      </w:r>
    </w:p>
    <w:p w14:paraId="7FAB83D6" w14:textId="77777777" w:rsidR="007A4C3D" w:rsidRPr="003B5EA2" w:rsidRDefault="007A4C3D" w:rsidP="007B7164">
      <w:pPr>
        <w:ind w:left="1134" w:right="2" w:hanging="283"/>
        <w:jc w:val="both"/>
        <w:rPr>
          <w:rFonts w:eastAsia="Times New Roman"/>
          <w:color w:val="000000"/>
          <w:szCs w:val="24"/>
        </w:rPr>
      </w:pPr>
      <w:r w:rsidRPr="003B5EA2">
        <w:rPr>
          <w:rFonts w:eastAsia="Times New Roman"/>
          <w:color w:val="000000"/>
          <w:szCs w:val="24"/>
        </w:rPr>
        <w:t>Mikroinstalacja ma być zdolna do działania w następujących trybach sterowania:</w:t>
      </w:r>
    </w:p>
    <w:p w14:paraId="71EDA532" w14:textId="77777777" w:rsidR="007A4C3D" w:rsidRPr="003B5EA2" w:rsidRDefault="007A4C3D">
      <w:pPr>
        <w:numPr>
          <w:ilvl w:val="0"/>
          <w:numId w:val="231"/>
        </w:numPr>
        <w:ind w:left="1134" w:right="2" w:hanging="283"/>
        <w:jc w:val="both"/>
        <w:rPr>
          <w:rFonts w:eastAsia="Times New Roman"/>
          <w:color w:val="000000"/>
          <w:szCs w:val="24"/>
        </w:rPr>
      </w:pPr>
      <w:r w:rsidRPr="003B5EA2">
        <w:rPr>
          <w:rFonts w:eastAsia="Times New Roman"/>
          <w:color w:val="000000"/>
          <w:szCs w:val="24"/>
        </w:rPr>
        <w:t>sterowanie mocą bierną w funkcji napięcia na zaciskach generatora (tryb Q(U)) jako tryb podstawowy,</w:t>
      </w:r>
    </w:p>
    <w:p w14:paraId="44E76421" w14:textId="77777777" w:rsidR="007A4C3D" w:rsidRPr="003B5EA2" w:rsidRDefault="007A4C3D">
      <w:pPr>
        <w:numPr>
          <w:ilvl w:val="0"/>
          <w:numId w:val="231"/>
        </w:numPr>
        <w:ind w:left="1134" w:right="2" w:hanging="283"/>
        <w:jc w:val="both"/>
        <w:rPr>
          <w:rFonts w:eastAsia="Times New Roman"/>
          <w:color w:val="000000"/>
          <w:szCs w:val="24"/>
        </w:rPr>
      </w:pPr>
      <w:r w:rsidRPr="003B5EA2">
        <w:rPr>
          <w:rFonts w:eastAsia="Times New Roman"/>
          <w:color w:val="000000"/>
          <w:szCs w:val="24"/>
        </w:rPr>
        <w:t xml:space="preserve">sterowanie współczynnikiem mocy w funkcji generacji mocy czynnej (tryb cos </w:t>
      </w:r>
      <w:r w:rsidRPr="003B5EA2">
        <w:rPr>
          <w:rFonts w:eastAsia="Times New Roman"/>
          <w:color w:val="000000"/>
          <w:szCs w:val="24"/>
        </w:rPr>
        <w:sym w:font="Symbol" w:char="F06A"/>
      </w:r>
      <w:r w:rsidRPr="003B5EA2">
        <w:rPr>
          <w:rFonts w:eastAsia="Times New Roman"/>
          <w:color w:val="000000"/>
          <w:szCs w:val="24"/>
        </w:rPr>
        <w:t xml:space="preserve"> (P)), jako tryb alternatywny,</w:t>
      </w:r>
    </w:p>
    <w:p w14:paraId="7BF90E4A" w14:textId="77777777" w:rsidR="007A4C3D" w:rsidRPr="003B5EA2" w:rsidRDefault="007A4C3D">
      <w:pPr>
        <w:numPr>
          <w:ilvl w:val="0"/>
          <w:numId w:val="231"/>
        </w:numPr>
        <w:ind w:left="1134" w:right="2" w:hanging="283"/>
        <w:jc w:val="both"/>
        <w:rPr>
          <w:rFonts w:eastAsia="Times New Roman"/>
          <w:color w:val="000000"/>
          <w:szCs w:val="24"/>
        </w:rPr>
      </w:pPr>
      <w:r w:rsidRPr="003B5EA2">
        <w:rPr>
          <w:rFonts w:eastAsia="Times New Roman"/>
          <w:color w:val="000000"/>
          <w:szCs w:val="24"/>
        </w:rPr>
        <w:t xml:space="preserve">cos </w:t>
      </w:r>
      <w:r w:rsidRPr="003B5EA2">
        <w:rPr>
          <w:rFonts w:eastAsia="Times New Roman"/>
          <w:color w:val="000000"/>
          <w:szCs w:val="24"/>
        </w:rPr>
        <w:sym w:font="Symbol" w:char="F06A"/>
      </w:r>
      <w:r w:rsidRPr="003B5EA2">
        <w:rPr>
          <w:rFonts w:eastAsia="Times New Roman"/>
          <w:color w:val="000000"/>
          <w:szCs w:val="24"/>
        </w:rPr>
        <w:t xml:space="preserve"> stałe, nastawiane w granicach od cos </w:t>
      </w:r>
      <w:r w:rsidRPr="003B5EA2">
        <w:rPr>
          <w:rFonts w:eastAsia="Times New Roman"/>
          <w:color w:val="000000"/>
          <w:szCs w:val="24"/>
        </w:rPr>
        <w:sym w:font="Symbol" w:char="F06A"/>
      </w:r>
      <w:r w:rsidRPr="003B5EA2">
        <w:rPr>
          <w:rFonts w:eastAsia="Times New Roman"/>
          <w:color w:val="000000"/>
          <w:szCs w:val="24"/>
        </w:rPr>
        <w:t>=0,9</w:t>
      </w:r>
      <w:r w:rsidRPr="003B5EA2">
        <w:rPr>
          <w:rFonts w:eastAsia="Times New Roman"/>
          <w:color w:val="000000"/>
          <w:szCs w:val="24"/>
          <w:vertAlign w:val="subscript"/>
        </w:rPr>
        <w:t>ind</w:t>
      </w:r>
      <w:r w:rsidRPr="003B5EA2">
        <w:rPr>
          <w:rFonts w:eastAsia="Times New Roman"/>
          <w:color w:val="000000"/>
          <w:szCs w:val="24"/>
        </w:rPr>
        <w:t xml:space="preserve"> do cos </w:t>
      </w:r>
      <w:r w:rsidRPr="003B5EA2">
        <w:rPr>
          <w:rFonts w:eastAsia="Times New Roman"/>
          <w:color w:val="000000"/>
          <w:szCs w:val="24"/>
        </w:rPr>
        <w:sym w:font="Symbol" w:char="F06A"/>
      </w:r>
      <w:r w:rsidRPr="003B5EA2">
        <w:rPr>
          <w:rFonts w:eastAsia="Times New Roman"/>
          <w:color w:val="000000"/>
          <w:szCs w:val="24"/>
        </w:rPr>
        <w:t>=0,9</w:t>
      </w:r>
      <w:r w:rsidRPr="003B5EA2">
        <w:rPr>
          <w:rFonts w:eastAsia="Times New Roman"/>
          <w:color w:val="000000"/>
          <w:szCs w:val="24"/>
          <w:vertAlign w:val="subscript"/>
        </w:rPr>
        <w:t>poj</w:t>
      </w:r>
      <w:r w:rsidRPr="003B5EA2">
        <w:rPr>
          <w:rFonts w:eastAsia="Times New Roman"/>
          <w:color w:val="000000"/>
          <w:szCs w:val="24"/>
        </w:rPr>
        <w:t>,</w:t>
      </w:r>
      <w:r w:rsidRPr="003B5EA2">
        <w:rPr>
          <w:rFonts w:eastAsia="Times New Roman"/>
          <w:color w:val="000000"/>
          <w:szCs w:val="24"/>
          <w:vertAlign w:val="subscript"/>
        </w:rPr>
        <w:t xml:space="preserve"> </w:t>
      </w:r>
      <w:r w:rsidRPr="003B5EA2">
        <w:rPr>
          <w:rFonts w:eastAsia="Times New Roman"/>
          <w:color w:val="000000"/>
          <w:szCs w:val="24"/>
        </w:rPr>
        <w:t>jako tryb dodatkowy.</w:t>
      </w:r>
    </w:p>
    <w:p w14:paraId="6F8467EE" w14:textId="77777777" w:rsidR="00B80DC9" w:rsidRPr="00B80DC9" w:rsidRDefault="00B80DC9" w:rsidP="00441833">
      <w:pPr>
        <w:spacing w:before="120"/>
        <w:ind w:left="851" w:right="2"/>
        <w:jc w:val="both"/>
        <w:rPr>
          <w:rFonts w:ascii="Arial" w:hAnsi="Arial"/>
          <w:sz w:val="22"/>
          <w:szCs w:val="22"/>
        </w:rPr>
      </w:pPr>
      <w:r w:rsidRPr="00B80DC9">
        <w:rPr>
          <w:rFonts w:cs="Times New Roman"/>
          <w:szCs w:val="24"/>
        </w:rPr>
        <w:t>Konfiguracja trybów sterowania oraz ich aktywacja i dezaktywacja ma być możliwa do ustawienia w miejscu zainstalowania urządzenia sterującego. W momencie uruchomienia mikroinstalacji należy ustawić tryb podstawowy zgodny z powyższym ppkt a). Zmiana trybu możliwa jest jedynie na polecenie OSDn. Wymagane jest zapewnienie ochrony przed nieuprawnioną ingerencją w ustawienia trybów pracy - zmiana trybów pracy nie może być dokonana samodzielnie przez właściciela mikroinstalacji</w:t>
      </w:r>
      <w:r w:rsidRPr="00B80DC9">
        <w:rPr>
          <w:rFonts w:ascii="Arial" w:hAnsi="Arial"/>
          <w:sz w:val="22"/>
          <w:szCs w:val="22"/>
        </w:rPr>
        <w:t>.</w:t>
      </w:r>
    </w:p>
    <w:p w14:paraId="2FBD43EA" w14:textId="2F4127C3" w:rsidR="007A4C3D" w:rsidRPr="003B5EA2" w:rsidRDefault="007A4C3D" w:rsidP="007B7164">
      <w:pPr>
        <w:ind w:left="709" w:right="2" w:hanging="709"/>
        <w:jc w:val="both"/>
        <w:rPr>
          <w:rFonts w:eastAsia="Times New Roman"/>
          <w:color w:val="000000"/>
          <w:szCs w:val="24"/>
        </w:rPr>
      </w:pPr>
      <w:r w:rsidRPr="003B5EA2">
        <w:rPr>
          <w:rFonts w:eastAsia="Times New Roman"/>
          <w:color w:val="000000"/>
          <w:szCs w:val="24"/>
        </w:rPr>
        <w:t>9.1.</w:t>
      </w:r>
      <w:r w:rsidR="002E7DD1">
        <w:rPr>
          <w:rFonts w:eastAsia="Times New Roman"/>
          <w:color w:val="000000"/>
          <w:szCs w:val="24"/>
        </w:rPr>
        <w:t>2</w:t>
      </w:r>
      <w:r w:rsidRPr="003B5EA2">
        <w:rPr>
          <w:rFonts w:eastAsia="Times New Roman"/>
          <w:color w:val="000000"/>
          <w:szCs w:val="24"/>
        </w:rPr>
        <w:t>.3 Wymagania w zakresie trybu sterowania wyjściową mocą bierną w funkcji napięcia – Q(U):</w:t>
      </w:r>
    </w:p>
    <w:p w14:paraId="0AE32B4C" w14:textId="77777777" w:rsidR="007A4C3D" w:rsidRPr="003B5EA2" w:rsidRDefault="007A4C3D" w:rsidP="007B7164">
      <w:pPr>
        <w:ind w:left="709" w:right="2"/>
        <w:jc w:val="both"/>
        <w:rPr>
          <w:rFonts w:eastAsia="Times New Roman"/>
          <w:color w:val="000000"/>
          <w:szCs w:val="24"/>
        </w:rPr>
      </w:pPr>
      <w:r w:rsidRPr="003B5EA2">
        <w:rPr>
          <w:rFonts w:eastAsia="Times New Roman"/>
          <w:color w:val="000000"/>
          <w:szCs w:val="24"/>
        </w:rPr>
        <w:t>W trybie Q(U) sterowanie odbywa się według krzywych przedstawianych na rys. 3 i 4.</w:t>
      </w:r>
    </w:p>
    <w:p w14:paraId="4800BA6E" w14:textId="77777777" w:rsidR="007A4C3D" w:rsidRPr="003B5EA2" w:rsidRDefault="007A4C3D" w:rsidP="007B7164">
      <w:pPr>
        <w:ind w:left="709" w:right="2"/>
        <w:jc w:val="both"/>
        <w:rPr>
          <w:rFonts w:eastAsia="Times New Roman"/>
          <w:color w:val="000000"/>
          <w:szCs w:val="24"/>
        </w:rPr>
      </w:pPr>
      <w:r w:rsidRPr="003B5EA2">
        <w:rPr>
          <w:rFonts w:eastAsia="Times New Roman"/>
          <w:color w:val="000000"/>
          <w:szCs w:val="24"/>
        </w:rPr>
        <w:t xml:space="preserve">Charakterystyka Q(U) ma być konfigurowalna w celu ewentualnego dostosowania pracy mikroinstalacji do warunków napięciowych w miejscu przyłączenia mikroinstalacji. Zmiana charakterystyki wymaga uzgodnienia z OSDn, a właścicielem mikroinstalacji. Dodatkowo, konfigurowalna ma być dynamiczna odpowiedź sterowania, filtr pierwszego rzędu powinien mieć nastawioną stałą czasową na czas </w:t>
      </w:r>
      <w:r w:rsidR="002B7D9E">
        <w:rPr>
          <w:rFonts w:eastAsia="Times New Roman"/>
          <w:color w:val="000000"/>
          <w:szCs w:val="24"/>
        </w:rPr>
        <w:br/>
      </w:r>
      <w:r w:rsidRPr="003B5EA2">
        <w:rPr>
          <w:rFonts w:eastAsia="Times New Roman"/>
          <w:color w:val="000000"/>
          <w:szCs w:val="24"/>
        </w:rPr>
        <w:t xml:space="preserve">5 s, czas do osiągnięcia 95% nowej nastawy w wyniku zmiany napięcia ma wynosić </w:t>
      </w:r>
      <w:r w:rsidR="00662F86">
        <w:rPr>
          <w:rFonts w:eastAsia="Times New Roman"/>
          <w:color w:val="000000"/>
          <w:szCs w:val="24"/>
        </w:rPr>
        <w:br/>
      </w:r>
      <w:r w:rsidRPr="003B5EA2">
        <w:rPr>
          <w:rFonts w:eastAsia="Times New Roman"/>
          <w:color w:val="000000"/>
          <w:szCs w:val="24"/>
        </w:rPr>
        <w:t>3 stałe czasowe.</w:t>
      </w:r>
    </w:p>
    <w:p w14:paraId="5EFCF429" w14:textId="77777777" w:rsidR="007A4C3D" w:rsidRPr="003B5EA2" w:rsidRDefault="007A4C3D" w:rsidP="007B7164">
      <w:pPr>
        <w:ind w:left="1134"/>
        <w:jc w:val="both"/>
        <w:rPr>
          <w:rFonts w:eastAsia="Times New Roman"/>
          <w:color w:val="000000"/>
          <w:szCs w:val="24"/>
        </w:rPr>
      </w:pPr>
    </w:p>
    <w:p w14:paraId="292FBFCF" w14:textId="77777777" w:rsidR="007A4C3D" w:rsidRPr="003B5EA2" w:rsidRDefault="00215949" w:rsidP="007B7164">
      <w:pPr>
        <w:jc w:val="both"/>
        <w:rPr>
          <w:rFonts w:eastAsia="Times New Roman"/>
          <w:color w:val="000000"/>
          <w:szCs w:val="24"/>
        </w:rPr>
      </w:pPr>
      <w:r>
        <w:rPr>
          <w:rFonts w:eastAsia="Times New Roman"/>
          <w:noProof/>
          <w:color w:val="000000"/>
          <w:szCs w:val="24"/>
        </w:rPr>
        <w:drawing>
          <wp:inline distT="0" distB="0" distL="0" distR="0" wp14:anchorId="145B45F5" wp14:editId="0C979063">
            <wp:extent cx="5762625" cy="3514725"/>
            <wp:effectExtent l="0" t="0" r="9525" b="9525"/>
            <wp:docPr id="19" name="Obraz 19"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YS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514725"/>
                    </a:xfrm>
                    <a:prstGeom prst="rect">
                      <a:avLst/>
                    </a:prstGeom>
                    <a:noFill/>
                    <a:ln>
                      <a:noFill/>
                    </a:ln>
                  </pic:spPr>
                </pic:pic>
              </a:graphicData>
            </a:graphic>
          </wp:inline>
        </w:drawing>
      </w:r>
    </w:p>
    <w:p w14:paraId="27DE25CB" w14:textId="77777777" w:rsidR="007A4C3D" w:rsidRPr="003B5EA2" w:rsidRDefault="007A4C3D" w:rsidP="007B7164">
      <w:pPr>
        <w:ind w:left="426"/>
        <w:jc w:val="center"/>
        <w:rPr>
          <w:rFonts w:eastAsia="Times New Roman"/>
          <w:i/>
          <w:iCs/>
          <w:color w:val="000000"/>
          <w:szCs w:val="24"/>
        </w:rPr>
      </w:pPr>
      <w:r w:rsidRPr="003B5EA2">
        <w:rPr>
          <w:rFonts w:eastAsia="Times New Roman"/>
          <w:i/>
          <w:iCs/>
          <w:color w:val="000000"/>
          <w:szCs w:val="24"/>
        </w:rPr>
        <w:t>Rys.3. Charakterystyka sterowania mocą bierną w funkcji napięcia wymagana przez OSDn.</w:t>
      </w:r>
    </w:p>
    <w:p w14:paraId="105C9C10" w14:textId="77777777" w:rsidR="007A4C3D" w:rsidRPr="003B5EA2" w:rsidRDefault="007A4C3D" w:rsidP="007B7164">
      <w:pPr>
        <w:ind w:left="1134"/>
        <w:jc w:val="center"/>
        <w:rPr>
          <w:rFonts w:eastAsia="Times New Roman"/>
          <w:i/>
          <w:iCs/>
          <w:color w:val="000000"/>
          <w:szCs w:val="24"/>
        </w:rPr>
      </w:pPr>
    </w:p>
    <w:p w14:paraId="4BDBD7F2" w14:textId="77777777" w:rsidR="007A4C3D" w:rsidRPr="003B5EA2" w:rsidRDefault="00215949" w:rsidP="007B7164">
      <w:pPr>
        <w:jc w:val="both"/>
        <w:rPr>
          <w:rFonts w:eastAsia="Times New Roman"/>
          <w:color w:val="000000"/>
          <w:szCs w:val="24"/>
        </w:rPr>
      </w:pPr>
      <w:r>
        <w:rPr>
          <w:rFonts w:eastAsia="Times New Roman"/>
          <w:noProof/>
          <w:color w:val="000000"/>
          <w:szCs w:val="24"/>
        </w:rPr>
        <w:drawing>
          <wp:inline distT="0" distB="0" distL="0" distR="0" wp14:anchorId="2D8AEB46" wp14:editId="4570B6F1">
            <wp:extent cx="5762625" cy="3448050"/>
            <wp:effectExtent l="0" t="0" r="9525" b="0"/>
            <wp:docPr id="20" name="Obraz 20"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YS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448050"/>
                    </a:xfrm>
                    <a:prstGeom prst="rect">
                      <a:avLst/>
                    </a:prstGeom>
                    <a:noFill/>
                    <a:ln>
                      <a:noFill/>
                    </a:ln>
                  </pic:spPr>
                </pic:pic>
              </a:graphicData>
            </a:graphic>
          </wp:inline>
        </w:drawing>
      </w:r>
    </w:p>
    <w:p w14:paraId="4BF8395A" w14:textId="23B7E9CC" w:rsidR="007A4C3D" w:rsidRPr="003B5EA2" w:rsidRDefault="007A4C3D" w:rsidP="007B7164">
      <w:pPr>
        <w:ind w:left="426"/>
        <w:jc w:val="center"/>
        <w:rPr>
          <w:rFonts w:eastAsia="Times New Roman"/>
          <w:i/>
          <w:iCs/>
          <w:color w:val="000000"/>
          <w:szCs w:val="24"/>
        </w:rPr>
      </w:pPr>
      <w:r w:rsidRPr="003B5EA2">
        <w:rPr>
          <w:rFonts w:eastAsia="Times New Roman"/>
          <w:i/>
          <w:iCs/>
          <w:color w:val="000000"/>
          <w:szCs w:val="24"/>
        </w:rPr>
        <w:t xml:space="preserve">Rys.4. Charakterystyka sterowania mocą bierną w funkcji napięcia dla </w:t>
      </w:r>
      <w:r w:rsidR="00AD7E51">
        <w:rPr>
          <w:rFonts w:eastAsia="Times New Roman"/>
          <w:i/>
          <w:iCs/>
          <w:color w:val="000000"/>
          <w:szCs w:val="24"/>
        </w:rPr>
        <w:t>mikrointalacji</w:t>
      </w:r>
      <w:r w:rsidRPr="003B5EA2">
        <w:rPr>
          <w:rFonts w:eastAsia="Times New Roman"/>
          <w:i/>
          <w:iCs/>
          <w:color w:val="000000"/>
          <w:szCs w:val="24"/>
        </w:rPr>
        <w:t xml:space="preserve"> podłączonych jednofazowo, wymagana przez OSDn.</w:t>
      </w:r>
    </w:p>
    <w:p w14:paraId="0CBD14C1" w14:textId="77777777" w:rsidR="007A4C3D" w:rsidRPr="003B5EA2" w:rsidRDefault="007A4C3D" w:rsidP="007B7164">
      <w:pPr>
        <w:ind w:left="426"/>
        <w:jc w:val="center"/>
        <w:rPr>
          <w:rFonts w:eastAsia="Times New Roman"/>
          <w:i/>
          <w:iCs/>
          <w:color w:val="000000"/>
          <w:szCs w:val="24"/>
        </w:rPr>
      </w:pPr>
    </w:p>
    <w:p w14:paraId="4CD1E889" w14:textId="77777777" w:rsidR="007A4C3D" w:rsidRPr="003B5EA2" w:rsidRDefault="007A4C3D" w:rsidP="007B7164">
      <w:pPr>
        <w:ind w:left="426"/>
        <w:jc w:val="center"/>
        <w:rPr>
          <w:rFonts w:eastAsia="Times New Roman"/>
          <w:i/>
          <w:iCs/>
          <w:color w:val="000000"/>
          <w:szCs w:val="24"/>
        </w:rPr>
      </w:pPr>
    </w:p>
    <w:p w14:paraId="2BD2A0FE" w14:textId="430C0C01" w:rsidR="007A4C3D" w:rsidRPr="003B5EA2" w:rsidRDefault="007A4C3D" w:rsidP="007B7164">
      <w:pPr>
        <w:ind w:left="851" w:right="2" w:hanging="851"/>
        <w:jc w:val="both"/>
        <w:rPr>
          <w:rFonts w:eastAsia="Times New Roman"/>
          <w:color w:val="000000"/>
          <w:szCs w:val="24"/>
        </w:rPr>
      </w:pPr>
      <w:r w:rsidRPr="003B5EA2">
        <w:rPr>
          <w:rFonts w:eastAsia="Times New Roman"/>
          <w:color w:val="000000"/>
          <w:szCs w:val="24"/>
        </w:rPr>
        <w:t>9.1.</w:t>
      </w:r>
      <w:r w:rsidR="002E7DD1">
        <w:rPr>
          <w:rFonts w:eastAsia="Times New Roman"/>
          <w:color w:val="000000"/>
          <w:szCs w:val="24"/>
        </w:rPr>
        <w:t>2</w:t>
      </w:r>
      <w:r w:rsidRPr="003B5EA2">
        <w:rPr>
          <w:rFonts w:eastAsia="Times New Roman"/>
          <w:color w:val="000000"/>
          <w:szCs w:val="24"/>
        </w:rPr>
        <w:t xml:space="preserve">.4. Wymagania w zakresie trybu sterowania współczynnikiem przesunięcia fazowego podstawowych harmonicznych napięcia i prądu w funkcji mocy czynnej generowanej – cos </w:t>
      </w:r>
      <w:r w:rsidRPr="003B5EA2">
        <w:rPr>
          <w:rFonts w:eastAsia="Times New Roman"/>
          <w:color w:val="000000"/>
          <w:szCs w:val="24"/>
        </w:rPr>
        <w:sym w:font="Symbol" w:char="F06A"/>
      </w:r>
      <w:r w:rsidRPr="003B5EA2">
        <w:rPr>
          <w:rFonts w:eastAsia="Times New Roman"/>
          <w:color w:val="000000"/>
          <w:szCs w:val="24"/>
        </w:rPr>
        <w:t xml:space="preserve"> (P):</w:t>
      </w:r>
    </w:p>
    <w:p w14:paraId="4A770637" w14:textId="77777777" w:rsidR="007A4C3D" w:rsidRPr="003B5EA2" w:rsidRDefault="007A4C3D" w:rsidP="007B7164">
      <w:pPr>
        <w:ind w:left="851" w:right="2"/>
        <w:jc w:val="both"/>
        <w:rPr>
          <w:rFonts w:eastAsia="Times New Roman"/>
          <w:color w:val="000000"/>
          <w:szCs w:val="24"/>
        </w:rPr>
      </w:pPr>
      <w:r w:rsidRPr="003B5EA2">
        <w:rPr>
          <w:rFonts w:eastAsia="Times New Roman"/>
          <w:color w:val="000000"/>
          <w:szCs w:val="24"/>
        </w:rPr>
        <w:t xml:space="preserve">W trybie cos </w:t>
      </w:r>
      <w:r w:rsidRPr="003B5EA2">
        <w:rPr>
          <w:rFonts w:eastAsia="Times New Roman"/>
          <w:color w:val="000000"/>
          <w:szCs w:val="24"/>
        </w:rPr>
        <w:sym w:font="Symbol" w:char="F06A"/>
      </w:r>
      <w:r w:rsidRPr="003B5EA2">
        <w:rPr>
          <w:rFonts w:eastAsia="Times New Roman"/>
          <w:color w:val="000000"/>
          <w:szCs w:val="24"/>
        </w:rPr>
        <w:t xml:space="preserve"> (P) sterowanie odbywa się, według krzywej przedstawionej na rys. 5.</w:t>
      </w:r>
      <w:r w:rsidR="00F613C6">
        <w:rPr>
          <w:rFonts w:eastAsia="Times New Roman"/>
          <w:color w:val="000000"/>
          <w:szCs w:val="24"/>
        </w:rPr>
        <w:t xml:space="preserve"> </w:t>
      </w:r>
      <w:r w:rsidRPr="003B5EA2">
        <w:rPr>
          <w:rFonts w:eastAsia="Times New Roman"/>
          <w:color w:val="000000"/>
          <w:szCs w:val="24"/>
        </w:rPr>
        <w:t>Nastawione nowe wartości wynikające ze zmiany mocy czynnej generowanej muszą być nastawione w ciągu 10 s. Zaleca się, aby szybkość zmiany mocy biernej następowała w takim samym czasie jak szybkość zmiany mocy czynnej i była zsynchronizowana z szybkością zmiany mocy czynnej.</w:t>
      </w:r>
    </w:p>
    <w:p w14:paraId="533652EE" w14:textId="77777777" w:rsidR="007A4C3D" w:rsidRPr="003B5EA2" w:rsidRDefault="00215949" w:rsidP="007B7164">
      <w:pPr>
        <w:jc w:val="both"/>
        <w:rPr>
          <w:rFonts w:eastAsia="Times New Roman"/>
          <w:color w:val="000000"/>
          <w:szCs w:val="24"/>
        </w:rPr>
      </w:pPr>
      <w:r>
        <w:rPr>
          <w:rFonts w:eastAsia="Times New Roman"/>
          <w:noProof/>
          <w:color w:val="000000"/>
          <w:szCs w:val="24"/>
        </w:rPr>
        <w:drawing>
          <wp:inline distT="0" distB="0" distL="0" distR="0" wp14:anchorId="10272594" wp14:editId="48D95311">
            <wp:extent cx="5695950" cy="3152775"/>
            <wp:effectExtent l="0" t="0" r="0" b="9525"/>
            <wp:docPr id="21" name="Obraz 21"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YS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3152775"/>
                    </a:xfrm>
                    <a:prstGeom prst="rect">
                      <a:avLst/>
                    </a:prstGeom>
                    <a:noFill/>
                    <a:ln>
                      <a:noFill/>
                    </a:ln>
                  </pic:spPr>
                </pic:pic>
              </a:graphicData>
            </a:graphic>
          </wp:inline>
        </w:drawing>
      </w:r>
    </w:p>
    <w:p w14:paraId="66186454" w14:textId="77777777" w:rsidR="007A4C3D" w:rsidRPr="003B5EA2" w:rsidRDefault="007A4C3D" w:rsidP="007B7164">
      <w:pPr>
        <w:ind w:left="1418"/>
        <w:jc w:val="center"/>
        <w:rPr>
          <w:rFonts w:eastAsia="Times New Roman"/>
          <w:i/>
          <w:iCs/>
          <w:color w:val="000000"/>
          <w:szCs w:val="24"/>
        </w:rPr>
      </w:pPr>
      <w:r w:rsidRPr="003B5EA2">
        <w:rPr>
          <w:rFonts w:eastAsia="Times New Roman"/>
          <w:i/>
          <w:iCs/>
          <w:color w:val="000000"/>
          <w:szCs w:val="24"/>
        </w:rPr>
        <w:t xml:space="preserve">Rys.5. Charakterystyka sterowania współczynnikiem mocy cos </w:t>
      </w:r>
      <w:r w:rsidRPr="003B5EA2">
        <w:rPr>
          <w:rFonts w:eastAsia="Times New Roman"/>
          <w:i/>
          <w:iCs/>
          <w:color w:val="000000"/>
          <w:szCs w:val="24"/>
        </w:rPr>
        <w:sym w:font="Symbol" w:char="F06A"/>
      </w:r>
      <w:r w:rsidRPr="003B5EA2">
        <w:rPr>
          <w:rFonts w:eastAsia="Times New Roman"/>
          <w:i/>
          <w:iCs/>
          <w:color w:val="000000"/>
          <w:szCs w:val="24"/>
        </w:rPr>
        <w:t xml:space="preserve"> w funkcji generowanej mocy czynnej wymagana przez OSDn.</w:t>
      </w:r>
    </w:p>
    <w:p w14:paraId="50CDCB9F" w14:textId="77777777" w:rsidR="007A4C3D" w:rsidRPr="003B5EA2" w:rsidRDefault="007A4C3D" w:rsidP="007B7164">
      <w:pPr>
        <w:ind w:left="1418"/>
        <w:jc w:val="both"/>
        <w:rPr>
          <w:rFonts w:eastAsia="Times New Roman"/>
          <w:color w:val="000000"/>
          <w:szCs w:val="24"/>
        </w:rPr>
      </w:pPr>
    </w:p>
    <w:p w14:paraId="02097C31" w14:textId="5902755D" w:rsidR="007A4C3D" w:rsidRPr="003B5EA2" w:rsidRDefault="007A4C3D" w:rsidP="007B7164">
      <w:pPr>
        <w:ind w:right="2"/>
        <w:jc w:val="both"/>
        <w:rPr>
          <w:rFonts w:eastAsia="Times New Roman"/>
          <w:color w:val="000000"/>
          <w:szCs w:val="24"/>
        </w:rPr>
      </w:pPr>
      <w:r w:rsidRPr="003B5EA2">
        <w:rPr>
          <w:rFonts w:eastAsia="Times New Roman"/>
          <w:color w:val="000000"/>
          <w:szCs w:val="24"/>
          <w:u w:val="single"/>
        </w:rPr>
        <w:t>9.1.</w:t>
      </w:r>
      <w:r w:rsidR="002E7DD1">
        <w:rPr>
          <w:rFonts w:eastAsia="Times New Roman"/>
          <w:color w:val="000000"/>
          <w:szCs w:val="24"/>
          <w:u w:val="single"/>
        </w:rPr>
        <w:t>3</w:t>
      </w:r>
      <w:r w:rsidRPr="003B5EA2">
        <w:rPr>
          <w:rFonts w:eastAsia="Times New Roman"/>
          <w:color w:val="000000"/>
          <w:szCs w:val="24"/>
          <w:u w:val="single"/>
        </w:rPr>
        <w:t>. Wymagania w zakresie wyposażenia mikroinstalacji w regulację mocy czynnej</w:t>
      </w:r>
      <w:r w:rsidRPr="003B5EA2">
        <w:rPr>
          <w:rFonts w:eastAsia="Times New Roman"/>
          <w:color w:val="000000"/>
          <w:szCs w:val="24"/>
        </w:rPr>
        <w:t>.</w:t>
      </w:r>
    </w:p>
    <w:p w14:paraId="40EE06B8" w14:textId="77777777" w:rsidR="007A4C3D" w:rsidRPr="003B5EA2" w:rsidRDefault="007A4C3D" w:rsidP="007B7164">
      <w:pPr>
        <w:ind w:right="2"/>
        <w:jc w:val="both"/>
        <w:rPr>
          <w:rFonts w:eastAsia="Times New Roman"/>
          <w:color w:val="000000"/>
          <w:szCs w:val="24"/>
        </w:rPr>
      </w:pPr>
    </w:p>
    <w:p w14:paraId="06848D0D" w14:textId="05233F36" w:rsidR="007A4C3D" w:rsidRPr="003B5EA2" w:rsidRDefault="007A4C3D" w:rsidP="00912BF2">
      <w:pPr>
        <w:spacing w:before="120"/>
        <w:ind w:left="851" w:right="2" w:hanging="851"/>
        <w:jc w:val="both"/>
        <w:rPr>
          <w:rFonts w:eastAsia="Times New Roman"/>
          <w:color w:val="000000"/>
          <w:szCs w:val="24"/>
        </w:rPr>
      </w:pPr>
      <w:r w:rsidRPr="003B5EA2">
        <w:rPr>
          <w:rFonts w:eastAsia="Times New Roman"/>
          <w:color w:val="000000"/>
          <w:szCs w:val="24"/>
        </w:rPr>
        <w:t>9.1.</w:t>
      </w:r>
      <w:r w:rsidR="002E7DD1">
        <w:rPr>
          <w:rFonts w:eastAsia="Times New Roman"/>
          <w:color w:val="000000"/>
          <w:szCs w:val="24"/>
        </w:rPr>
        <w:t>3</w:t>
      </w:r>
      <w:r w:rsidRPr="00636C8A">
        <w:rPr>
          <w:rFonts w:eastAsia="Times New Roman" w:cs="Times New Roman"/>
          <w:color w:val="000000"/>
          <w:szCs w:val="24"/>
        </w:rPr>
        <w:t xml:space="preserve">.1. </w:t>
      </w:r>
      <w:r w:rsidR="00636C8A" w:rsidRPr="00636C8A">
        <w:rPr>
          <w:rFonts w:cs="Times New Roman"/>
          <w:szCs w:val="24"/>
        </w:rPr>
        <w:t>Mikroinstalacja powinna umożliwiać przyjęcie od OSDn polecenia zaprzestania generacji mocy czynnej do sieci elektroenergetycznej oraz w przypadku mikroinstalacji o mocy zainstalowanej większej niż 10 kW polecenia ograniczenia generacji mocy czynnej do sieci elektroenergetycznej, poprzez port wejściowy RS485 obsługujący protokół komunikacji SUNSPEC.</w:t>
      </w:r>
      <w:r w:rsidRPr="003B5EA2">
        <w:rPr>
          <w:rFonts w:eastAsia="Times New Roman"/>
          <w:color w:val="000000"/>
          <w:szCs w:val="24"/>
        </w:rPr>
        <w:t>.</w:t>
      </w:r>
    </w:p>
    <w:p w14:paraId="2623EBCA" w14:textId="522C3612" w:rsidR="007A4C3D" w:rsidRPr="003B5EA2" w:rsidRDefault="007A4C3D" w:rsidP="00912BF2">
      <w:pPr>
        <w:ind w:right="2"/>
        <w:jc w:val="both"/>
        <w:rPr>
          <w:rFonts w:eastAsia="Times New Roman"/>
          <w:color w:val="000000"/>
          <w:szCs w:val="24"/>
        </w:rPr>
      </w:pPr>
    </w:p>
    <w:p w14:paraId="4B196379" w14:textId="03C9F85A" w:rsidR="007A4C3D" w:rsidRPr="003B5EA2" w:rsidRDefault="007A4C3D" w:rsidP="007B7164">
      <w:pPr>
        <w:ind w:left="851" w:right="2" w:hanging="851"/>
        <w:jc w:val="both"/>
        <w:rPr>
          <w:rFonts w:eastAsia="Times New Roman"/>
          <w:color w:val="000000"/>
          <w:szCs w:val="24"/>
        </w:rPr>
      </w:pPr>
      <w:r w:rsidRPr="003B5EA2">
        <w:rPr>
          <w:rFonts w:eastAsia="Times New Roman"/>
          <w:color w:val="000000"/>
          <w:szCs w:val="24"/>
        </w:rPr>
        <w:t>9.1.</w:t>
      </w:r>
      <w:r w:rsidR="002E7DD1">
        <w:rPr>
          <w:rFonts w:eastAsia="Times New Roman"/>
          <w:color w:val="000000"/>
          <w:szCs w:val="24"/>
        </w:rPr>
        <w:t>3</w:t>
      </w:r>
      <w:r w:rsidRPr="003B5EA2">
        <w:rPr>
          <w:rFonts w:eastAsia="Times New Roman"/>
          <w:color w:val="000000"/>
          <w:szCs w:val="24"/>
        </w:rPr>
        <w:t>.</w:t>
      </w:r>
      <w:r w:rsidR="00912BF2">
        <w:rPr>
          <w:rFonts w:eastAsia="Times New Roman"/>
          <w:color w:val="000000"/>
          <w:szCs w:val="24"/>
        </w:rPr>
        <w:t>2.</w:t>
      </w:r>
      <w:r w:rsidR="009C5824">
        <w:rPr>
          <w:rFonts w:eastAsia="Times New Roman"/>
          <w:color w:val="000000"/>
          <w:szCs w:val="24"/>
        </w:rPr>
        <w:t xml:space="preserve"> </w:t>
      </w:r>
      <w:r w:rsidRPr="003B5EA2">
        <w:rPr>
          <w:rFonts w:eastAsia="Times New Roman"/>
          <w:color w:val="000000"/>
          <w:szCs w:val="24"/>
        </w:rPr>
        <w:t>W celu uniknięcia całkowitego wyłączenia mikroinstalacji spowodowanego zadziałaniem zabezpieczenia nadnapięciowego mikroinstalacji, zaleca się, aby mikroinstalacja posiadała funkcję zmniejszenia mocy czynnej generowanej w funkcji wzrostu napięcia. Istotne jest, aby funkcja ta działała dopiero po wyczerpaniu możliwości regulacji napięcia poborem mocy biernej w trybie Q(U) tj. powyżej 1,08 U</w:t>
      </w:r>
      <w:r w:rsidRPr="003B5EA2">
        <w:rPr>
          <w:rFonts w:eastAsia="Times New Roman"/>
          <w:color w:val="000000"/>
          <w:szCs w:val="24"/>
          <w:vertAlign w:val="subscript"/>
        </w:rPr>
        <w:t>n</w:t>
      </w:r>
      <w:r w:rsidRPr="003B5EA2">
        <w:rPr>
          <w:rFonts w:eastAsia="Times New Roman"/>
          <w:color w:val="000000"/>
          <w:szCs w:val="24"/>
        </w:rPr>
        <w:t xml:space="preserve">. Funkcja ta nie może powodować skokowych zmian mocy generowanej. </w:t>
      </w:r>
    </w:p>
    <w:p w14:paraId="2809F08D" w14:textId="77777777" w:rsidR="007A4C3D" w:rsidRPr="003B5EA2" w:rsidRDefault="007A4C3D" w:rsidP="007B7164">
      <w:pPr>
        <w:ind w:left="851" w:right="2" w:hanging="851"/>
        <w:jc w:val="both"/>
        <w:rPr>
          <w:rFonts w:eastAsia="Times New Roman"/>
          <w:color w:val="000000"/>
          <w:szCs w:val="24"/>
        </w:rPr>
      </w:pPr>
    </w:p>
    <w:p w14:paraId="205E11AA" w14:textId="4FF5CC0A" w:rsidR="007A4C3D" w:rsidRPr="003B5EA2" w:rsidRDefault="007A4C3D" w:rsidP="007B7164">
      <w:pPr>
        <w:ind w:left="851" w:right="2" w:hanging="851"/>
        <w:jc w:val="both"/>
        <w:rPr>
          <w:rFonts w:eastAsia="Times New Roman"/>
          <w:color w:val="000000"/>
          <w:szCs w:val="24"/>
          <w:u w:val="single"/>
        </w:rPr>
      </w:pPr>
      <w:r w:rsidRPr="003B5EA2">
        <w:rPr>
          <w:rFonts w:eastAsia="Times New Roman"/>
          <w:color w:val="000000"/>
          <w:szCs w:val="24"/>
          <w:u w:val="single"/>
        </w:rPr>
        <w:t>9.1.</w:t>
      </w:r>
      <w:r w:rsidR="002E7DD1">
        <w:rPr>
          <w:rFonts w:eastAsia="Times New Roman"/>
          <w:color w:val="000000"/>
          <w:szCs w:val="24"/>
          <w:u w:val="single"/>
        </w:rPr>
        <w:t>4</w:t>
      </w:r>
      <w:r w:rsidRPr="003B5EA2">
        <w:rPr>
          <w:rFonts w:eastAsia="Times New Roman"/>
          <w:color w:val="000000"/>
          <w:szCs w:val="24"/>
          <w:u w:val="single"/>
        </w:rPr>
        <w:t>. Wymagania w zakresie wyposażenia mikroinstalacji w układ zabezpieczeń</w:t>
      </w:r>
    </w:p>
    <w:p w14:paraId="53D86253" w14:textId="643492EF" w:rsidR="007A4C3D" w:rsidRPr="003B5EA2" w:rsidRDefault="007A4C3D" w:rsidP="007B7164">
      <w:pPr>
        <w:ind w:left="851" w:right="2" w:hanging="851"/>
        <w:jc w:val="both"/>
        <w:rPr>
          <w:rFonts w:eastAsia="Times New Roman"/>
          <w:color w:val="000000"/>
          <w:szCs w:val="24"/>
        </w:rPr>
      </w:pPr>
      <w:r w:rsidRPr="003B5EA2">
        <w:rPr>
          <w:rFonts w:eastAsia="Times New Roman"/>
          <w:color w:val="000000"/>
          <w:szCs w:val="24"/>
        </w:rPr>
        <w:t>9.1.</w:t>
      </w:r>
      <w:r w:rsidR="002E7DD1">
        <w:rPr>
          <w:rFonts w:eastAsia="Times New Roman"/>
          <w:color w:val="000000"/>
          <w:szCs w:val="24"/>
        </w:rPr>
        <w:t>4</w:t>
      </w:r>
      <w:r w:rsidRPr="003B5EA2">
        <w:rPr>
          <w:rFonts w:eastAsia="Times New Roman"/>
          <w:color w:val="000000"/>
          <w:szCs w:val="24"/>
        </w:rPr>
        <w:t>.1. Wymagania ogólne:</w:t>
      </w:r>
    </w:p>
    <w:p w14:paraId="2F40F381" w14:textId="77777777" w:rsidR="007A4C3D" w:rsidRPr="003B5EA2" w:rsidRDefault="007A4C3D" w:rsidP="007B7164">
      <w:pPr>
        <w:ind w:left="851" w:right="2" w:hanging="142"/>
        <w:jc w:val="both"/>
        <w:rPr>
          <w:rFonts w:eastAsia="Times New Roman"/>
          <w:color w:val="000000"/>
          <w:szCs w:val="24"/>
        </w:rPr>
      </w:pPr>
      <w:r w:rsidRPr="003B5EA2">
        <w:rPr>
          <w:rFonts w:eastAsia="Times New Roman"/>
          <w:color w:val="000000"/>
          <w:szCs w:val="24"/>
        </w:rPr>
        <w:t>Mikroinstalacje powinny posiadać wbudowany układ zabezpieczeń, składający się co najmniej z następujących zabezpieczeń:</w:t>
      </w:r>
    </w:p>
    <w:p w14:paraId="69CA5E2C" w14:textId="77777777" w:rsidR="007A4C3D" w:rsidRPr="003B5EA2" w:rsidRDefault="007A4C3D" w:rsidP="007B7164">
      <w:pPr>
        <w:ind w:left="851" w:right="2" w:hanging="142"/>
        <w:jc w:val="both"/>
        <w:rPr>
          <w:rFonts w:eastAsia="Times New Roman"/>
          <w:color w:val="000000"/>
          <w:szCs w:val="24"/>
        </w:rPr>
      </w:pPr>
      <w:r w:rsidRPr="003B5EA2">
        <w:rPr>
          <w:rFonts w:eastAsia="Times New Roman"/>
          <w:color w:val="000000"/>
          <w:szCs w:val="24"/>
        </w:rPr>
        <w:t>- dwustopniowe zabezpieczenie nadnapięciowe,</w:t>
      </w:r>
    </w:p>
    <w:p w14:paraId="138BB4AC" w14:textId="77777777" w:rsidR="007A4C3D" w:rsidRPr="003B5EA2" w:rsidRDefault="007A4C3D" w:rsidP="007B7164">
      <w:pPr>
        <w:ind w:left="851" w:right="2" w:hanging="142"/>
        <w:jc w:val="both"/>
        <w:rPr>
          <w:rFonts w:eastAsia="Times New Roman"/>
          <w:color w:val="000000"/>
          <w:szCs w:val="24"/>
        </w:rPr>
      </w:pPr>
      <w:r w:rsidRPr="003B5EA2">
        <w:rPr>
          <w:rFonts w:eastAsia="Times New Roman"/>
          <w:color w:val="000000"/>
          <w:szCs w:val="24"/>
        </w:rPr>
        <w:t>- zabezpieczenie podnapięciowe,</w:t>
      </w:r>
    </w:p>
    <w:p w14:paraId="719EF988" w14:textId="77777777" w:rsidR="007A4C3D" w:rsidRPr="003B5EA2" w:rsidRDefault="007A4C3D" w:rsidP="007B7164">
      <w:pPr>
        <w:ind w:left="851" w:right="569" w:hanging="142"/>
        <w:jc w:val="both"/>
        <w:rPr>
          <w:rFonts w:eastAsia="Times New Roman"/>
          <w:color w:val="000000"/>
          <w:szCs w:val="24"/>
        </w:rPr>
      </w:pPr>
      <w:r w:rsidRPr="003B5EA2">
        <w:rPr>
          <w:rFonts w:eastAsia="Times New Roman"/>
          <w:color w:val="000000"/>
          <w:szCs w:val="24"/>
        </w:rPr>
        <w:t>- zabezpieczenie podczęstotliwościowe,</w:t>
      </w:r>
    </w:p>
    <w:p w14:paraId="7AD7C872" w14:textId="77777777" w:rsidR="007A4C3D" w:rsidRPr="003B5EA2" w:rsidRDefault="007A4C3D" w:rsidP="007B7164">
      <w:pPr>
        <w:ind w:left="851" w:right="569" w:hanging="142"/>
        <w:jc w:val="both"/>
        <w:rPr>
          <w:rFonts w:eastAsia="Times New Roman"/>
          <w:color w:val="000000"/>
          <w:szCs w:val="24"/>
        </w:rPr>
      </w:pPr>
      <w:r w:rsidRPr="003B5EA2">
        <w:rPr>
          <w:rFonts w:eastAsia="Times New Roman"/>
          <w:color w:val="000000"/>
          <w:szCs w:val="24"/>
        </w:rPr>
        <w:t>- zabezpieczenie nadczęstotliwościowe,</w:t>
      </w:r>
    </w:p>
    <w:p w14:paraId="4331A8F0" w14:textId="77777777" w:rsidR="007A4C3D" w:rsidRPr="003B5EA2" w:rsidRDefault="007A4C3D" w:rsidP="007B7164">
      <w:pPr>
        <w:ind w:left="851" w:right="2" w:hanging="142"/>
        <w:jc w:val="both"/>
        <w:rPr>
          <w:rFonts w:eastAsia="Times New Roman"/>
          <w:color w:val="000000"/>
          <w:szCs w:val="24"/>
        </w:rPr>
      </w:pPr>
      <w:r w:rsidRPr="003B5EA2">
        <w:rPr>
          <w:rFonts w:eastAsia="Times New Roman"/>
          <w:color w:val="000000"/>
          <w:szCs w:val="24"/>
        </w:rPr>
        <w:t>- zabezpieczenie od pracy wyspowej (LoM).</w:t>
      </w:r>
    </w:p>
    <w:p w14:paraId="632ACBD6" w14:textId="727C73BA" w:rsidR="007A4C3D" w:rsidRDefault="007A4C3D" w:rsidP="007B7164">
      <w:pPr>
        <w:ind w:left="709" w:right="2"/>
        <w:jc w:val="both"/>
        <w:rPr>
          <w:rFonts w:eastAsia="Times New Roman"/>
          <w:color w:val="000000"/>
          <w:szCs w:val="24"/>
        </w:rPr>
      </w:pPr>
      <w:r w:rsidRPr="003B5EA2">
        <w:rPr>
          <w:rFonts w:eastAsia="Times New Roman"/>
          <w:color w:val="000000"/>
          <w:szCs w:val="24"/>
        </w:rPr>
        <w:t xml:space="preserve">Nastawy poszczególnych zabezpieczeń muszą być możliwe do ustawienia w miejscu zainstalowania </w:t>
      </w:r>
      <w:r w:rsidR="00115379">
        <w:rPr>
          <w:rFonts w:eastAsia="Times New Roman"/>
          <w:color w:val="000000"/>
          <w:szCs w:val="24"/>
        </w:rPr>
        <w:t>urządzenia sterującego</w:t>
      </w:r>
      <w:r w:rsidRPr="003B5EA2">
        <w:rPr>
          <w:rFonts w:eastAsia="Times New Roman"/>
          <w:color w:val="000000"/>
          <w:szCs w:val="24"/>
        </w:rPr>
        <w:t>. Wymagane jest zapewnienie ochrony przed nieuprawnioną ingerencją w ustawienia nastaw zabezpieczeń – zmiana nastaw zabezpieczeń nie może być dokonana samodzielnie przez właściciela mikroinstalacji.</w:t>
      </w:r>
    </w:p>
    <w:p w14:paraId="58518C70" w14:textId="77777777" w:rsidR="00257269" w:rsidRDefault="00257269" w:rsidP="00257269">
      <w:pPr>
        <w:ind w:left="709" w:right="2" w:firstLine="11"/>
        <w:jc w:val="both"/>
        <w:rPr>
          <w:color w:val="000000"/>
        </w:rPr>
      </w:pPr>
    </w:p>
    <w:p w14:paraId="2B70A44D" w14:textId="5BE0AC60" w:rsidR="00257269" w:rsidRDefault="00257269" w:rsidP="00257269">
      <w:pPr>
        <w:ind w:left="709" w:right="2" w:firstLine="11"/>
        <w:jc w:val="both"/>
        <w:rPr>
          <w:color w:val="000000"/>
        </w:rPr>
      </w:pPr>
      <w:r>
        <w:rPr>
          <w:color w:val="000000"/>
        </w:rPr>
        <w:t>Nastawy poszczególnych zabezpieczeń nie mogą przekraczać granicznych wartości oraz innych parametrów ustalonych i wskazanych przez OSDn, mających wpływ na pracę sieci elektroenergetycznej.</w:t>
      </w:r>
    </w:p>
    <w:p w14:paraId="5541D483" w14:textId="77777777" w:rsidR="00257269" w:rsidRPr="003B5EA2" w:rsidRDefault="00257269" w:rsidP="00257269">
      <w:pPr>
        <w:ind w:left="709" w:right="2" w:firstLine="11"/>
        <w:jc w:val="both"/>
        <w:rPr>
          <w:rFonts w:eastAsia="Times New Roman"/>
          <w:color w:val="000000"/>
          <w:szCs w:val="24"/>
        </w:rPr>
      </w:pPr>
    </w:p>
    <w:p w14:paraId="7BDAC9F9" w14:textId="06C7F63E" w:rsidR="007A4C3D" w:rsidRPr="003B5EA2" w:rsidRDefault="007A4C3D" w:rsidP="007B7164">
      <w:pPr>
        <w:ind w:right="2"/>
        <w:jc w:val="both"/>
        <w:rPr>
          <w:rFonts w:eastAsia="Times New Roman"/>
          <w:color w:val="000000"/>
          <w:szCs w:val="24"/>
        </w:rPr>
      </w:pPr>
      <w:r w:rsidRPr="003B5EA2">
        <w:rPr>
          <w:rFonts w:eastAsia="Times New Roman"/>
          <w:color w:val="000000"/>
          <w:szCs w:val="24"/>
        </w:rPr>
        <w:t>9.1.</w:t>
      </w:r>
      <w:r w:rsidR="002E7DD1">
        <w:rPr>
          <w:rFonts w:eastAsia="Times New Roman"/>
          <w:color w:val="000000"/>
          <w:szCs w:val="24"/>
        </w:rPr>
        <w:t>4</w:t>
      </w:r>
      <w:r w:rsidRPr="003B5EA2">
        <w:rPr>
          <w:rFonts w:eastAsia="Times New Roman"/>
          <w:color w:val="000000"/>
          <w:szCs w:val="24"/>
        </w:rPr>
        <w:t>.2. Wymagane nastawy układu zabezpieczeń:</w:t>
      </w:r>
    </w:p>
    <w:p w14:paraId="1383519E" w14:textId="77777777" w:rsidR="007A4C3D" w:rsidRDefault="007A4C3D" w:rsidP="007B7164">
      <w:pPr>
        <w:ind w:left="851" w:right="2"/>
        <w:jc w:val="both"/>
        <w:rPr>
          <w:rFonts w:eastAsia="Times New Roman"/>
          <w:color w:val="000000"/>
          <w:szCs w:val="24"/>
        </w:rPr>
      </w:pPr>
      <w:r w:rsidRPr="003B5EA2">
        <w:rPr>
          <w:rFonts w:eastAsia="Times New Roman"/>
          <w:color w:val="000000"/>
          <w:szCs w:val="24"/>
        </w:rPr>
        <w:t>W tabeli nr 1 przedstawiono wymagane nastawy poszczególnych zabezpieczeń, wchodzących w skład układu zabezpieczeń.</w:t>
      </w:r>
    </w:p>
    <w:p w14:paraId="2FDECD20" w14:textId="77777777" w:rsidR="007B7164" w:rsidRPr="003B5EA2" w:rsidRDefault="007B7164" w:rsidP="007B7164">
      <w:pPr>
        <w:ind w:left="851" w:right="2"/>
        <w:jc w:val="both"/>
        <w:rPr>
          <w:rFonts w:eastAsia="Times New Roman"/>
          <w:color w:val="000000"/>
          <w:szCs w:val="24"/>
        </w:rPr>
      </w:pPr>
    </w:p>
    <w:p w14:paraId="11701D58" w14:textId="77777777" w:rsidR="007A4C3D" w:rsidRPr="003B5EA2" w:rsidRDefault="007A4C3D" w:rsidP="00662F86">
      <w:pPr>
        <w:spacing w:line="276" w:lineRule="auto"/>
        <w:ind w:left="851" w:right="2"/>
        <w:jc w:val="both"/>
        <w:rPr>
          <w:rFonts w:eastAsia="Times New Roman"/>
          <w:i/>
          <w:iCs/>
          <w:color w:val="000000"/>
          <w:szCs w:val="24"/>
        </w:rPr>
      </w:pPr>
      <w:r w:rsidRPr="003B5EA2">
        <w:rPr>
          <w:rFonts w:eastAsia="Times New Roman"/>
          <w:i/>
          <w:iCs/>
          <w:color w:val="000000"/>
          <w:szCs w:val="24"/>
        </w:rPr>
        <w:t>Tabela nr 1. Nastawy układu zabezpieczeń</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1842"/>
        <w:gridCol w:w="1843"/>
        <w:gridCol w:w="709"/>
        <w:gridCol w:w="756"/>
        <w:gridCol w:w="1466"/>
        <w:gridCol w:w="1466"/>
      </w:tblGrid>
      <w:tr w:rsidR="007A4C3D" w:rsidRPr="003B5EA2" w14:paraId="461E4452" w14:textId="77777777" w:rsidTr="00606D1E">
        <w:tc>
          <w:tcPr>
            <w:tcW w:w="4399" w:type="dxa"/>
            <w:gridSpan w:val="3"/>
            <w:shd w:val="clear" w:color="auto" w:fill="auto"/>
          </w:tcPr>
          <w:p w14:paraId="15226ED8" w14:textId="77777777" w:rsidR="007A4C3D" w:rsidRPr="003B5EA2" w:rsidRDefault="007A4C3D" w:rsidP="00606D1E">
            <w:pPr>
              <w:spacing w:line="276" w:lineRule="auto"/>
              <w:jc w:val="center"/>
              <w:rPr>
                <w:rFonts w:eastAsia="Times New Roman"/>
                <w:b/>
                <w:bCs/>
                <w:color w:val="000000"/>
                <w:szCs w:val="24"/>
              </w:rPr>
            </w:pPr>
          </w:p>
          <w:p w14:paraId="65031EF2" w14:textId="77777777" w:rsidR="007A4C3D" w:rsidRPr="003B5EA2" w:rsidRDefault="007A4C3D" w:rsidP="00606D1E">
            <w:pPr>
              <w:spacing w:line="276" w:lineRule="auto"/>
              <w:jc w:val="center"/>
              <w:rPr>
                <w:rFonts w:eastAsia="Times New Roman"/>
                <w:b/>
                <w:bCs/>
                <w:color w:val="000000"/>
                <w:szCs w:val="24"/>
              </w:rPr>
            </w:pPr>
            <w:r w:rsidRPr="003B5EA2">
              <w:rPr>
                <w:rFonts w:eastAsia="Times New Roman"/>
                <w:b/>
                <w:bCs/>
                <w:color w:val="000000"/>
                <w:szCs w:val="24"/>
              </w:rPr>
              <w:t>Funkcja zabezpieczenia</w:t>
            </w:r>
          </w:p>
        </w:tc>
        <w:tc>
          <w:tcPr>
            <w:tcW w:w="1465" w:type="dxa"/>
            <w:gridSpan w:val="2"/>
            <w:shd w:val="clear" w:color="auto" w:fill="auto"/>
          </w:tcPr>
          <w:p w14:paraId="43C718E2" w14:textId="77777777" w:rsidR="007A4C3D" w:rsidRPr="003B5EA2" w:rsidRDefault="007A4C3D" w:rsidP="00606D1E">
            <w:pPr>
              <w:spacing w:line="276" w:lineRule="auto"/>
              <w:jc w:val="center"/>
              <w:rPr>
                <w:rFonts w:eastAsia="Times New Roman"/>
                <w:b/>
                <w:bCs/>
                <w:color w:val="000000"/>
                <w:szCs w:val="24"/>
              </w:rPr>
            </w:pPr>
            <w:r w:rsidRPr="003B5EA2">
              <w:rPr>
                <w:rFonts w:eastAsia="Times New Roman"/>
                <w:b/>
                <w:bCs/>
                <w:color w:val="000000"/>
                <w:szCs w:val="24"/>
              </w:rPr>
              <w:t>Wymagane nastawienie</w:t>
            </w:r>
          </w:p>
          <w:p w14:paraId="48127051" w14:textId="77777777" w:rsidR="007A4C3D" w:rsidRPr="003B5EA2" w:rsidRDefault="007A4C3D" w:rsidP="00606D1E">
            <w:pPr>
              <w:spacing w:line="276" w:lineRule="auto"/>
              <w:jc w:val="center"/>
              <w:rPr>
                <w:rFonts w:eastAsia="Times New Roman"/>
                <w:b/>
                <w:bCs/>
                <w:color w:val="000000"/>
                <w:szCs w:val="24"/>
              </w:rPr>
            </w:pPr>
            <w:r w:rsidRPr="003B5EA2">
              <w:rPr>
                <w:rFonts w:eastAsia="Times New Roman"/>
                <w:b/>
                <w:bCs/>
                <w:color w:val="000000"/>
                <w:szCs w:val="24"/>
              </w:rPr>
              <w:t>wartości wyłączającej</w:t>
            </w:r>
          </w:p>
        </w:tc>
        <w:tc>
          <w:tcPr>
            <w:tcW w:w="1466" w:type="dxa"/>
            <w:shd w:val="clear" w:color="auto" w:fill="auto"/>
          </w:tcPr>
          <w:p w14:paraId="066BA194" w14:textId="77777777" w:rsidR="007A4C3D" w:rsidRPr="003B5EA2" w:rsidRDefault="007A4C3D" w:rsidP="00606D1E">
            <w:pPr>
              <w:spacing w:line="276" w:lineRule="auto"/>
              <w:jc w:val="center"/>
              <w:rPr>
                <w:rFonts w:eastAsia="Times New Roman"/>
                <w:b/>
                <w:bCs/>
                <w:color w:val="000000"/>
                <w:szCs w:val="24"/>
              </w:rPr>
            </w:pPr>
            <w:r w:rsidRPr="003B5EA2">
              <w:rPr>
                <w:rFonts w:eastAsia="Times New Roman"/>
                <w:b/>
                <w:bCs/>
                <w:color w:val="000000"/>
                <w:szCs w:val="24"/>
              </w:rPr>
              <w:t>Maksymalny czas odłączenia</w:t>
            </w:r>
          </w:p>
        </w:tc>
        <w:tc>
          <w:tcPr>
            <w:tcW w:w="1466" w:type="dxa"/>
            <w:shd w:val="clear" w:color="auto" w:fill="auto"/>
          </w:tcPr>
          <w:p w14:paraId="6A226F8C" w14:textId="77777777" w:rsidR="007A4C3D" w:rsidRPr="003B5EA2" w:rsidRDefault="007A4C3D" w:rsidP="00606D1E">
            <w:pPr>
              <w:spacing w:line="276" w:lineRule="auto"/>
              <w:jc w:val="center"/>
              <w:rPr>
                <w:rFonts w:eastAsia="Times New Roman"/>
                <w:b/>
                <w:bCs/>
                <w:color w:val="000000"/>
                <w:szCs w:val="24"/>
              </w:rPr>
            </w:pPr>
            <w:r w:rsidRPr="003B5EA2">
              <w:rPr>
                <w:rFonts w:eastAsia="Times New Roman"/>
                <w:b/>
                <w:bCs/>
                <w:color w:val="000000"/>
                <w:szCs w:val="24"/>
              </w:rPr>
              <w:t>Minimalny czas zadziałania</w:t>
            </w:r>
          </w:p>
        </w:tc>
      </w:tr>
      <w:tr w:rsidR="007A4C3D" w:rsidRPr="003B5EA2" w14:paraId="4D5AAAEB" w14:textId="77777777" w:rsidTr="00606D1E">
        <w:tc>
          <w:tcPr>
            <w:tcW w:w="714" w:type="dxa"/>
            <w:vMerge w:val="restart"/>
            <w:shd w:val="clear" w:color="auto" w:fill="auto"/>
          </w:tcPr>
          <w:p w14:paraId="122FDE4D" w14:textId="77777777" w:rsidR="007A4C3D" w:rsidRPr="003B5EA2" w:rsidRDefault="007A4C3D" w:rsidP="00606D1E">
            <w:pPr>
              <w:spacing w:line="276" w:lineRule="auto"/>
              <w:jc w:val="both"/>
              <w:rPr>
                <w:rFonts w:eastAsia="Times New Roman"/>
                <w:color w:val="000000"/>
                <w:szCs w:val="24"/>
              </w:rPr>
            </w:pPr>
          </w:p>
          <w:p w14:paraId="516FE1A6" w14:textId="77777777" w:rsidR="007A4C3D" w:rsidRPr="003B5EA2" w:rsidRDefault="007A4C3D" w:rsidP="00606D1E">
            <w:pPr>
              <w:spacing w:line="276" w:lineRule="auto"/>
              <w:jc w:val="center"/>
              <w:rPr>
                <w:rFonts w:eastAsia="Times New Roman"/>
                <w:color w:val="000000"/>
                <w:szCs w:val="24"/>
              </w:rPr>
            </w:pPr>
            <w:r w:rsidRPr="003B5EA2">
              <w:rPr>
                <w:rFonts w:eastAsia="Times New Roman"/>
                <w:color w:val="000000"/>
                <w:szCs w:val="24"/>
              </w:rPr>
              <w:t>U</w:t>
            </w:r>
            <w:r w:rsidRPr="003B5EA2">
              <w:rPr>
                <w:rFonts w:eastAsia="Times New Roman"/>
                <w:color w:val="000000"/>
                <w:szCs w:val="24"/>
                <w:vertAlign w:val="subscript"/>
              </w:rPr>
              <w:t>LN</w:t>
            </w:r>
          </w:p>
        </w:tc>
        <w:tc>
          <w:tcPr>
            <w:tcW w:w="3685" w:type="dxa"/>
            <w:gridSpan w:val="2"/>
            <w:shd w:val="clear" w:color="auto" w:fill="auto"/>
          </w:tcPr>
          <w:p w14:paraId="4C30878D" w14:textId="77777777" w:rsidR="007A4C3D" w:rsidRPr="003B5EA2" w:rsidRDefault="007A4C3D" w:rsidP="00606D1E">
            <w:pPr>
              <w:spacing w:line="276" w:lineRule="auto"/>
              <w:jc w:val="both"/>
              <w:rPr>
                <w:rFonts w:eastAsia="Times New Roman"/>
                <w:color w:val="000000"/>
                <w:szCs w:val="24"/>
              </w:rPr>
            </w:pPr>
            <w:r w:rsidRPr="003B5EA2">
              <w:rPr>
                <w:rFonts w:eastAsia="Times New Roman"/>
                <w:color w:val="000000"/>
                <w:szCs w:val="24"/>
              </w:rPr>
              <w:t>Obniżenie napięcia</w:t>
            </w:r>
          </w:p>
        </w:tc>
        <w:tc>
          <w:tcPr>
            <w:tcW w:w="709" w:type="dxa"/>
            <w:shd w:val="clear" w:color="auto" w:fill="auto"/>
          </w:tcPr>
          <w:p w14:paraId="7CCD1BCA"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0,85 U</w:t>
            </w:r>
            <w:r w:rsidRPr="003B5EA2">
              <w:rPr>
                <w:rFonts w:eastAsia="Times New Roman"/>
                <w:color w:val="000000"/>
                <w:vertAlign w:val="subscript"/>
              </w:rPr>
              <w:t>n</w:t>
            </w:r>
          </w:p>
        </w:tc>
        <w:tc>
          <w:tcPr>
            <w:tcW w:w="756" w:type="dxa"/>
            <w:shd w:val="clear" w:color="auto" w:fill="auto"/>
          </w:tcPr>
          <w:p w14:paraId="63AFFFFA"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195,5 V</w:t>
            </w:r>
          </w:p>
        </w:tc>
        <w:tc>
          <w:tcPr>
            <w:tcW w:w="1466" w:type="dxa"/>
            <w:shd w:val="clear" w:color="auto" w:fill="auto"/>
          </w:tcPr>
          <w:p w14:paraId="71FC13BA"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1,5 s</w:t>
            </w:r>
          </w:p>
        </w:tc>
        <w:tc>
          <w:tcPr>
            <w:tcW w:w="1466" w:type="dxa"/>
            <w:shd w:val="clear" w:color="auto" w:fill="auto"/>
          </w:tcPr>
          <w:p w14:paraId="6E8DB4B6"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1.2 s</w:t>
            </w:r>
          </w:p>
        </w:tc>
      </w:tr>
      <w:tr w:rsidR="007A4C3D" w:rsidRPr="003B5EA2" w14:paraId="4B819BD2" w14:textId="77777777" w:rsidTr="00606D1E">
        <w:tc>
          <w:tcPr>
            <w:tcW w:w="714" w:type="dxa"/>
            <w:vMerge/>
            <w:shd w:val="clear" w:color="auto" w:fill="auto"/>
          </w:tcPr>
          <w:p w14:paraId="2A5BDC81" w14:textId="77777777" w:rsidR="007A4C3D" w:rsidRPr="003B5EA2" w:rsidRDefault="007A4C3D" w:rsidP="00606D1E">
            <w:pPr>
              <w:spacing w:line="276" w:lineRule="auto"/>
              <w:jc w:val="both"/>
              <w:rPr>
                <w:rFonts w:eastAsia="Times New Roman"/>
                <w:color w:val="000000"/>
                <w:szCs w:val="24"/>
              </w:rPr>
            </w:pPr>
          </w:p>
        </w:tc>
        <w:tc>
          <w:tcPr>
            <w:tcW w:w="3685" w:type="dxa"/>
            <w:gridSpan w:val="2"/>
            <w:shd w:val="clear" w:color="auto" w:fill="auto"/>
          </w:tcPr>
          <w:p w14:paraId="21270041" w14:textId="77777777" w:rsidR="007A4C3D" w:rsidRPr="003B5EA2" w:rsidRDefault="007A4C3D" w:rsidP="00606D1E">
            <w:pPr>
              <w:spacing w:line="276" w:lineRule="auto"/>
              <w:jc w:val="both"/>
              <w:rPr>
                <w:rFonts w:eastAsia="Times New Roman"/>
                <w:color w:val="000000"/>
                <w:szCs w:val="24"/>
                <w:vertAlign w:val="superscript"/>
              </w:rPr>
            </w:pPr>
            <w:r w:rsidRPr="003B5EA2">
              <w:rPr>
                <w:rFonts w:eastAsia="Times New Roman"/>
                <w:color w:val="000000"/>
                <w:szCs w:val="24"/>
              </w:rPr>
              <w:t>Wzrost napięcia stopień 1</w:t>
            </w:r>
            <w:r w:rsidRPr="003B5EA2">
              <w:rPr>
                <w:rFonts w:eastAsia="Times New Roman"/>
                <w:color w:val="000000"/>
                <w:szCs w:val="24"/>
                <w:vertAlign w:val="superscript"/>
              </w:rPr>
              <w:t>1)</w:t>
            </w:r>
          </w:p>
        </w:tc>
        <w:tc>
          <w:tcPr>
            <w:tcW w:w="709" w:type="dxa"/>
            <w:shd w:val="clear" w:color="auto" w:fill="auto"/>
          </w:tcPr>
          <w:p w14:paraId="70418AB6"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1,1 U</w:t>
            </w:r>
            <w:r w:rsidRPr="003B5EA2">
              <w:rPr>
                <w:rFonts w:eastAsia="Times New Roman"/>
                <w:color w:val="000000"/>
                <w:vertAlign w:val="subscript"/>
              </w:rPr>
              <w:t>n</w:t>
            </w:r>
          </w:p>
        </w:tc>
        <w:tc>
          <w:tcPr>
            <w:tcW w:w="756" w:type="dxa"/>
            <w:shd w:val="clear" w:color="auto" w:fill="auto"/>
          </w:tcPr>
          <w:p w14:paraId="1D7364CD"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253,0 V</w:t>
            </w:r>
          </w:p>
        </w:tc>
        <w:tc>
          <w:tcPr>
            <w:tcW w:w="1466" w:type="dxa"/>
            <w:shd w:val="clear" w:color="auto" w:fill="auto"/>
          </w:tcPr>
          <w:p w14:paraId="6EEEC989"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3,0 s</w:t>
            </w:r>
          </w:p>
        </w:tc>
        <w:tc>
          <w:tcPr>
            <w:tcW w:w="1466" w:type="dxa"/>
            <w:shd w:val="clear" w:color="auto" w:fill="auto"/>
          </w:tcPr>
          <w:p w14:paraId="59B68E65"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w:t>
            </w:r>
          </w:p>
        </w:tc>
      </w:tr>
      <w:tr w:rsidR="007A4C3D" w:rsidRPr="003B5EA2" w14:paraId="6F66ACC4" w14:textId="77777777" w:rsidTr="00606D1E">
        <w:tc>
          <w:tcPr>
            <w:tcW w:w="714" w:type="dxa"/>
            <w:vMerge/>
            <w:shd w:val="clear" w:color="auto" w:fill="auto"/>
          </w:tcPr>
          <w:p w14:paraId="4643AD0B" w14:textId="77777777" w:rsidR="007A4C3D" w:rsidRPr="003B5EA2" w:rsidRDefault="007A4C3D" w:rsidP="00606D1E">
            <w:pPr>
              <w:spacing w:line="276" w:lineRule="auto"/>
              <w:jc w:val="both"/>
              <w:rPr>
                <w:rFonts w:eastAsia="Times New Roman"/>
                <w:color w:val="000000"/>
                <w:szCs w:val="24"/>
              </w:rPr>
            </w:pPr>
          </w:p>
        </w:tc>
        <w:tc>
          <w:tcPr>
            <w:tcW w:w="3685" w:type="dxa"/>
            <w:gridSpan w:val="2"/>
            <w:shd w:val="clear" w:color="auto" w:fill="auto"/>
          </w:tcPr>
          <w:p w14:paraId="2D524C19" w14:textId="77777777" w:rsidR="007A4C3D" w:rsidRPr="003B5EA2" w:rsidRDefault="007A4C3D" w:rsidP="00606D1E">
            <w:pPr>
              <w:spacing w:line="276" w:lineRule="auto"/>
              <w:jc w:val="both"/>
              <w:rPr>
                <w:rFonts w:eastAsia="Times New Roman"/>
                <w:color w:val="000000"/>
                <w:szCs w:val="24"/>
              </w:rPr>
            </w:pPr>
            <w:r w:rsidRPr="003B5EA2">
              <w:rPr>
                <w:rFonts w:eastAsia="Times New Roman"/>
                <w:color w:val="000000"/>
                <w:szCs w:val="24"/>
              </w:rPr>
              <w:t>Wzrost napięcia stopień 2</w:t>
            </w:r>
          </w:p>
        </w:tc>
        <w:tc>
          <w:tcPr>
            <w:tcW w:w="709" w:type="dxa"/>
            <w:shd w:val="clear" w:color="auto" w:fill="auto"/>
          </w:tcPr>
          <w:p w14:paraId="493E3166"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1,15 U</w:t>
            </w:r>
            <w:r w:rsidRPr="003B5EA2">
              <w:rPr>
                <w:rFonts w:eastAsia="Times New Roman"/>
                <w:color w:val="000000"/>
                <w:vertAlign w:val="subscript"/>
              </w:rPr>
              <w:t>n</w:t>
            </w:r>
          </w:p>
        </w:tc>
        <w:tc>
          <w:tcPr>
            <w:tcW w:w="756" w:type="dxa"/>
            <w:shd w:val="clear" w:color="auto" w:fill="auto"/>
          </w:tcPr>
          <w:p w14:paraId="71F9F97B"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264,5 V</w:t>
            </w:r>
          </w:p>
        </w:tc>
        <w:tc>
          <w:tcPr>
            <w:tcW w:w="1466" w:type="dxa"/>
            <w:shd w:val="clear" w:color="auto" w:fill="auto"/>
          </w:tcPr>
          <w:p w14:paraId="1DE4E550"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0,2 s</w:t>
            </w:r>
          </w:p>
        </w:tc>
        <w:tc>
          <w:tcPr>
            <w:tcW w:w="1466" w:type="dxa"/>
            <w:shd w:val="clear" w:color="auto" w:fill="auto"/>
          </w:tcPr>
          <w:p w14:paraId="713DEAD4"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0,1 s</w:t>
            </w:r>
          </w:p>
        </w:tc>
      </w:tr>
      <w:tr w:rsidR="007A4C3D" w:rsidRPr="003B5EA2" w14:paraId="3E5CA66D" w14:textId="77777777" w:rsidTr="00606D1E">
        <w:tc>
          <w:tcPr>
            <w:tcW w:w="714" w:type="dxa"/>
            <w:vMerge w:val="restart"/>
            <w:shd w:val="clear" w:color="auto" w:fill="auto"/>
          </w:tcPr>
          <w:p w14:paraId="50FECED1" w14:textId="77777777" w:rsidR="007A4C3D" w:rsidRPr="003B5EA2" w:rsidRDefault="007A4C3D" w:rsidP="00606D1E">
            <w:pPr>
              <w:spacing w:line="276" w:lineRule="auto"/>
              <w:jc w:val="both"/>
              <w:rPr>
                <w:rFonts w:eastAsia="Times New Roman"/>
                <w:color w:val="000000"/>
                <w:szCs w:val="24"/>
              </w:rPr>
            </w:pPr>
          </w:p>
          <w:p w14:paraId="5A510C41" w14:textId="77777777" w:rsidR="007A4C3D" w:rsidRPr="003B5EA2" w:rsidRDefault="007A4C3D" w:rsidP="00606D1E">
            <w:pPr>
              <w:spacing w:line="276" w:lineRule="auto"/>
              <w:jc w:val="center"/>
              <w:rPr>
                <w:rFonts w:eastAsia="Times New Roman"/>
                <w:color w:val="000000"/>
                <w:szCs w:val="24"/>
              </w:rPr>
            </w:pPr>
            <w:r w:rsidRPr="003B5EA2">
              <w:rPr>
                <w:rFonts w:eastAsia="Times New Roman"/>
                <w:color w:val="000000"/>
                <w:szCs w:val="24"/>
              </w:rPr>
              <w:t>U</w:t>
            </w:r>
            <w:r w:rsidRPr="003B5EA2">
              <w:rPr>
                <w:rFonts w:eastAsia="Times New Roman"/>
                <w:color w:val="000000"/>
                <w:szCs w:val="24"/>
                <w:vertAlign w:val="subscript"/>
              </w:rPr>
              <w:t>LL</w:t>
            </w:r>
          </w:p>
        </w:tc>
        <w:tc>
          <w:tcPr>
            <w:tcW w:w="3685" w:type="dxa"/>
            <w:gridSpan w:val="2"/>
            <w:shd w:val="clear" w:color="auto" w:fill="auto"/>
          </w:tcPr>
          <w:p w14:paraId="724FFBC4" w14:textId="77777777" w:rsidR="007A4C3D" w:rsidRPr="003B5EA2" w:rsidRDefault="007A4C3D" w:rsidP="00606D1E">
            <w:pPr>
              <w:spacing w:line="276" w:lineRule="auto"/>
              <w:jc w:val="both"/>
              <w:rPr>
                <w:rFonts w:eastAsia="Times New Roman"/>
                <w:color w:val="000000"/>
                <w:szCs w:val="24"/>
              </w:rPr>
            </w:pPr>
            <w:r w:rsidRPr="003B5EA2">
              <w:rPr>
                <w:rFonts w:eastAsia="Times New Roman"/>
                <w:color w:val="000000"/>
                <w:szCs w:val="24"/>
              </w:rPr>
              <w:t>Obniżenie napięcia</w:t>
            </w:r>
          </w:p>
        </w:tc>
        <w:tc>
          <w:tcPr>
            <w:tcW w:w="709" w:type="dxa"/>
            <w:shd w:val="clear" w:color="auto" w:fill="auto"/>
          </w:tcPr>
          <w:p w14:paraId="017A8C76"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0,85 U</w:t>
            </w:r>
            <w:r w:rsidRPr="003B5EA2">
              <w:rPr>
                <w:rFonts w:eastAsia="Times New Roman"/>
                <w:color w:val="000000"/>
                <w:vertAlign w:val="subscript"/>
              </w:rPr>
              <w:t>n</w:t>
            </w:r>
          </w:p>
        </w:tc>
        <w:tc>
          <w:tcPr>
            <w:tcW w:w="756" w:type="dxa"/>
            <w:shd w:val="clear" w:color="auto" w:fill="auto"/>
          </w:tcPr>
          <w:p w14:paraId="556B40E4"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 xml:space="preserve"> 340,0 V</w:t>
            </w:r>
          </w:p>
        </w:tc>
        <w:tc>
          <w:tcPr>
            <w:tcW w:w="1466" w:type="dxa"/>
            <w:shd w:val="clear" w:color="auto" w:fill="auto"/>
          </w:tcPr>
          <w:p w14:paraId="0EA5433F"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1,5 s</w:t>
            </w:r>
          </w:p>
        </w:tc>
        <w:tc>
          <w:tcPr>
            <w:tcW w:w="1466" w:type="dxa"/>
            <w:shd w:val="clear" w:color="auto" w:fill="auto"/>
          </w:tcPr>
          <w:p w14:paraId="751193B6"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1,2 s</w:t>
            </w:r>
          </w:p>
        </w:tc>
      </w:tr>
      <w:tr w:rsidR="007A4C3D" w:rsidRPr="003B5EA2" w14:paraId="458E97A2" w14:textId="77777777" w:rsidTr="00606D1E">
        <w:tc>
          <w:tcPr>
            <w:tcW w:w="714" w:type="dxa"/>
            <w:vMerge/>
            <w:shd w:val="clear" w:color="auto" w:fill="auto"/>
          </w:tcPr>
          <w:p w14:paraId="03698070" w14:textId="77777777" w:rsidR="007A4C3D" w:rsidRPr="003B5EA2" w:rsidRDefault="007A4C3D" w:rsidP="00606D1E">
            <w:pPr>
              <w:spacing w:line="276" w:lineRule="auto"/>
              <w:jc w:val="both"/>
              <w:rPr>
                <w:rFonts w:eastAsia="Times New Roman"/>
                <w:color w:val="000000"/>
                <w:szCs w:val="24"/>
              </w:rPr>
            </w:pPr>
          </w:p>
        </w:tc>
        <w:tc>
          <w:tcPr>
            <w:tcW w:w="3685" w:type="dxa"/>
            <w:gridSpan w:val="2"/>
            <w:shd w:val="clear" w:color="auto" w:fill="auto"/>
          </w:tcPr>
          <w:p w14:paraId="0170FE31" w14:textId="77777777" w:rsidR="007A4C3D" w:rsidRPr="003B5EA2" w:rsidRDefault="007A4C3D" w:rsidP="00606D1E">
            <w:pPr>
              <w:spacing w:line="276" w:lineRule="auto"/>
              <w:jc w:val="both"/>
              <w:rPr>
                <w:rFonts w:eastAsia="Times New Roman"/>
                <w:color w:val="000000"/>
                <w:szCs w:val="24"/>
              </w:rPr>
            </w:pPr>
            <w:r w:rsidRPr="003B5EA2">
              <w:rPr>
                <w:rFonts w:eastAsia="Times New Roman"/>
                <w:color w:val="000000"/>
                <w:szCs w:val="24"/>
              </w:rPr>
              <w:t>Wzrost napięcia stopień 1</w:t>
            </w:r>
            <w:r w:rsidRPr="003B5EA2">
              <w:rPr>
                <w:rFonts w:eastAsia="Times New Roman"/>
                <w:color w:val="000000"/>
                <w:szCs w:val="24"/>
                <w:vertAlign w:val="superscript"/>
              </w:rPr>
              <w:t>1)</w:t>
            </w:r>
          </w:p>
        </w:tc>
        <w:tc>
          <w:tcPr>
            <w:tcW w:w="709" w:type="dxa"/>
            <w:shd w:val="clear" w:color="auto" w:fill="auto"/>
          </w:tcPr>
          <w:p w14:paraId="66D44570"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1,1 U</w:t>
            </w:r>
            <w:r w:rsidRPr="003B5EA2">
              <w:rPr>
                <w:rFonts w:eastAsia="Times New Roman"/>
                <w:color w:val="000000"/>
                <w:vertAlign w:val="subscript"/>
              </w:rPr>
              <w:t>n</w:t>
            </w:r>
          </w:p>
        </w:tc>
        <w:tc>
          <w:tcPr>
            <w:tcW w:w="756" w:type="dxa"/>
            <w:shd w:val="clear" w:color="auto" w:fill="auto"/>
          </w:tcPr>
          <w:p w14:paraId="7878B6E5"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440,0 V</w:t>
            </w:r>
          </w:p>
        </w:tc>
        <w:tc>
          <w:tcPr>
            <w:tcW w:w="1466" w:type="dxa"/>
            <w:shd w:val="clear" w:color="auto" w:fill="auto"/>
          </w:tcPr>
          <w:p w14:paraId="4A0D795C"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3,0 s</w:t>
            </w:r>
          </w:p>
        </w:tc>
        <w:tc>
          <w:tcPr>
            <w:tcW w:w="1466" w:type="dxa"/>
            <w:shd w:val="clear" w:color="auto" w:fill="auto"/>
          </w:tcPr>
          <w:p w14:paraId="01F5962B"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w:t>
            </w:r>
          </w:p>
        </w:tc>
      </w:tr>
      <w:tr w:rsidR="007A4C3D" w:rsidRPr="003B5EA2" w14:paraId="16BC2881" w14:textId="77777777" w:rsidTr="00606D1E">
        <w:tc>
          <w:tcPr>
            <w:tcW w:w="714" w:type="dxa"/>
            <w:vMerge/>
            <w:shd w:val="clear" w:color="auto" w:fill="auto"/>
          </w:tcPr>
          <w:p w14:paraId="0A5BFB8C" w14:textId="77777777" w:rsidR="007A4C3D" w:rsidRPr="003B5EA2" w:rsidRDefault="007A4C3D" w:rsidP="00606D1E">
            <w:pPr>
              <w:spacing w:line="276" w:lineRule="auto"/>
              <w:jc w:val="both"/>
              <w:rPr>
                <w:rFonts w:eastAsia="Times New Roman"/>
                <w:color w:val="000000"/>
                <w:szCs w:val="24"/>
              </w:rPr>
            </w:pPr>
          </w:p>
        </w:tc>
        <w:tc>
          <w:tcPr>
            <w:tcW w:w="3685" w:type="dxa"/>
            <w:gridSpan w:val="2"/>
            <w:shd w:val="clear" w:color="auto" w:fill="auto"/>
          </w:tcPr>
          <w:p w14:paraId="05CDDE3D" w14:textId="77777777" w:rsidR="007A4C3D" w:rsidRPr="003B5EA2" w:rsidRDefault="007A4C3D" w:rsidP="00606D1E">
            <w:pPr>
              <w:spacing w:line="276" w:lineRule="auto"/>
              <w:jc w:val="both"/>
              <w:rPr>
                <w:rFonts w:eastAsia="Times New Roman"/>
                <w:color w:val="000000"/>
                <w:szCs w:val="24"/>
              </w:rPr>
            </w:pPr>
            <w:r w:rsidRPr="003B5EA2">
              <w:rPr>
                <w:rFonts w:eastAsia="Times New Roman"/>
                <w:color w:val="000000"/>
                <w:szCs w:val="24"/>
              </w:rPr>
              <w:t>Wzrost napięcia stopień 2</w:t>
            </w:r>
          </w:p>
        </w:tc>
        <w:tc>
          <w:tcPr>
            <w:tcW w:w="709" w:type="dxa"/>
            <w:shd w:val="clear" w:color="auto" w:fill="auto"/>
          </w:tcPr>
          <w:p w14:paraId="45D37C5D"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1,15 U</w:t>
            </w:r>
            <w:r w:rsidRPr="003B5EA2">
              <w:rPr>
                <w:rFonts w:eastAsia="Times New Roman"/>
                <w:color w:val="000000"/>
                <w:vertAlign w:val="subscript"/>
              </w:rPr>
              <w:t>n</w:t>
            </w:r>
          </w:p>
        </w:tc>
        <w:tc>
          <w:tcPr>
            <w:tcW w:w="756" w:type="dxa"/>
            <w:shd w:val="clear" w:color="auto" w:fill="auto"/>
          </w:tcPr>
          <w:p w14:paraId="5D56CA15"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460,0 V</w:t>
            </w:r>
          </w:p>
        </w:tc>
        <w:tc>
          <w:tcPr>
            <w:tcW w:w="1466" w:type="dxa"/>
            <w:shd w:val="clear" w:color="auto" w:fill="auto"/>
          </w:tcPr>
          <w:p w14:paraId="659380B6"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0,2 s</w:t>
            </w:r>
          </w:p>
        </w:tc>
        <w:tc>
          <w:tcPr>
            <w:tcW w:w="1466" w:type="dxa"/>
            <w:shd w:val="clear" w:color="auto" w:fill="auto"/>
          </w:tcPr>
          <w:p w14:paraId="66BDB456"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0,1 s</w:t>
            </w:r>
          </w:p>
        </w:tc>
      </w:tr>
      <w:tr w:rsidR="007A4C3D" w:rsidRPr="003B5EA2" w14:paraId="62A3E12F" w14:textId="77777777" w:rsidTr="00606D1E">
        <w:tc>
          <w:tcPr>
            <w:tcW w:w="4399" w:type="dxa"/>
            <w:gridSpan w:val="3"/>
            <w:shd w:val="clear" w:color="auto" w:fill="auto"/>
          </w:tcPr>
          <w:p w14:paraId="4B6A877F" w14:textId="77777777" w:rsidR="007A4C3D" w:rsidRPr="003B5EA2" w:rsidRDefault="007A4C3D" w:rsidP="00606D1E">
            <w:pPr>
              <w:spacing w:line="276" w:lineRule="auto"/>
              <w:jc w:val="both"/>
              <w:rPr>
                <w:rFonts w:eastAsia="Times New Roman"/>
                <w:color w:val="000000"/>
                <w:szCs w:val="24"/>
              </w:rPr>
            </w:pPr>
            <w:r w:rsidRPr="003B5EA2">
              <w:rPr>
                <w:rFonts w:eastAsia="Times New Roman"/>
                <w:color w:val="000000"/>
                <w:szCs w:val="24"/>
              </w:rPr>
              <w:t>Obniżenie częstotliwości</w:t>
            </w:r>
          </w:p>
        </w:tc>
        <w:tc>
          <w:tcPr>
            <w:tcW w:w="1465" w:type="dxa"/>
            <w:gridSpan w:val="2"/>
            <w:shd w:val="clear" w:color="auto" w:fill="auto"/>
          </w:tcPr>
          <w:p w14:paraId="50DCFA89"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47,5 Hz</w:t>
            </w:r>
          </w:p>
        </w:tc>
        <w:tc>
          <w:tcPr>
            <w:tcW w:w="1466" w:type="dxa"/>
            <w:shd w:val="clear" w:color="auto" w:fill="auto"/>
          </w:tcPr>
          <w:p w14:paraId="48844D15"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0,5 s</w:t>
            </w:r>
          </w:p>
        </w:tc>
        <w:tc>
          <w:tcPr>
            <w:tcW w:w="1466" w:type="dxa"/>
            <w:shd w:val="clear" w:color="auto" w:fill="auto"/>
          </w:tcPr>
          <w:p w14:paraId="168E0D60"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0,3 s</w:t>
            </w:r>
          </w:p>
        </w:tc>
      </w:tr>
      <w:tr w:rsidR="007A4C3D" w:rsidRPr="003B5EA2" w14:paraId="13873723" w14:textId="77777777" w:rsidTr="00606D1E">
        <w:tc>
          <w:tcPr>
            <w:tcW w:w="4399" w:type="dxa"/>
            <w:gridSpan w:val="3"/>
            <w:shd w:val="clear" w:color="auto" w:fill="auto"/>
          </w:tcPr>
          <w:p w14:paraId="4402A296" w14:textId="77777777" w:rsidR="007A4C3D" w:rsidRPr="003B5EA2" w:rsidRDefault="007A4C3D" w:rsidP="00606D1E">
            <w:pPr>
              <w:spacing w:line="276" w:lineRule="auto"/>
              <w:jc w:val="both"/>
              <w:rPr>
                <w:rFonts w:eastAsia="Times New Roman"/>
                <w:color w:val="000000"/>
                <w:szCs w:val="24"/>
              </w:rPr>
            </w:pPr>
            <w:r w:rsidRPr="003B5EA2">
              <w:rPr>
                <w:rFonts w:eastAsia="Times New Roman"/>
                <w:color w:val="000000"/>
                <w:szCs w:val="24"/>
              </w:rPr>
              <w:t>Podwyższenie częstotliwości</w:t>
            </w:r>
          </w:p>
        </w:tc>
        <w:tc>
          <w:tcPr>
            <w:tcW w:w="1465" w:type="dxa"/>
            <w:gridSpan w:val="2"/>
            <w:shd w:val="clear" w:color="auto" w:fill="auto"/>
          </w:tcPr>
          <w:p w14:paraId="34243E84"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52 Hz</w:t>
            </w:r>
          </w:p>
        </w:tc>
        <w:tc>
          <w:tcPr>
            <w:tcW w:w="1466" w:type="dxa"/>
            <w:shd w:val="clear" w:color="auto" w:fill="auto"/>
          </w:tcPr>
          <w:p w14:paraId="6D7F289D"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0,5 s</w:t>
            </w:r>
          </w:p>
        </w:tc>
        <w:tc>
          <w:tcPr>
            <w:tcW w:w="1466" w:type="dxa"/>
            <w:shd w:val="clear" w:color="auto" w:fill="auto"/>
          </w:tcPr>
          <w:p w14:paraId="424606FF"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0,3 s</w:t>
            </w:r>
          </w:p>
        </w:tc>
      </w:tr>
      <w:tr w:rsidR="007A4C3D" w:rsidRPr="003B5EA2" w14:paraId="063BB307" w14:textId="77777777" w:rsidTr="00606D1E">
        <w:tc>
          <w:tcPr>
            <w:tcW w:w="2556" w:type="dxa"/>
            <w:gridSpan w:val="2"/>
            <w:vMerge w:val="restart"/>
            <w:shd w:val="clear" w:color="auto" w:fill="auto"/>
          </w:tcPr>
          <w:p w14:paraId="455AECAB" w14:textId="77777777" w:rsidR="007A4C3D" w:rsidRPr="003B5EA2" w:rsidRDefault="007A4C3D" w:rsidP="00606D1E">
            <w:pPr>
              <w:spacing w:line="276" w:lineRule="auto"/>
              <w:rPr>
                <w:rFonts w:eastAsia="Times New Roman"/>
                <w:color w:val="000000"/>
                <w:szCs w:val="24"/>
              </w:rPr>
            </w:pPr>
            <w:r w:rsidRPr="003B5EA2">
              <w:rPr>
                <w:rFonts w:eastAsia="Times New Roman"/>
                <w:color w:val="000000"/>
                <w:szCs w:val="24"/>
              </w:rPr>
              <w:t>Zabezpieczenie od pracy wyspowej</w:t>
            </w:r>
          </w:p>
        </w:tc>
        <w:tc>
          <w:tcPr>
            <w:tcW w:w="1843" w:type="dxa"/>
            <w:shd w:val="clear" w:color="auto" w:fill="auto"/>
          </w:tcPr>
          <w:p w14:paraId="4C362361" w14:textId="77777777" w:rsidR="007A4C3D" w:rsidRPr="003B5EA2" w:rsidRDefault="007A4C3D" w:rsidP="00606D1E">
            <w:pPr>
              <w:spacing w:line="276" w:lineRule="auto"/>
              <w:jc w:val="both"/>
              <w:rPr>
                <w:rFonts w:eastAsia="Times New Roman"/>
                <w:color w:val="000000"/>
                <w:szCs w:val="24"/>
              </w:rPr>
            </w:pPr>
            <w:r w:rsidRPr="003B5EA2">
              <w:rPr>
                <w:rFonts w:eastAsia="Times New Roman"/>
                <w:color w:val="000000"/>
                <w:szCs w:val="24"/>
              </w:rPr>
              <w:t>ROCOF</w:t>
            </w:r>
          </w:p>
        </w:tc>
        <w:tc>
          <w:tcPr>
            <w:tcW w:w="1465" w:type="dxa"/>
            <w:gridSpan w:val="2"/>
            <w:shd w:val="clear" w:color="auto" w:fill="auto"/>
          </w:tcPr>
          <w:p w14:paraId="53F8101C"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2,5 Hz/s</w:t>
            </w:r>
          </w:p>
        </w:tc>
        <w:tc>
          <w:tcPr>
            <w:tcW w:w="1466" w:type="dxa"/>
            <w:shd w:val="clear" w:color="auto" w:fill="auto"/>
          </w:tcPr>
          <w:p w14:paraId="6E8EF423"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0,5 s</w:t>
            </w:r>
          </w:p>
        </w:tc>
        <w:tc>
          <w:tcPr>
            <w:tcW w:w="1466" w:type="dxa"/>
            <w:shd w:val="clear" w:color="auto" w:fill="auto"/>
          </w:tcPr>
          <w:p w14:paraId="7D38C71E"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w:t>
            </w:r>
          </w:p>
        </w:tc>
      </w:tr>
      <w:tr w:rsidR="007A4C3D" w:rsidRPr="003B5EA2" w14:paraId="351941E1" w14:textId="77777777" w:rsidTr="00606D1E">
        <w:tc>
          <w:tcPr>
            <w:tcW w:w="2556" w:type="dxa"/>
            <w:gridSpan w:val="2"/>
            <w:vMerge/>
            <w:shd w:val="clear" w:color="auto" w:fill="auto"/>
          </w:tcPr>
          <w:p w14:paraId="3B4FC106" w14:textId="77777777" w:rsidR="007A4C3D" w:rsidRPr="003B5EA2" w:rsidRDefault="007A4C3D" w:rsidP="00606D1E">
            <w:pPr>
              <w:spacing w:line="276" w:lineRule="auto"/>
              <w:jc w:val="both"/>
              <w:rPr>
                <w:rFonts w:eastAsia="Times New Roman"/>
                <w:color w:val="000000"/>
                <w:szCs w:val="24"/>
              </w:rPr>
            </w:pPr>
          </w:p>
        </w:tc>
        <w:tc>
          <w:tcPr>
            <w:tcW w:w="1843" w:type="dxa"/>
            <w:shd w:val="clear" w:color="auto" w:fill="auto"/>
          </w:tcPr>
          <w:p w14:paraId="7DACE6D5" w14:textId="77777777" w:rsidR="007A4C3D" w:rsidRPr="003B5EA2" w:rsidRDefault="007A4C3D" w:rsidP="00606D1E">
            <w:pPr>
              <w:spacing w:line="276" w:lineRule="auto"/>
              <w:jc w:val="both"/>
              <w:rPr>
                <w:rFonts w:eastAsia="Times New Roman"/>
                <w:color w:val="000000"/>
                <w:szCs w:val="24"/>
              </w:rPr>
            </w:pPr>
            <w:r w:rsidRPr="003B5EA2">
              <w:rPr>
                <w:rFonts w:eastAsia="Times New Roman"/>
                <w:color w:val="000000"/>
                <w:szCs w:val="24"/>
              </w:rPr>
              <w:t>aktywne</w:t>
            </w:r>
          </w:p>
        </w:tc>
        <w:tc>
          <w:tcPr>
            <w:tcW w:w="1465" w:type="dxa"/>
            <w:gridSpan w:val="2"/>
            <w:shd w:val="clear" w:color="auto" w:fill="auto"/>
          </w:tcPr>
          <w:p w14:paraId="6D20698B"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w:t>
            </w:r>
          </w:p>
        </w:tc>
        <w:tc>
          <w:tcPr>
            <w:tcW w:w="1466" w:type="dxa"/>
            <w:shd w:val="clear" w:color="auto" w:fill="auto"/>
          </w:tcPr>
          <w:p w14:paraId="0F7DF68E"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5 s</w:t>
            </w:r>
          </w:p>
        </w:tc>
        <w:tc>
          <w:tcPr>
            <w:tcW w:w="1466" w:type="dxa"/>
            <w:shd w:val="clear" w:color="auto" w:fill="auto"/>
          </w:tcPr>
          <w:p w14:paraId="6E685F34" w14:textId="77777777" w:rsidR="007A4C3D" w:rsidRPr="003B5EA2" w:rsidRDefault="007A4C3D" w:rsidP="00606D1E">
            <w:pPr>
              <w:spacing w:line="276" w:lineRule="auto"/>
              <w:jc w:val="center"/>
              <w:rPr>
                <w:rFonts w:eastAsia="Times New Roman"/>
                <w:color w:val="000000"/>
              </w:rPr>
            </w:pPr>
            <w:r w:rsidRPr="003B5EA2">
              <w:rPr>
                <w:rFonts w:eastAsia="Times New Roman"/>
                <w:color w:val="000000"/>
              </w:rPr>
              <w:t>-</w:t>
            </w:r>
          </w:p>
        </w:tc>
      </w:tr>
      <w:tr w:rsidR="007A4C3D" w:rsidRPr="003B5EA2" w14:paraId="3A6D298A" w14:textId="77777777" w:rsidTr="00606D1E">
        <w:tc>
          <w:tcPr>
            <w:tcW w:w="8796" w:type="dxa"/>
            <w:gridSpan w:val="7"/>
            <w:shd w:val="clear" w:color="auto" w:fill="auto"/>
          </w:tcPr>
          <w:p w14:paraId="25013579" w14:textId="77777777" w:rsidR="007A4C3D" w:rsidRPr="003B5EA2" w:rsidRDefault="007A4C3D" w:rsidP="00606D1E">
            <w:pPr>
              <w:spacing w:line="276" w:lineRule="auto"/>
              <w:ind w:left="-1"/>
              <w:jc w:val="both"/>
              <w:rPr>
                <w:rFonts w:eastAsia="Times New Roman"/>
                <w:i/>
                <w:iCs/>
                <w:color w:val="000000"/>
              </w:rPr>
            </w:pPr>
            <w:r w:rsidRPr="003B5EA2">
              <w:rPr>
                <w:rFonts w:eastAsia="Times New Roman"/>
                <w:i/>
                <w:iCs/>
                <w:color w:val="000000"/>
                <w:vertAlign w:val="superscript"/>
              </w:rPr>
              <w:t>1)</w:t>
            </w:r>
            <w:r w:rsidRPr="003B5EA2">
              <w:rPr>
                <w:rFonts w:eastAsia="Times New Roman"/>
                <w:i/>
                <w:iCs/>
                <w:color w:val="000000"/>
              </w:rPr>
              <w:t>10 -minutowa wartość średnia, zgodnie z EN 50160. Szczegółowe wymagania w zakresie pomiaru wartości średniej zawarte są w normie PN-EN 50438:2014-02.</w:t>
            </w:r>
          </w:p>
        </w:tc>
      </w:tr>
    </w:tbl>
    <w:p w14:paraId="08DF7106" w14:textId="77777777" w:rsidR="007A4C3D" w:rsidRPr="003B5EA2" w:rsidRDefault="007A4C3D" w:rsidP="007A4C3D">
      <w:pPr>
        <w:spacing w:line="276" w:lineRule="auto"/>
        <w:ind w:left="851"/>
        <w:jc w:val="both"/>
        <w:rPr>
          <w:rFonts w:eastAsia="Times New Roman"/>
          <w:color w:val="000000"/>
          <w:szCs w:val="24"/>
        </w:rPr>
      </w:pPr>
    </w:p>
    <w:p w14:paraId="7EFF9724" w14:textId="77777777" w:rsidR="007A4C3D" w:rsidRPr="003B5EA2" w:rsidRDefault="007A4C3D" w:rsidP="007B7164">
      <w:pPr>
        <w:ind w:left="851" w:right="2"/>
        <w:jc w:val="both"/>
        <w:rPr>
          <w:rFonts w:eastAsia="Times New Roman"/>
          <w:color w:val="000000"/>
          <w:szCs w:val="24"/>
        </w:rPr>
      </w:pPr>
      <w:r w:rsidRPr="003B5EA2">
        <w:rPr>
          <w:rFonts w:eastAsia="Times New Roman"/>
          <w:color w:val="000000"/>
          <w:szCs w:val="24"/>
        </w:rPr>
        <w:t>Zabezpieczenia LoM wykorzystują uznane techniki wykrywające w sposób pewny zanik zasilania z sieci dystrybucyjnej. Nie dopuszcza się stosowania zabezpieczeń wykorzystujących metody związane z iniekcją pulsów do sieci dystrybucyjnej.</w:t>
      </w:r>
    </w:p>
    <w:p w14:paraId="2E56477A" w14:textId="4915A854" w:rsidR="007A4C3D" w:rsidRPr="003B5EA2" w:rsidRDefault="003B74C5" w:rsidP="007B7164">
      <w:pPr>
        <w:ind w:left="851" w:right="2"/>
        <w:jc w:val="both"/>
        <w:rPr>
          <w:rFonts w:eastAsia="Times New Roman"/>
          <w:color w:val="000000"/>
          <w:szCs w:val="24"/>
        </w:rPr>
      </w:pPr>
      <w:r>
        <w:rPr>
          <w:color w:val="000000"/>
        </w:rPr>
        <w:t xml:space="preserve">Informacje na temat nastaw zabezpieczeń powinny być możliwe do odczytania </w:t>
      </w:r>
      <w:r>
        <w:rPr>
          <w:color w:val="000000"/>
        </w:rPr>
        <w:br/>
        <w:t>z mikroinstalacji w szczególności z wyświetlacza, interfejsu użytkownika lub przez port komunikacyjny oraz określone w technicznej dokumentacji indywidualnej dla danej mikroinstalacji, dołączonej przez producenta lub</w:t>
      </w:r>
      <w:r>
        <w:rPr>
          <w:color w:val="000000"/>
          <w:spacing w:val="-26"/>
        </w:rPr>
        <w:t xml:space="preserve"> </w:t>
      </w:r>
      <w:r>
        <w:rPr>
          <w:color w:val="000000"/>
        </w:rPr>
        <w:t>instalatora.</w:t>
      </w:r>
    </w:p>
    <w:p w14:paraId="3F00CF7D" w14:textId="31E3AE9D" w:rsidR="007A4C3D" w:rsidRDefault="007A4C3D" w:rsidP="007B7164">
      <w:pPr>
        <w:ind w:left="851" w:right="2" w:hanging="851"/>
        <w:jc w:val="both"/>
        <w:rPr>
          <w:rFonts w:eastAsia="Times New Roman"/>
          <w:color w:val="000000"/>
          <w:szCs w:val="24"/>
        </w:rPr>
      </w:pPr>
      <w:r w:rsidRPr="003B5EA2">
        <w:rPr>
          <w:rFonts w:eastAsia="Times New Roman"/>
          <w:color w:val="000000"/>
          <w:szCs w:val="24"/>
        </w:rPr>
        <w:t>9.1.</w:t>
      </w:r>
      <w:r w:rsidR="002E7DD1">
        <w:rPr>
          <w:rFonts w:eastAsia="Times New Roman"/>
          <w:color w:val="000000"/>
          <w:szCs w:val="24"/>
        </w:rPr>
        <w:t>4</w:t>
      </w:r>
      <w:r w:rsidRPr="003B5EA2">
        <w:rPr>
          <w:rFonts w:eastAsia="Times New Roman"/>
          <w:color w:val="000000"/>
          <w:szCs w:val="24"/>
        </w:rPr>
        <w:t>.3. Dopuszcza się możliwość pracy mikroinstalacji na potrzeby własne instalacji odbiorczej przy zaniku napięcia w sieci OSD. Rozwiązanie takie jest możliwe wyłącznie w przypadku zastosowania w instalacji odbiorczej rozłącznika stwarzającego w sposób automatyczny na okres braku napięcia w sieci OSD, przerwę izolacyjną pomiędzy instalacją odbiorczą, a siecią OSD.</w:t>
      </w:r>
    </w:p>
    <w:p w14:paraId="1538D51C" w14:textId="77777777" w:rsidR="007B7164" w:rsidRPr="003B5EA2" w:rsidRDefault="007B7164" w:rsidP="007A4C3D">
      <w:pPr>
        <w:spacing w:line="276" w:lineRule="auto"/>
        <w:ind w:left="851" w:right="569" w:hanging="851"/>
        <w:jc w:val="both"/>
        <w:rPr>
          <w:rFonts w:eastAsia="Times New Roman"/>
          <w:color w:val="000000"/>
          <w:szCs w:val="24"/>
        </w:rPr>
      </w:pPr>
    </w:p>
    <w:p w14:paraId="4054460C" w14:textId="7337FD09" w:rsidR="007A4C3D" w:rsidRPr="003B5EA2" w:rsidRDefault="007A4C3D" w:rsidP="007B7164">
      <w:pPr>
        <w:ind w:left="851" w:right="2" w:hanging="851"/>
        <w:jc w:val="both"/>
        <w:rPr>
          <w:rFonts w:eastAsia="Times New Roman"/>
          <w:color w:val="000000"/>
          <w:szCs w:val="24"/>
          <w:u w:val="single"/>
        </w:rPr>
      </w:pPr>
      <w:r w:rsidRPr="003B5EA2">
        <w:rPr>
          <w:rFonts w:eastAsia="Times New Roman"/>
          <w:color w:val="000000"/>
          <w:szCs w:val="24"/>
          <w:u w:val="single"/>
        </w:rPr>
        <w:t>9.1.</w:t>
      </w:r>
      <w:r w:rsidR="002E7DD1">
        <w:rPr>
          <w:rFonts w:eastAsia="Times New Roman"/>
          <w:color w:val="000000"/>
          <w:szCs w:val="24"/>
          <w:u w:val="single"/>
        </w:rPr>
        <w:t>5</w:t>
      </w:r>
      <w:r w:rsidRPr="003B5EA2">
        <w:rPr>
          <w:rFonts w:eastAsia="Times New Roman"/>
          <w:color w:val="000000"/>
          <w:szCs w:val="24"/>
          <w:u w:val="single"/>
        </w:rPr>
        <w:t xml:space="preserve">.     </w:t>
      </w:r>
      <w:r>
        <w:rPr>
          <w:rFonts w:eastAsia="Times New Roman"/>
          <w:color w:val="000000"/>
          <w:szCs w:val="24"/>
          <w:u w:val="single"/>
        </w:rPr>
        <w:t>Załączanie mikroinstalacji do sieci elektroenergetycznej</w:t>
      </w:r>
    </w:p>
    <w:p w14:paraId="7C102102" w14:textId="77777777" w:rsidR="007A4C3D" w:rsidRPr="003B5EA2" w:rsidRDefault="007A4C3D" w:rsidP="007B7164">
      <w:pPr>
        <w:ind w:left="851" w:right="2"/>
        <w:jc w:val="both"/>
        <w:rPr>
          <w:rFonts w:eastAsia="Times New Roman"/>
          <w:color w:val="000000"/>
          <w:szCs w:val="24"/>
        </w:rPr>
      </w:pPr>
      <w:r>
        <w:rPr>
          <w:rFonts w:eastAsia="Times New Roman"/>
          <w:color w:val="000000"/>
          <w:szCs w:val="24"/>
        </w:rPr>
        <w:t xml:space="preserve">Załączanie mikroinstalacji do sieci jest możliwe tylko wówczas, gdy napięcie </w:t>
      </w:r>
      <w:r w:rsidR="00783F19">
        <w:rPr>
          <w:rFonts w:eastAsia="Times New Roman"/>
          <w:color w:val="000000"/>
          <w:szCs w:val="24"/>
        </w:rPr>
        <w:br/>
      </w:r>
      <w:r>
        <w:rPr>
          <w:rFonts w:eastAsia="Times New Roman"/>
          <w:color w:val="000000"/>
          <w:szCs w:val="24"/>
        </w:rPr>
        <w:t xml:space="preserve">i częstotliwość mieszczą się w dopuszczalnym zakresie napięcia i częstotliwości, </w:t>
      </w:r>
      <w:r w:rsidR="00783F19">
        <w:rPr>
          <w:rFonts w:eastAsia="Times New Roman"/>
          <w:color w:val="000000"/>
          <w:szCs w:val="24"/>
        </w:rPr>
        <w:br/>
      </w:r>
      <w:r>
        <w:rPr>
          <w:rFonts w:eastAsia="Times New Roman"/>
          <w:color w:val="000000"/>
          <w:szCs w:val="24"/>
        </w:rPr>
        <w:t xml:space="preserve">w co najmniej wymaganym okresie obserwacji. Zakres częstotliwości, zakres napięcia, czas obserwacji i gradient mocy powinny być możliwe do ustawienia </w:t>
      </w:r>
      <w:r w:rsidR="00783F19">
        <w:rPr>
          <w:rFonts w:eastAsia="Times New Roman"/>
          <w:color w:val="000000"/>
          <w:szCs w:val="24"/>
        </w:rPr>
        <w:br/>
      </w:r>
      <w:r>
        <w:rPr>
          <w:rFonts w:eastAsia="Times New Roman"/>
          <w:color w:val="000000"/>
          <w:szCs w:val="24"/>
        </w:rPr>
        <w:t xml:space="preserve">w mikroinstalacji. Wymagane jest zapewnienie ochrony przed nieuprawnioną ingerencją w ustawienia tych nastaw – zmiana nastaw nie może być dokonana samodzielnie przez właściciela mikroinstalacji. </w:t>
      </w:r>
      <w:r w:rsidRPr="003B5EA2">
        <w:rPr>
          <w:rFonts w:eastAsia="Times New Roman"/>
          <w:color w:val="000000"/>
          <w:szCs w:val="24"/>
        </w:rPr>
        <w:t xml:space="preserve">  </w:t>
      </w:r>
    </w:p>
    <w:p w14:paraId="11CF4416" w14:textId="1E52E443" w:rsidR="007A4C3D" w:rsidRPr="00EF5CB0" w:rsidRDefault="007A4C3D" w:rsidP="007B7164">
      <w:pPr>
        <w:ind w:left="851" w:right="2" w:hanging="851"/>
        <w:jc w:val="both"/>
        <w:rPr>
          <w:rFonts w:eastAsia="Times New Roman"/>
          <w:color w:val="000000"/>
          <w:szCs w:val="24"/>
        </w:rPr>
      </w:pPr>
      <w:r w:rsidRPr="00EF5CB0">
        <w:rPr>
          <w:rFonts w:eastAsia="Times New Roman"/>
          <w:color w:val="000000"/>
          <w:szCs w:val="24"/>
        </w:rPr>
        <w:t>9.1.</w:t>
      </w:r>
      <w:r w:rsidR="002E7DD1">
        <w:rPr>
          <w:rFonts w:eastAsia="Times New Roman"/>
          <w:color w:val="000000"/>
          <w:szCs w:val="24"/>
        </w:rPr>
        <w:t>5</w:t>
      </w:r>
      <w:r w:rsidRPr="00EF5CB0">
        <w:rPr>
          <w:rFonts w:eastAsia="Times New Roman"/>
          <w:color w:val="000000"/>
          <w:szCs w:val="24"/>
        </w:rPr>
        <w:t>.1. Automatyczne ponowne załączenie po wyłączeniu przez układ zabezpieczeń:</w:t>
      </w:r>
    </w:p>
    <w:p w14:paraId="5773CB4B" w14:textId="77777777" w:rsidR="007A4C3D" w:rsidRDefault="007A4C3D" w:rsidP="007B7164">
      <w:pPr>
        <w:ind w:left="851" w:right="2"/>
        <w:jc w:val="both"/>
        <w:rPr>
          <w:rFonts w:eastAsia="Times New Roman"/>
          <w:color w:val="000000"/>
          <w:szCs w:val="24"/>
        </w:rPr>
      </w:pPr>
      <w:r>
        <w:rPr>
          <w:rFonts w:eastAsia="Times New Roman"/>
          <w:color w:val="000000"/>
          <w:szCs w:val="24"/>
        </w:rPr>
        <w:t>Nastawy dla ponownego załączenia po wyłączeniu przez układ zabezpieczeń są następujące:</w:t>
      </w:r>
    </w:p>
    <w:p w14:paraId="104AEB25" w14:textId="77777777" w:rsidR="007A4C3D" w:rsidRDefault="007A4C3D">
      <w:pPr>
        <w:numPr>
          <w:ilvl w:val="0"/>
          <w:numId w:val="233"/>
        </w:numPr>
        <w:ind w:left="1134" w:right="2" w:hanging="283"/>
        <w:jc w:val="both"/>
        <w:rPr>
          <w:rFonts w:eastAsia="Times New Roman"/>
          <w:color w:val="000000"/>
          <w:szCs w:val="24"/>
        </w:rPr>
      </w:pPr>
      <w:r>
        <w:rPr>
          <w:rFonts w:eastAsia="Times New Roman"/>
          <w:color w:val="000000"/>
          <w:szCs w:val="24"/>
        </w:rPr>
        <w:t>Zakres częstotliwości od 47,5 Hz do 50,05 Hz,</w:t>
      </w:r>
    </w:p>
    <w:p w14:paraId="252B9753" w14:textId="77777777" w:rsidR="007A4C3D" w:rsidRDefault="007A4C3D">
      <w:pPr>
        <w:numPr>
          <w:ilvl w:val="0"/>
          <w:numId w:val="233"/>
        </w:numPr>
        <w:ind w:left="1134" w:right="2" w:hanging="283"/>
        <w:jc w:val="both"/>
        <w:rPr>
          <w:rFonts w:eastAsia="Times New Roman"/>
          <w:color w:val="000000"/>
          <w:szCs w:val="24"/>
        </w:rPr>
      </w:pPr>
      <w:r>
        <w:rPr>
          <w:rFonts w:eastAsia="Times New Roman"/>
          <w:color w:val="000000"/>
          <w:szCs w:val="24"/>
        </w:rPr>
        <w:t>Zakres napięcia od 0,85 U</w:t>
      </w:r>
      <w:r w:rsidRPr="002D1C00">
        <w:rPr>
          <w:rFonts w:eastAsia="Times New Roman"/>
          <w:color w:val="000000"/>
          <w:szCs w:val="24"/>
          <w:vertAlign w:val="subscript"/>
        </w:rPr>
        <w:t>n</w:t>
      </w:r>
      <w:r>
        <w:rPr>
          <w:rFonts w:eastAsia="Times New Roman"/>
          <w:color w:val="000000"/>
          <w:szCs w:val="24"/>
        </w:rPr>
        <w:t xml:space="preserve"> do 1,10 U</w:t>
      </w:r>
      <w:r w:rsidRPr="002D1C00">
        <w:rPr>
          <w:rFonts w:eastAsia="Times New Roman"/>
          <w:color w:val="000000"/>
          <w:szCs w:val="24"/>
          <w:vertAlign w:val="subscript"/>
        </w:rPr>
        <w:t>n</w:t>
      </w:r>
      <w:r>
        <w:rPr>
          <w:rFonts w:eastAsia="Times New Roman"/>
          <w:color w:val="000000"/>
          <w:szCs w:val="24"/>
        </w:rPr>
        <w:t>,</w:t>
      </w:r>
    </w:p>
    <w:p w14:paraId="14591D6D" w14:textId="77777777" w:rsidR="007A4C3D" w:rsidRDefault="007A4C3D">
      <w:pPr>
        <w:numPr>
          <w:ilvl w:val="0"/>
          <w:numId w:val="233"/>
        </w:numPr>
        <w:ind w:left="1134" w:right="2" w:hanging="283"/>
        <w:jc w:val="both"/>
        <w:rPr>
          <w:rFonts w:eastAsia="Times New Roman"/>
          <w:color w:val="000000"/>
          <w:szCs w:val="24"/>
        </w:rPr>
      </w:pPr>
      <w:r>
        <w:rPr>
          <w:rFonts w:eastAsia="Times New Roman"/>
          <w:color w:val="000000"/>
          <w:szCs w:val="24"/>
        </w:rPr>
        <w:t>Minimalny czas obserwacji: 60 s.</w:t>
      </w:r>
    </w:p>
    <w:p w14:paraId="39CAA302" w14:textId="77777777" w:rsidR="007A4C3D" w:rsidRDefault="007A4C3D" w:rsidP="007B7164">
      <w:pPr>
        <w:ind w:left="720" w:right="2"/>
        <w:jc w:val="both"/>
        <w:rPr>
          <w:rFonts w:eastAsia="Times New Roman"/>
          <w:color w:val="000000"/>
          <w:szCs w:val="24"/>
        </w:rPr>
      </w:pPr>
      <w:r>
        <w:rPr>
          <w:rFonts w:eastAsia="Times New Roman"/>
          <w:color w:val="000000"/>
          <w:szCs w:val="24"/>
        </w:rPr>
        <w:t>Po ponownym załączeniu moc czynna generowana przez mikroinstalację nie powinna przekraczać gradientu 10% P</w:t>
      </w:r>
      <w:r w:rsidRPr="00034107">
        <w:rPr>
          <w:rFonts w:eastAsia="Times New Roman"/>
          <w:color w:val="000000"/>
          <w:szCs w:val="24"/>
          <w:vertAlign w:val="subscript"/>
        </w:rPr>
        <w:t>n</w:t>
      </w:r>
      <w:r>
        <w:rPr>
          <w:rFonts w:eastAsia="Times New Roman"/>
          <w:color w:val="000000"/>
          <w:szCs w:val="24"/>
        </w:rPr>
        <w:t>/min.</w:t>
      </w:r>
    </w:p>
    <w:p w14:paraId="2DDC5759" w14:textId="746C3C7A" w:rsidR="007A4C3D" w:rsidRDefault="007A4C3D" w:rsidP="007B7164">
      <w:pPr>
        <w:ind w:left="851" w:right="2" w:hanging="851"/>
        <w:jc w:val="both"/>
        <w:rPr>
          <w:rFonts w:eastAsia="Times New Roman"/>
          <w:color w:val="000000"/>
          <w:szCs w:val="24"/>
        </w:rPr>
      </w:pPr>
      <w:r w:rsidRPr="00EF5CB0">
        <w:rPr>
          <w:rFonts w:eastAsia="Times New Roman"/>
          <w:color w:val="000000"/>
          <w:szCs w:val="24"/>
        </w:rPr>
        <w:t>9.1.</w:t>
      </w:r>
      <w:r w:rsidR="002E7DD1">
        <w:rPr>
          <w:rFonts w:eastAsia="Times New Roman"/>
          <w:color w:val="000000"/>
          <w:szCs w:val="24"/>
        </w:rPr>
        <w:t>5</w:t>
      </w:r>
      <w:r w:rsidRPr="00EF5CB0">
        <w:rPr>
          <w:rFonts w:eastAsia="Times New Roman"/>
          <w:color w:val="000000"/>
          <w:szCs w:val="24"/>
        </w:rPr>
        <w:t>.</w:t>
      </w:r>
      <w:r>
        <w:rPr>
          <w:rFonts w:eastAsia="Times New Roman"/>
          <w:color w:val="000000"/>
          <w:szCs w:val="24"/>
        </w:rPr>
        <w:t>2</w:t>
      </w:r>
      <w:r w:rsidRPr="00EF5CB0">
        <w:rPr>
          <w:rFonts w:eastAsia="Times New Roman"/>
          <w:color w:val="000000"/>
          <w:szCs w:val="24"/>
        </w:rPr>
        <w:t xml:space="preserve">. </w:t>
      </w:r>
      <w:r>
        <w:rPr>
          <w:rFonts w:eastAsia="Times New Roman"/>
          <w:color w:val="000000"/>
          <w:szCs w:val="24"/>
        </w:rPr>
        <w:t>Rozpoczęcie wytwarzania energii elektrycznej w warunkach normalnych:</w:t>
      </w:r>
    </w:p>
    <w:p w14:paraId="790FC014" w14:textId="77777777" w:rsidR="007A4C3D" w:rsidRDefault="007A4C3D" w:rsidP="007B7164">
      <w:pPr>
        <w:ind w:left="851" w:right="2"/>
        <w:jc w:val="both"/>
        <w:rPr>
          <w:rFonts w:eastAsia="Times New Roman"/>
          <w:color w:val="000000"/>
          <w:szCs w:val="24"/>
        </w:rPr>
      </w:pPr>
      <w:r>
        <w:rPr>
          <w:rFonts w:eastAsia="Times New Roman"/>
          <w:color w:val="000000"/>
          <w:szCs w:val="24"/>
        </w:rPr>
        <w:t>Nastawy dla załączenia lub rozpoczęcia wytwarzania energii elektrycznej w wyniku rozruchu lub działania w warunkach normalnych są następujące:</w:t>
      </w:r>
    </w:p>
    <w:p w14:paraId="6C48BBCB" w14:textId="77777777" w:rsidR="007A4C3D" w:rsidRDefault="007A4C3D">
      <w:pPr>
        <w:numPr>
          <w:ilvl w:val="0"/>
          <w:numId w:val="234"/>
        </w:numPr>
        <w:ind w:left="1134" w:right="2" w:hanging="283"/>
        <w:jc w:val="both"/>
        <w:rPr>
          <w:rFonts w:eastAsia="Times New Roman"/>
          <w:color w:val="000000"/>
          <w:szCs w:val="24"/>
        </w:rPr>
      </w:pPr>
      <w:r>
        <w:rPr>
          <w:rFonts w:eastAsia="Times New Roman"/>
          <w:color w:val="000000"/>
          <w:szCs w:val="24"/>
        </w:rPr>
        <w:t>Zakres częstotliwości od 47,5 Hz do 50,1 Hz,</w:t>
      </w:r>
    </w:p>
    <w:p w14:paraId="3D5956C1" w14:textId="77777777" w:rsidR="007A4C3D" w:rsidRDefault="007A4C3D">
      <w:pPr>
        <w:numPr>
          <w:ilvl w:val="0"/>
          <w:numId w:val="234"/>
        </w:numPr>
        <w:ind w:left="1134" w:right="2" w:hanging="283"/>
        <w:jc w:val="both"/>
        <w:rPr>
          <w:rFonts w:eastAsia="Times New Roman"/>
          <w:color w:val="000000"/>
          <w:szCs w:val="24"/>
        </w:rPr>
      </w:pPr>
      <w:r>
        <w:rPr>
          <w:rFonts w:eastAsia="Times New Roman"/>
          <w:color w:val="000000"/>
          <w:szCs w:val="24"/>
        </w:rPr>
        <w:t>Zakres napięcia od 0,85 U</w:t>
      </w:r>
      <w:r w:rsidRPr="002D1C00">
        <w:rPr>
          <w:rFonts w:eastAsia="Times New Roman"/>
          <w:color w:val="000000"/>
          <w:szCs w:val="24"/>
          <w:vertAlign w:val="subscript"/>
        </w:rPr>
        <w:t>n</w:t>
      </w:r>
      <w:r>
        <w:rPr>
          <w:rFonts w:eastAsia="Times New Roman"/>
          <w:color w:val="000000"/>
          <w:szCs w:val="24"/>
        </w:rPr>
        <w:t xml:space="preserve"> do 1,10 U</w:t>
      </w:r>
      <w:r w:rsidRPr="002D1C00">
        <w:rPr>
          <w:rFonts w:eastAsia="Times New Roman"/>
          <w:color w:val="000000"/>
          <w:szCs w:val="24"/>
          <w:vertAlign w:val="subscript"/>
        </w:rPr>
        <w:t>n</w:t>
      </w:r>
      <w:r>
        <w:rPr>
          <w:rFonts w:eastAsia="Times New Roman"/>
          <w:color w:val="000000"/>
          <w:szCs w:val="24"/>
        </w:rPr>
        <w:t>,</w:t>
      </w:r>
    </w:p>
    <w:p w14:paraId="2761F545" w14:textId="77777777" w:rsidR="007A4C3D" w:rsidRDefault="007A4C3D">
      <w:pPr>
        <w:numPr>
          <w:ilvl w:val="0"/>
          <w:numId w:val="234"/>
        </w:numPr>
        <w:ind w:left="1134" w:right="2" w:hanging="283"/>
        <w:jc w:val="both"/>
        <w:rPr>
          <w:rFonts w:eastAsia="Times New Roman"/>
          <w:color w:val="000000"/>
          <w:szCs w:val="24"/>
        </w:rPr>
      </w:pPr>
      <w:r>
        <w:rPr>
          <w:rFonts w:eastAsia="Times New Roman"/>
          <w:color w:val="000000"/>
          <w:szCs w:val="24"/>
        </w:rPr>
        <w:t>Minimalny czas obserwacji: 60 s.</w:t>
      </w:r>
    </w:p>
    <w:p w14:paraId="740B12A8" w14:textId="2DBA7E58" w:rsidR="007A4C3D" w:rsidRDefault="007A4C3D" w:rsidP="007B7164">
      <w:pPr>
        <w:ind w:left="851" w:right="2" w:hanging="851"/>
        <w:jc w:val="both"/>
        <w:rPr>
          <w:rFonts w:eastAsia="Times New Roman"/>
          <w:color w:val="000000"/>
          <w:szCs w:val="24"/>
        </w:rPr>
      </w:pPr>
      <w:r w:rsidRPr="00EF5CB0">
        <w:rPr>
          <w:rFonts w:eastAsia="Times New Roman"/>
          <w:color w:val="000000"/>
          <w:szCs w:val="24"/>
        </w:rPr>
        <w:t>9.1.</w:t>
      </w:r>
      <w:r w:rsidR="002E7DD1">
        <w:rPr>
          <w:rFonts w:eastAsia="Times New Roman"/>
          <w:color w:val="000000"/>
          <w:szCs w:val="24"/>
        </w:rPr>
        <w:t>5</w:t>
      </w:r>
      <w:r w:rsidRPr="00EF5CB0">
        <w:rPr>
          <w:rFonts w:eastAsia="Times New Roman"/>
          <w:color w:val="000000"/>
          <w:szCs w:val="24"/>
        </w:rPr>
        <w:t>.</w:t>
      </w:r>
      <w:r>
        <w:rPr>
          <w:rFonts w:eastAsia="Times New Roman"/>
          <w:color w:val="000000"/>
          <w:szCs w:val="24"/>
        </w:rPr>
        <w:t>3</w:t>
      </w:r>
      <w:r w:rsidRPr="00EF5CB0">
        <w:rPr>
          <w:rFonts w:eastAsia="Times New Roman"/>
          <w:color w:val="000000"/>
          <w:szCs w:val="24"/>
        </w:rPr>
        <w:t xml:space="preserve">. </w:t>
      </w:r>
      <w:r>
        <w:rPr>
          <w:rFonts w:eastAsia="Times New Roman"/>
          <w:color w:val="000000"/>
          <w:szCs w:val="24"/>
        </w:rPr>
        <w:t>Synchronizacja:</w:t>
      </w:r>
    </w:p>
    <w:p w14:paraId="67D7B8E1" w14:textId="77777777" w:rsidR="007A4C3D" w:rsidRDefault="007A4C3D" w:rsidP="007B7164">
      <w:pPr>
        <w:ind w:left="851" w:right="2"/>
        <w:jc w:val="both"/>
        <w:rPr>
          <w:rFonts w:eastAsia="Times New Roman"/>
          <w:color w:val="000000"/>
          <w:szCs w:val="24"/>
        </w:rPr>
      </w:pPr>
      <w:r>
        <w:rPr>
          <w:rFonts w:eastAsia="Times New Roman"/>
          <w:color w:val="000000"/>
          <w:szCs w:val="24"/>
        </w:rPr>
        <w:t>Synchronizacja mikroinstalacji powinna być w pełni automatyczna, co oznacza</w:t>
      </w:r>
      <w:r w:rsidR="00783F19">
        <w:rPr>
          <w:rFonts w:eastAsia="Times New Roman"/>
          <w:color w:val="000000"/>
          <w:szCs w:val="24"/>
        </w:rPr>
        <w:t>,</w:t>
      </w:r>
      <w:r>
        <w:rPr>
          <w:rFonts w:eastAsia="Times New Roman"/>
          <w:color w:val="000000"/>
          <w:szCs w:val="24"/>
        </w:rPr>
        <w:t xml:space="preserve"> że nie jest możliwe ręczne zamknięcie łącznika pomiędzy dwoma synchronizowanymi systemami. </w:t>
      </w:r>
    </w:p>
    <w:p w14:paraId="59DC87B2" w14:textId="77777777" w:rsidR="007A4C3D" w:rsidRPr="003B5EA2" w:rsidRDefault="007A4C3D" w:rsidP="007B7164">
      <w:pPr>
        <w:ind w:left="720" w:right="2"/>
        <w:jc w:val="both"/>
        <w:rPr>
          <w:rFonts w:eastAsia="Times New Roman"/>
          <w:color w:val="000000"/>
          <w:szCs w:val="24"/>
        </w:rPr>
      </w:pPr>
    </w:p>
    <w:p w14:paraId="7C4EB072" w14:textId="67C65CC0" w:rsidR="007A4C3D" w:rsidRPr="003B5EA2" w:rsidRDefault="007A4C3D" w:rsidP="007B7164">
      <w:pPr>
        <w:ind w:left="851" w:right="2" w:hanging="851"/>
        <w:jc w:val="both"/>
        <w:rPr>
          <w:rFonts w:eastAsia="Times New Roman"/>
          <w:color w:val="000000"/>
          <w:szCs w:val="24"/>
          <w:u w:val="single"/>
        </w:rPr>
      </w:pPr>
      <w:r w:rsidRPr="003B5EA2">
        <w:rPr>
          <w:rFonts w:eastAsia="Times New Roman"/>
          <w:color w:val="000000"/>
          <w:szCs w:val="24"/>
          <w:u w:val="single"/>
        </w:rPr>
        <w:t>9.1.</w:t>
      </w:r>
      <w:r w:rsidR="002E7DD1">
        <w:rPr>
          <w:rFonts w:eastAsia="Times New Roman"/>
          <w:color w:val="000000"/>
          <w:szCs w:val="24"/>
          <w:u w:val="single"/>
        </w:rPr>
        <w:t>6</w:t>
      </w:r>
      <w:r w:rsidRPr="003B5EA2">
        <w:rPr>
          <w:rFonts w:eastAsia="Times New Roman"/>
          <w:color w:val="000000"/>
          <w:szCs w:val="24"/>
          <w:u w:val="single"/>
        </w:rPr>
        <w:t>.     Jakość energii</w:t>
      </w:r>
    </w:p>
    <w:p w14:paraId="71D3FE1F" w14:textId="21E5A96A" w:rsidR="007A4C3D" w:rsidRPr="003B5EA2" w:rsidRDefault="007A4C3D" w:rsidP="007B7164">
      <w:pPr>
        <w:ind w:left="851" w:right="2"/>
        <w:jc w:val="both"/>
        <w:rPr>
          <w:rFonts w:eastAsia="Times New Roman"/>
          <w:color w:val="000000"/>
          <w:szCs w:val="24"/>
        </w:rPr>
      </w:pPr>
      <w:r w:rsidRPr="003B5EA2">
        <w:rPr>
          <w:rFonts w:eastAsia="Times New Roman"/>
          <w:color w:val="000000"/>
          <w:szCs w:val="24"/>
        </w:rPr>
        <w:t>Mikroinstalacje muszą spełniać wymagania norm dotyczących jakości energii wprowadzanej do sieci oraz dyrektyw dotyczących kompatybilności elektromagnetycznej</w:t>
      </w:r>
      <w:r w:rsidR="00B029AF">
        <w:rPr>
          <w:rFonts w:eastAsia="Times New Roman"/>
          <w:color w:val="000000"/>
          <w:szCs w:val="24"/>
        </w:rPr>
        <w:t xml:space="preserve"> i Ustawy</w:t>
      </w:r>
      <w:r w:rsidRPr="003B5EA2">
        <w:rPr>
          <w:rFonts w:eastAsia="Times New Roman"/>
          <w:color w:val="000000"/>
          <w:szCs w:val="24"/>
        </w:rPr>
        <w:t xml:space="preserve">.  </w:t>
      </w:r>
    </w:p>
    <w:p w14:paraId="6CC8DD13" w14:textId="77777777" w:rsidR="007A4C3D" w:rsidRPr="003B5EA2" w:rsidRDefault="007A4C3D" w:rsidP="007B7164">
      <w:pPr>
        <w:ind w:left="851" w:right="2"/>
        <w:jc w:val="both"/>
        <w:rPr>
          <w:rFonts w:eastAsia="Times New Roman"/>
          <w:b/>
          <w:bCs/>
          <w:color w:val="000000"/>
          <w:szCs w:val="24"/>
        </w:rPr>
      </w:pPr>
    </w:p>
    <w:p w14:paraId="70D61ECE" w14:textId="77777777" w:rsidR="007A4C3D" w:rsidRPr="003B5EA2" w:rsidRDefault="007A4C3D" w:rsidP="007B7164">
      <w:pPr>
        <w:ind w:right="2"/>
        <w:jc w:val="both"/>
        <w:rPr>
          <w:rFonts w:eastAsia="Times New Roman"/>
          <w:b/>
          <w:bCs/>
          <w:color w:val="000000"/>
          <w:szCs w:val="24"/>
        </w:rPr>
      </w:pPr>
      <w:r w:rsidRPr="003B5EA2">
        <w:rPr>
          <w:rFonts w:eastAsia="Times New Roman"/>
          <w:b/>
          <w:bCs/>
          <w:color w:val="000000"/>
          <w:szCs w:val="24"/>
        </w:rPr>
        <w:t>9.2. Praca i bezpieczeństwo mikroinstalacji</w:t>
      </w:r>
    </w:p>
    <w:p w14:paraId="6168BD3E" w14:textId="77777777" w:rsidR="007A4C3D" w:rsidRPr="003B5EA2" w:rsidRDefault="007A4C3D" w:rsidP="007B7164">
      <w:pPr>
        <w:ind w:left="567" w:right="2" w:hanging="567"/>
        <w:jc w:val="both"/>
        <w:rPr>
          <w:rFonts w:eastAsia="Times New Roman"/>
          <w:color w:val="000000"/>
          <w:szCs w:val="24"/>
        </w:rPr>
      </w:pPr>
      <w:r w:rsidRPr="003B5EA2">
        <w:rPr>
          <w:rFonts w:eastAsia="Times New Roman"/>
          <w:color w:val="000000"/>
          <w:szCs w:val="24"/>
        </w:rPr>
        <w:t>9.2.1. Nastawy zadanych wartości, możliwych do ustawienia w mikroinstalacji, muszą być możliwe do odczytania z mikroinstalacji np. z wyświetlacza, interfejsu użytkownika lub poprzez port komunikacyjny.</w:t>
      </w:r>
    </w:p>
    <w:p w14:paraId="0A30EFD5" w14:textId="77777777" w:rsidR="007A4C3D" w:rsidRPr="003B5EA2" w:rsidRDefault="007A4C3D" w:rsidP="007B7164">
      <w:pPr>
        <w:ind w:left="567" w:right="2"/>
        <w:jc w:val="both"/>
        <w:rPr>
          <w:rFonts w:eastAsia="Times New Roman"/>
          <w:color w:val="000000"/>
          <w:szCs w:val="24"/>
        </w:rPr>
      </w:pPr>
      <w:r w:rsidRPr="003B5EA2">
        <w:rPr>
          <w:rFonts w:eastAsia="Times New Roman"/>
          <w:color w:val="000000"/>
          <w:szCs w:val="24"/>
        </w:rPr>
        <w:t>Tabliczka znamionowa mikroinstalacji ma posiadać co najmniej następujące informacje:</w:t>
      </w:r>
    </w:p>
    <w:p w14:paraId="6D57A328" w14:textId="77777777" w:rsidR="003151A1" w:rsidRPr="003151A1" w:rsidRDefault="003151A1">
      <w:pPr>
        <w:pStyle w:val="Akapitzlist"/>
        <w:numPr>
          <w:ilvl w:val="0"/>
          <w:numId w:val="300"/>
        </w:numPr>
        <w:spacing w:before="91"/>
        <w:jc w:val="both"/>
        <w:rPr>
          <w:rFonts w:cs="Times New Roman"/>
          <w:color w:val="000000"/>
          <w:szCs w:val="24"/>
        </w:rPr>
      </w:pPr>
      <w:r w:rsidRPr="003151A1">
        <w:rPr>
          <w:rFonts w:cs="Times New Roman"/>
          <w:color w:val="000000"/>
          <w:w w:val="105"/>
          <w:szCs w:val="24"/>
        </w:rPr>
        <w:t>nazwę producenta lub znak firmowy,</w:t>
      </w:r>
    </w:p>
    <w:p w14:paraId="561B2CAB" w14:textId="77777777" w:rsidR="003151A1" w:rsidRPr="003151A1" w:rsidRDefault="003151A1">
      <w:pPr>
        <w:pStyle w:val="Akapitzlist"/>
        <w:widowControl w:val="0"/>
        <w:numPr>
          <w:ilvl w:val="0"/>
          <w:numId w:val="300"/>
        </w:numPr>
        <w:autoSpaceDE w:val="0"/>
        <w:autoSpaceDN w:val="0"/>
        <w:spacing w:before="23"/>
        <w:ind w:right="508"/>
        <w:jc w:val="both"/>
        <w:rPr>
          <w:rFonts w:cs="Times New Roman"/>
          <w:color w:val="000000"/>
          <w:szCs w:val="24"/>
        </w:rPr>
      </w:pPr>
      <w:r w:rsidRPr="003151A1">
        <w:rPr>
          <w:rFonts w:cs="Times New Roman"/>
          <w:color w:val="000000"/>
          <w:w w:val="110"/>
          <w:szCs w:val="24"/>
        </w:rPr>
        <w:t>określenie typu, numer identyfikacyjny, oznaczenie serii lub partii i numer</w:t>
      </w:r>
      <w:r w:rsidRPr="003151A1">
        <w:rPr>
          <w:rFonts w:cs="Times New Roman"/>
          <w:color w:val="000000"/>
          <w:spacing w:val="42"/>
          <w:w w:val="110"/>
          <w:szCs w:val="24"/>
        </w:rPr>
        <w:t xml:space="preserve"> </w:t>
      </w:r>
      <w:r w:rsidRPr="003151A1">
        <w:rPr>
          <w:rFonts w:cs="Times New Roman"/>
          <w:color w:val="000000"/>
          <w:w w:val="110"/>
          <w:szCs w:val="24"/>
        </w:rPr>
        <w:t>seryjny,</w:t>
      </w:r>
    </w:p>
    <w:p w14:paraId="6B8D6EC4" w14:textId="77777777" w:rsidR="003151A1" w:rsidRPr="003151A1" w:rsidRDefault="003151A1">
      <w:pPr>
        <w:pStyle w:val="Akapitzlist"/>
        <w:widowControl w:val="0"/>
        <w:numPr>
          <w:ilvl w:val="0"/>
          <w:numId w:val="300"/>
        </w:numPr>
        <w:tabs>
          <w:tab w:val="left" w:pos="993"/>
        </w:tabs>
        <w:autoSpaceDE w:val="0"/>
        <w:autoSpaceDN w:val="0"/>
        <w:spacing w:before="28"/>
        <w:jc w:val="both"/>
        <w:rPr>
          <w:rFonts w:cs="Times New Roman"/>
          <w:color w:val="000000"/>
          <w:szCs w:val="24"/>
        </w:rPr>
      </w:pPr>
      <w:r w:rsidRPr="003151A1">
        <w:rPr>
          <w:rFonts w:cs="Times New Roman"/>
          <w:color w:val="000000"/>
          <w:w w:val="105"/>
          <w:szCs w:val="24"/>
        </w:rPr>
        <w:t>moc</w:t>
      </w:r>
      <w:r w:rsidRPr="003151A1">
        <w:rPr>
          <w:rFonts w:cs="Times New Roman"/>
          <w:color w:val="000000"/>
          <w:spacing w:val="10"/>
          <w:w w:val="105"/>
          <w:szCs w:val="24"/>
        </w:rPr>
        <w:t xml:space="preserve"> </w:t>
      </w:r>
      <w:r w:rsidRPr="003151A1">
        <w:rPr>
          <w:rFonts w:cs="Times New Roman"/>
          <w:color w:val="000000"/>
          <w:w w:val="105"/>
          <w:szCs w:val="24"/>
        </w:rPr>
        <w:t>znamionową,</w:t>
      </w:r>
    </w:p>
    <w:p w14:paraId="2BDF3C75" w14:textId="77777777" w:rsidR="003151A1" w:rsidRPr="003151A1" w:rsidRDefault="003151A1">
      <w:pPr>
        <w:pStyle w:val="Akapitzlist"/>
        <w:widowControl w:val="0"/>
        <w:numPr>
          <w:ilvl w:val="0"/>
          <w:numId w:val="300"/>
        </w:numPr>
        <w:tabs>
          <w:tab w:val="left" w:pos="993"/>
        </w:tabs>
        <w:autoSpaceDE w:val="0"/>
        <w:autoSpaceDN w:val="0"/>
        <w:spacing w:before="23"/>
        <w:jc w:val="both"/>
        <w:rPr>
          <w:rFonts w:cs="Times New Roman"/>
          <w:color w:val="000000"/>
          <w:szCs w:val="24"/>
        </w:rPr>
      </w:pPr>
      <w:r w:rsidRPr="003151A1">
        <w:rPr>
          <w:rFonts w:cs="Times New Roman"/>
          <w:color w:val="000000"/>
          <w:w w:val="110"/>
          <w:szCs w:val="24"/>
        </w:rPr>
        <w:t>napięcie</w:t>
      </w:r>
      <w:r w:rsidRPr="003151A1">
        <w:rPr>
          <w:rFonts w:cs="Times New Roman"/>
          <w:color w:val="000000"/>
          <w:spacing w:val="10"/>
          <w:w w:val="110"/>
          <w:szCs w:val="24"/>
        </w:rPr>
        <w:t xml:space="preserve"> </w:t>
      </w:r>
      <w:r w:rsidRPr="003151A1">
        <w:rPr>
          <w:rFonts w:cs="Times New Roman"/>
          <w:color w:val="000000"/>
          <w:w w:val="110"/>
          <w:szCs w:val="24"/>
        </w:rPr>
        <w:t>znamionowe,</w:t>
      </w:r>
    </w:p>
    <w:p w14:paraId="2E1F13AB" w14:textId="77777777" w:rsidR="003151A1" w:rsidRPr="003151A1" w:rsidRDefault="003151A1">
      <w:pPr>
        <w:pStyle w:val="Akapitzlist"/>
        <w:widowControl w:val="0"/>
        <w:numPr>
          <w:ilvl w:val="0"/>
          <w:numId w:val="300"/>
        </w:numPr>
        <w:autoSpaceDE w:val="0"/>
        <w:autoSpaceDN w:val="0"/>
        <w:spacing w:before="23"/>
        <w:jc w:val="both"/>
        <w:rPr>
          <w:rFonts w:cs="Times New Roman"/>
          <w:color w:val="000000"/>
          <w:szCs w:val="24"/>
        </w:rPr>
      </w:pPr>
      <w:r w:rsidRPr="003151A1">
        <w:rPr>
          <w:rFonts w:cs="Times New Roman"/>
          <w:color w:val="000000"/>
          <w:w w:val="110"/>
          <w:szCs w:val="24"/>
        </w:rPr>
        <w:t>częstotliwość</w:t>
      </w:r>
      <w:r w:rsidRPr="003151A1">
        <w:rPr>
          <w:rFonts w:cs="Times New Roman"/>
          <w:color w:val="000000"/>
          <w:spacing w:val="27"/>
          <w:w w:val="110"/>
          <w:szCs w:val="24"/>
        </w:rPr>
        <w:t xml:space="preserve"> </w:t>
      </w:r>
      <w:r w:rsidRPr="003151A1">
        <w:rPr>
          <w:rFonts w:cs="Times New Roman"/>
          <w:color w:val="000000"/>
          <w:w w:val="110"/>
          <w:szCs w:val="24"/>
        </w:rPr>
        <w:t>znamionowa,</w:t>
      </w:r>
    </w:p>
    <w:p w14:paraId="794265AD" w14:textId="77777777" w:rsidR="003151A1" w:rsidRPr="003151A1" w:rsidRDefault="003151A1">
      <w:pPr>
        <w:pStyle w:val="Akapitzlist"/>
        <w:widowControl w:val="0"/>
        <w:numPr>
          <w:ilvl w:val="0"/>
          <w:numId w:val="300"/>
        </w:numPr>
        <w:tabs>
          <w:tab w:val="left" w:pos="993"/>
        </w:tabs>
        <w:autoSpaceDE w:val="0"/>
        <w:autoSpaceDN w:val="0"/>
        <w:spacing w:before="23"/>
        <w:ind w:right="2"/>
        <w:jc w:val="both"/>
        <w:rPr>
          <w:rFonts w:cs="Times New Roman"/>
          <w:color w:val="000000"/>
          <w:szCs w:val="24"/>
        </w:rPr>
      </w:pPr>
      <w:r w:rsidRPr="003151A1">
        <w:rPr>
          <w:rFonts w:cs="Times New Roman"/>
          <w:color w:val="000000"/>
          <w:w w:val="110"/>
          <w:szCs w:val="24"/>
        </w:rPr>
        <w:t>zakres regulacji współczynnika przesunięcia fazowego podstawowych harmonicznych napięcia i</w:t>
      </w:r>
      <w:r w:rsidRPr="003151A1">
        <w:rPr>
          <w:rFonts w:cs="Times New Roman"/>
          <w:color w:val="000000"/>
          <w:spacing w:val="13"/>
          <w:w w:val="110"/>
          <w:szCs w:val="24"/>
        </w:rPr>
        <w:t xml:space="preserve"> </w:t>
      </w:r>
      <w:r w:rsidRPr="003151A1">
        <w:rPr>
          <w:rFonts w:cs="Times New Roman"/>
          <w:color w:val="000000"/>
          <w:w w:val="110"/>
          <w:szCs w:val="24"/>
        </w:rPr>
        <w:t>prądu,</w:t>
      </w:r>
    </w:p>
    <w:p w14:paraId="480CED61" w14:textId="0343A6E5" w:rsidR="007A4C3D" w:rsidRPr="003151A1" w:rsidRDefault="003151A1">
      <w:pPr>
        <w:pStyle w:val="Akapitzlist"/>
        <w:numPr>
          <w:ilvl w:val="0"/>
          <w:numId w:val="300"/>
        </w:numPr>
        <w:ind w:right="2"/>
        <w:jc w:val="both"/>
        <w:rPr>
          <w:rFonts w:eastAsia="Times New Roman"/>
          <w:color w:val="000000"/>
          <w:szCs w:val="24"/>
        </w:rPr>
      </w:pPr>
      <w:r w:rsidRPr="003151A1">
        <w:rPr>
          <w:rFonts w:cs="Times New Roman"/>
          <w:color w:val="000000"/>
          <w:w w:val="110"/>
          <w:szCs w:val="24"/>
        </w:rPr>
        <w:t>oznakowanie</w:t>
      </w:r>
      <w:r w:rsidRPr="003151A1">
        <w:rPr>
          <w:rFonts w:cs="Times New Roman"/>
          <w:color w:val="000000"/>
          <w:spacing w:val="18"/>
          <w:w w:val="110"/>
          <w:szCs w:val="24"/>
        </w:rPr>
        <w:t xml:space="preserve"> </w:t>
      </w:r>
      <w:r w:rsidRPr="003151A1">
        <w:rPr>
          <w:rFonts w:cs="Times New Roman"/>
          <w:color w:val="000000"/>
          <w:w w:val="110"/>
          <w:szCs w:val="24"/>
        </w:rPr>
        <w:t>CE</w:t>
      </w:r>
      <w:r w:rsidR="007A4C3D" w:rsidRPr="003151A1">
        <w:rPr>
          <w:rFonts w:eastAsia="Times New Roman"/>
          <w:color w:val="000000"/>
          <w:szCs w:val="24"/>
        </w:rPr>
        <w:t>.</w:t>
      </w:r>
    </w:p>
    <w:p w14:paraId="32FB71BD" w14:textId="77777777" w:rsidR="007A4C3D" w:rsidRPr="003B5EA2" w:rsidRDefault="007A4C3D" w:rsidP="007B7164">
      <w:pPr>
        <w:ind w:left="567" w:right="2"/>
        <w:jc w:val="both"/>
        <w:rPr>
          <w:rFonts w:eastAsia="Times New Roman"/>
          <w:color w:val="000000"/>
          <w:szCs w:val="24"/>
        </w:rPr>
      </w:pPr>
      <w:r w:rsidRPr="003B5EA2">
        <w:rPr>
          <w:rFonts w:eastAsia="Times New Roman"/>
          <w:color w:val="000000"/>
          <w:szCs w:val="24"/>
        </w:rPr>
        <w:t>Informacje te muszą być umieszczone również w instrukcji obsługi. Dodatkowo na tabliczce znamionowej powinien być umieszczony numer seryjny.</w:t>
      </w:r>
    </w:p>
    <w:p w14:paraId="73472EC8" w14:textId="77777777" w:rsidR="007A4C3D" w:rsidRPr="003B5EA2" w:rsidRDefault="007A4C3D" w:rsidP="007B7164">
      <w:pPr>
        <w:ind w:left="567" w:right="2"/>
        <w:jc w:val="both"/>
        <w:rPr>
          <w:rFonts w:eastAsia="Times New Roman"/>
          <w:color w:val="000000"/>
          <w:szCs w:val="24"/>
        </w:rPr>
      </w:pPr>
      <w:r w:rsidRPr="003B5EA2">
        <w:rPr>
          <w:rFonts w:eastAsia="Times New Roman"/>
          <w:color w:val="000000"/>
          <w:szCs w:val="24"/>
        </w:rPr>
        <w:t>Wszystkie informacje powinny być podane w języku polskim.</w:t>
      </w:r>
    </w:p>
    <w:p w14:paraId="0CDAA7AB" w14:textId="77777777" w:rsidR="007A4C3D" w:rsidRPr="003B5EA2" w:rsidRDefault="007A4C3D" w:rsidP="007B7164">
      <w:pPr>
        <w:ind w:left="567" w:right="2"/>
        <w:jc w:val="both"/>
        <w:rPr>
          <w:rFonts w:eastAsia="Times New Roman"/>
          <w:color w:val="000000"/>
          <w:szCs w:val="24"/>
        </w:rPr>
      </w:pPr>
      <w:r w:rsidRPr="003B5EA2">
        <w:rPr>
          <w:rFonts w:eastAsia="Times New Roman"/>
          <w:color w:val="000000"/>
          <w:szCs w:val="24"/>
        </w:rPr>
        <w:t>W miejscach z dostępnymi elementami pod napięciem należy stosować etykiety ostrzegawcze.</w:t>
      </w:r>
    </w:p>
    <w:p w14:paraId="3B5F0C16" w14:textId="77777777" w:rsidR="007A4C3D" w:rsidRPr="003B5EA2" w:rsidRDefault="007A4C3D" w:rsidP="007B7164">
      <w:pPr>
        <w:ind w:right="2"/>
        <w:jc w:val="both"/>
        <w:rPr>
          <w:rFonts w:eastAsia="Times New Roman"/>
          <w:color w:val="000000"/>
          <w:szCs w:val="24"/>
        </w:rPr>
      </w:pPr>
      <w:r w:rsidRPr="003B5EA2">
        <w:rPr>
          <w:rFonts w:eastAsia="Times New Roman"/>
          <w:color w:val="000000"/>
          <w:szCs w:val="24"/>
        </w:rPr>
        <w:t>9.2.2. Inne wymagania dotyczące przekazania mikroinstalacji do eksploatacji:</w:t>
      </w:r>
    </w:p>
    <w:p w14:paraId="485F6DFA" w14:textId="77777777" w:rsidR="007A4C3D" w:rsidRPr="003B5EA2" w:rsidRDefault="007A4C3D">
      <w:pPr>
        <w:numPr>
          <w:ilvl w:val="0"/>
          <w:numId w:val="232"/>
        </w:numPr>
        <w:ind w:left="851" w:right="2" w:hanging="295"/>
        <w:jc w:val="both"/>
        <w:rPr>
          <w:rFonts w:eastAsia="Times New Roman"/>
          <w:color w:val="000000"/>
          <w:szCs w:val="24"/>
        </w:rPr>
      </w:pPr>
      <w:r w:rsidRPr="003B5EA2">
        <w:rPr>
          <w:rFonts w:eastAsia="Times New Roman"/>
          <w:color w:val="000000"/>
          <w:szCs w:val="24"/>
        </w:rPr>
        <w:t>Producent musi dostarczyć instrukcję montażu zgodnie z normami i wymaganiami krajowymi,</w:t>
      </w:r>
    </w:p>
    <w:p w14:paraId="100ADC53" w14:textId="77777777" w:rsidR="007A4C3D" w:rsidRPr="003B5EA2" w:rsidRDefault="007A4C3D">
      <w:pPr>
        <w:numPr>
          <w:ilvl w:val="0"/>
          <w:numId w:val="232"/>
        </w:numPr>
        <w:ind w:left="851" w:right="2" w:hanging="295"/>
        <w:jc w:val="both"/>
        <w:rPr>
          <w:rFonts w:eastAsia="Times New Roman"/>
          <w:color w:val="000000"/>
          <w:szCs w:val="24"/>
        </w:rPr>
      </w:pPr>
      <w:r w:rsidRPr="003B5EA2">
        <w:rPr>
          <w:rFonts w:eastAsia="Times New Roman"/>
          <w:color w:val="000000"/>
          <w:szCs w:val="24"/>
        </w:rPr>
        <w:t xml:space="preserve">Urządzenia wchodzące w skład mikroinstalacji muszą podlegać badaniom typu pod względem wymagań odpowiednich norm w zakresie współpracy z siecią, </w:t>
      </w:r>
      <w:r w:rsidRPr="003B5EA2">
        <w:rPr>
          <w:rFonts w:eastAsia="Times New Roman"/>
          <w:color w:val="000000"/>
          <w:szCs w:val="24"/>
        </w:rPr>
        <w:br/>
        <w:t>w przypadku braku stosownych norm wyrobu,</w:t>
      </w:r>
    </w:p>
    <w:p w14:paraId="0BB32117" w14:textId="77777777" w:rsidR="007A4C3D" w:rsidRPr="003B5EA2" w:rsidRDefault="007A4C3D">
      <w:pPr>
        <w:numPr>
          <w:ilvl w:val="0"/>
          <w:numId w:val="232"/>
        </w:numPr>
        <w:ind w:left="851" w:right="2" w:hanging="295"/>
        <w:jc w:val="both"/>
        <w:rPr>
          <w:rFonts w:eastAsia="Times New Roman"/>
          <w:color w:val="000000"/>
          <w:szCs w:val="24"/>
        </w:rPr>
      </w:pPr>
      <w:r w:rsidRPr="003B5EA2">
        <w:rPr>
          <w:rFonts w:eastAsia="Times New Roman"/>
          <w:color w:val="000000"/>
          <w:szCs w:val="24"/>
        </w:rPr>
        <w:t xml:space="preserve">Montaż musi być wykonany przez instalatorów posiadających odpowiednie </w:t>
      </w:r>
      <w:r w:rsidRPr="003B5EA2">
        <w:rPr>
          <w:rFonts w:eastAsia="Times New Roman"/>
          <w:color w:val="000000"/>
          <w:szCs w:val="24"/>
        </w:rPr>
        <w:br/>
        <w:t>i potwierdzone kwalifikacje,</w:t>
      </w:r>
    </w:p>
    <w:p w14:paraId="72092706" w14:textId="77777777" w:rsidR="007A4C3D" w:rsidRPr="003B5EA2" w:rsidRDefault="007A4C3D">
      <w:pPr>
        <w:numPr>
          <w:ilvl w:val="0"/>
          <w:numId w:val="232"/>
        </w:numPr>
        <w:ind w:left="851" w:right="2" w:hanging="295"/>
        <w:jc w:val="both"/>
        <w:rPr>
          <w:rFonts w:eastAsia="Times New Roman"/>
          <w:color w:val="000000"/>
          <w:szCs w:val="24"/>
        </w:rPr>
      </w:pPr>
      <w:r w:rsidRPr="003B5EA2">
        <w:rPr>
          <w:rFonts w:eastAsia="Times New Roman"/>
          <w:color w:val="000000"/>
          <w:szCs w:val="24"/>
        </w:rPr>
        <w:t>Właściciel mikroinstalcji musi dysponować przygotowaniem przez instalatora schematem jednokresowym mikroinstalacji.</w:t>
      </w:r>
    </w:p>
    <w:p w14:paraId="642B0FCE" w14:textId="77777777" w:rsidR="007A4C3D" w:rsidRPr="003B5EA2" w:rsidRDefault="007A4C3D" w:rsidP="007B7164">
      <w:pPr>
        <w:ind w:left="556" w:right="2"/>
        <w:jc w:val="both"/>
        <w:rPr>
          <w:rFonts w:eastAsia="Times New Roman"/>
          <w:color w:val="000000"/>
          <w:szCs w:val="24"/>
        </w:rPr>
      </w:pPr>
    </w:p>
    <w:p w14:paraId="630A5123" w14:textId="77777777" w:rsidR="007A4C3D" w:rsidRPr="003B5EA2" w:rsidRDefault="007A4C3D" w:rsidP="007B7164">
      <w:pPr>
        <w:ind w:right="2"/>
        <w:jc w:val="both"/>
        <w:rPr>
          <w:rFonts w:eastAsia="Times New Roman"/>
          <w:b/>
          <w:bCs/>
          <w:color w:val="000000"/>
          <w:szCs w:val="24"/>
        </w:rPr>
      </w:pPr>
      <w:r w:rsidRPr="003B5EA2">
        <w:rPr>
          <w:rFonts w:eastAsia="Times New Roman"/>
          <w:b/>
          <w:bCs/>
          <w:color w:val="000000"/>
          <w:szCs w:val="24"/>
        </w:rPr>
        <w:t xml:space="preserve">9.3. Zestawienie zbiorcze wymagań i uwagi końcowe </w:t>
      </w:r>
    </w:p>
    <w:p w14:paraId="1DD79CDC" w14:textId="77777777" w:rsidR="007A4C3D" w:rsidRDefault="007A4C3D" w:rsidP="007B7164">
      <w:pPr>
        <w:ind w:left="567" w:right="2"/>
        <w:jc w:val="both"/>
        <w:rPr>
          <w:rFonts w:eastAsia="Times New Roman"/>
          <w:color w:val="000000"/>
          <w:szCs w:val="24"/>
        </w:rPr>
      </w:pPr>
      <w:r w:rsidRPr="003B5EA2">
        <w:rPr>
          <w:rFonts w:eastAsia="Times New Roman"/>
          <w:color w:val="000000"/>
          <w:szCs w:val="24"/>
        </w:rPr>
        <w:t>Zbiorcze zestawienie wymagań dla systemów generacji w zależności od zainstalowanej mocy przedstawiono w Tabeli 2.</w:t>
      </w:r>
    </w:p>
    <w:p w14:paraId="73A96209" w14:textId="77777777" w:rsidR="00A4714D" w:rsidRDefault="00A4714D" w:rsidP="007A4C3D">
      <w:pPr>
        <w:spacing w:line="276" w:lineRule="auto"/>
        <w:ind w:left="567" w:right="569"/>
        <w:jc w:val="both"/>
        <w:rPr>
          <w:rFonts w:eastAsia="Times New Roman"/>
          <w:color w:val="000000"/>
          <w:szCs w:val="24"/>
        </w:rPr>
      </w:pPr>
    </w:p>
    <w:p w14:paraId="4422E35D" w14:textId="77777777" w:rsidR="007A4C3D" w:rsidRPr="003B5EA2" w:rsidRDefault="007A4C3D" w:rsidP="007A4C3D">
      <w:pPr>
        <w:spacing w:line="276" w:lineRule="auto"/>
        <w:ind w:left="567" w:right="569"/>
        <w:jc w:val="both"/>
        <w:rPr>
          <w:rFonts w:eastAsia="Times New Roman"/>
          <w:i/>
          <w:iCs/>
          <w:color w:val="000000"/>
          <w:szCs w:val="24"/>
        </w:rPr>
      </w:pPr>
      <w:r w:rsidRPr="003B5EA2">
        <w:rPr>
          <w:rFonts w:eastAsia="Times New Roman"/>
          <w:i/>
          <w:iCs/>
          <w:color w:val="000000"/>
          <w:szCs w:val="24"/>
        </w:rPr>
        <w:t xml:space="preserve">Tabela nr 2 Zbiorcze zestawienie wymagań dla mikroinstalacji w zależności od mocy zainstalowanej.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4"/>
        <w:gridCol w:w="1556"/>
        <w:gridCol w:w="1443"/>
        <w:gridCol w:w="2236"/>
      </w:tblGrid>
      <w:tr w:rsidR="007A4C3D" w:rsidRPr="003B5EA2" w14:paraId="03E00725" w14:textId="77777777" w:rsidTr="00606D1E">
        <w:tc>
          <w:tcPr>
            <w:tcW w:w="3833" w:type="dxa"/>
            <w:shd w:val="clear" w:color="auto" w:fill="auto"/>
          </w:tcPr>
          <w:p w14:paraId="09793670" w14:textId="77777777" w:rsidR="007A4C3D" w:rsidRPr="003B5EA2" w:rsidRDefault="007A4C3D" w:rsidP="00606D1E">
            <w:pPr>
              <w:spacing w:line="276" w:lineRule="auto"/>
              <w:jc w:val="center"/>
              <w:rPr>
                <w:rFonts w:eastAsia="Times New Roman"/>
                <w:b/>
                <w:bCs/>
                <w:i/>
                <w:iCs/>
                <w:color w:val="000000"/>
                <w:szCs w:val="24"/>
              </w:rPr>
            </w:pPr>
            <w:r w:rsidRPr="003B5EA2">
              <w:rPr>
                <w:rFonts w:eastAsia="Times New Roman"/>
                <w:b/>
                <w:bCs/>
                <w:i/>
                <w:iCs/>
                <w:color w:val="000000"/>
                <w:szCs w:val="24"/>
              </w:rPr>
              <w:t>P</w:t>
            </w:r>
            <w:r w:rsidRPr="003B5EA2">
              <w:rPr>
                <w:rFonts w:eastAsia="Times New Roman"/>
                <w:b/>
                <w:bCs/>
                <w:color w:val="000000"/>
                <w:szCs w:val="24"/>
                <w:vertAlign w:val="subscript"/>
              </w:rPr>
              <w:t xml:space="preserve">n </w:t>
            </w:r>
            <w:r w:rsidRPr="003B5EA2">
              <w:rPr>
                <w:rFonts w:eastAsia="Times New Roman"/>
                <w:b/>
                <w:bCs/>
                <w:color w:val="000000"/>
                <w:szCs w:val="24"/>
              </w:rPr>
              <w:t>[kW]</w:t>
            </w:r>
          </w:p>
        </w:tc>
        <w:tc>
          <w:tcPr>
            <w:tcW w:w="1559" w:type="dxa"/>
            <w:shd w:val="clear" w:color="auto" w:fill="auto"/>
          </w:tcPr>
          <w:p w14:paraId="0A2A1D64" w14:textId="77777777" w:rsidR="007A4C3D" w:rsidRPr="003B5EA2" w:rsidRDefault="007A4C3D" w:rsidP="00606D1E">
            <w:pPr>
              <w:spacing w:line="276" w:lineRule="auto"/>
              <w:jc w:val="center"/>
              <w:rPr>
                <w:rFonts w:eastAsia="Times New Roman"/>
                <w:b/>
                <w:bCs/>
                <w:i/>
                <w:iCs/>
                <w:color w:val="000000"/>
                <w:szCs w:val="24"/>
              </w:rPr>
            </w:pPr>
            <w:r w:rsidRPr="003B5EA2">
              <w:rPr>
                <w:rFonts w:eastAsia="Times New Roman"/>
                <w:b/>
                <w:bCs/>
                <w:i/>
                <w:iCs/>
                <w:color w:val="000000"/>
                <w:szCs w:val="24"/>
              </w:rPr>
              <w:t>P</w:t>
            </w:r>
            <w:r w:rsidRPr="003B5EA2">
              <w:rPr>
                <w:rFonts w:eastAsia="Times New Roman"/>
                <w:b/>
                <w:bCs/>
                <w:color w:val="000000"/>
                <w:szCs w:val="24"/>
                <w:vertAlign w:val="subscript"/>
              </w:rPr>
              <w:t xml:space="preserve">n </w:t>
            </w:r>
            <w:r w:rsidRPr="003B5EA2">
              <w:rPr>
                <w:rFonts w:eastAsia="Times New Roman" w:cs="Times New Roman"/>
                <w:b/>
                <w:bCs/>
                <w:color w:val="000000"/>
                <w:szCs w:val="24"/>
              </w:rPr>
              <w:t>≤ 3,68</w:t>
            </w:r>
          </w:p>
        </w:tc>
        <w:tc>
          <w:tcPr>
            <w:tcW w:w="1447" w:type="dxa"/>
            <w:shd w:val="clear" w:color="auto" w:fill="auto"/>
          </w:tcPr>
          <w:p w14:paraId="0CB6295F" w14:textId="77777777" w:rsidR="007A4C3D" w:rsidRPr="003B5EA2" w:rsidRDefault="007A4C3D" w:rsidP="00606D1E">
            <w:pPr>
              <w:spacing w:line="276" w:lineRule="auto"/>
              <w:jc w:val="center"/>
              <w:rPr>
                <w:rFonts w:eastAsia="Times New Roman"/>
                <w:b/>
                <w:bCs/>
                <w:i/>
                <w:iCs/>
                <w:color w:val="000000"/>
                <w:szCs w:val="24"/>
              </w:rPr>
            </w:pPr>
            <w:r w:rsidRPr="003B5EA2">
              <w:rPr>
                <w:rFonts w:eastAsia="Times New Roman"/>
                <w:b/>
                <w:bCs/>
                <w:i/>
                <w:iCs/>
                <w:color w:val="000000"/>
                <w:szCs w:val="24"/>
              </w:rPr>
              <w:t>3,68 &lt; P</w:t>
            </w:r>
            <w:r w:rsidRPr="003B5EA2">
              <w:rPr>
                <w:rFonts w:eastAsia="Times New Roman"/>
                <w:b/>
                <w:bCs/>
                <w:color w:val="000000"/>
                <w:szCs w:val="24"/>
                <w:vertAlign w:val="subscript"/>
              </w:rPr>
              <w:t xml:space="preserve">n </w:t>
            </w:r>
            <w:r w:rsidRPr="003B5EA2">
              <w:rPr>
                <w:rFonts w:eastAsia="Times New Roman" w:cs="Times New Roman"/>
                <w:b/>
                <w:bCs/>
                <w:color w:val="000000"/>
                <w:szCs w:val="24"/>
              </w:rPr>
              <w:t>≤ 10</w:t>
            </w:r>
          </w:p>
        </w:tc>
        <w:tc>
          <w:tcPr>
            <w:tcW w:w="2241" w:type="dxa"/>
            <w:shd w:val="clear" w:color="auto" w:fill="auto"/>
          </w:tcPr>
          <w:p w14:paraId="435DE326" w14:textId="77777777" w:rsidR="007A4C3D" w:rsidRPr="003B5EA2" w:rsidRDefault="007A4C3D" w:rsidP="00606D1E">
            <w:pPr>
              <w:spacing w:line="276" w:lineRule="auto"/>
              <w:jc w:val="center"/>
              <w:rPr>
                <w:rFonts w:eastAsia="Times New Roman"/>
                <w:b/>
                <w:bCs/>
                <w:i/>
                <w:iCs/>
                <w:color w:val="000000"/>
                <w:szCs w:val="24"/>
              </w:rPr>
            </w:pPr>
            <w:r w:rsidRPr="003B5EA2">
              <w:rPr>
                <w:rFonts w:eastAsia="Times New Roman"/>
                <w:b/>
                <w:bCs/>
                <w:i/>
                <w:iCs/>
                <w:color w:val="000000"/>
                <w:szCs w:val="24"/>
              </w:rPr>
              <w:t>10 &lt; P</w:t>
            </w:r>
            <w:r w:rsidRPr="003B5EA2">
              <w:rPr>
                <w:rFonts w:eastAsia="Times New Roman"/>
                <w:b/>
                <w:bCs/>
                <w:color w:val="000000"/>
                <w:szCs w:val="24"/>
                <w:vertAlign w:val="subscript"/>
              </w:rPr>
              <w:t xml:space="preserve">n </w:t>
            </w:r>
            <w:r w:rsidRPr="003B5EA2">
              <w:rPr>
                <w:rFonts w:eastAsia="Times New Roman" w:cs="Times New Roman"/>
                <w:b/>
                <w:bCs/>
                <w:color w:val="000000"/>
                <w:szCs w:val="24"/>
              </w:rPr>
              <w:t>≤ 50</w:t>
            </w:r>
          </w:p>
        </w:tc>
      </w:tr>
      <w:tr w:rsidR="007A4C3D" w:rsidRPr="003B5EA2" w14:paraId="1ECD4226" w14:textId="77777777" w:rsidTr="00606D1E">
        <w:tc>
          <w:tcPr>
            <w:tcW w:w="3833" w:type="dxa"/>
            <w:shd w:val="clear" w:color="auto" w:fill="auto"/>
          </w:tcPr>
          <w:p w14:paraId="447EBDDB" w14:textId="77777777" w:rsidR="007A4C3D" w:rsidRPr="003B5EA2" w:rsidRDefault="007A4C3D" w:rsidP="00606D1E">
            <w:pPr>
              <w:spacing w:line="276" w:lineRule="auto"/>
              <w:jc w:val="both"/>
              <w:rPr>
                <w:rFonts w:eastAsia="Times New Roman"/>
                <w:color w:val="000000"/>
                <w:sz w:val="18"/>
                <w:szCs w:val="18"/>
              </w:rPr>
            </w:pPr>
            <w:r w:rsidRPr="003B5EA2">
              <w:rPr>
                <w:rFonts w:eastAsia="Times New Roman"/>
                <w:color w:val="000000"/>
                <w:sz w:val="18"/>
                <w:szCs w:val="18"/>
              </w:rPr>
              <w:t>Wymagania w zakresie zdalnego sterowania przez OSDn</w:t>
            </w:r>
          </w:p>
        </w:tc>
        <w:tc>
          <w:tcPr>
            <w:tcW w:w="3006" w:type="dxa"/>
            <w:gridSpan w:val="2"/>
            <w:shd w:val="clear" w:color="auto" w:fill="auto"/>
          </w:tcPr>
          <w:p w14:paraId="4D4642DD" w14:textId="77777777" w:rsidR="007A4C3D" w:rsidRPr="003B5EA2" w:rsidRDefault="007A4C3D" w:rsidP="00606D1E">
            <w:pPr>
              <w:spacing w:line="276" w:lineRule="auto"/>
              <w:jc w:val="center"/>
              <w:rPr>
                <w:rFonts w:eastAsia="Times New Roman"/>
                <w:color w:val="000000"/>
                <w:sz w:val="18"/>
                <w:szCs w:val="18"/>
              </w:rPr>
            </w:pPr>
          </w:p>
          <w:p w14:paraId="1B7FFCFE" w14:textId="77777777" w:rsidR="007A4C3D" w:rsidRPr="003B5EA2" w:rsidRDefault="007A4C3D" w:rsidP="00606D1E">
            <w:pPr>
              <w:spacing w:line="276" w:lineRule="auto"/>
              <w:jc w:val="center"/>
              <w:rPr>
                <w:rFonts w:eastAsia="Times New Roman"/>
                <w:color w:val="000000"/>
                <w:sz w:val="18"/>
                <w:szCs w:val="18"/>
              </w:rPr>
            </w:pPr>
            <w:r w:rsidRPr="003B5EA2">
              <w:rPr>
                <w:rFonts w:eastAsia="Times New Roman"/>
                <w:color w:val="000000"/>
                <w:sz w:val="18"/>
                <w:szCs w:val="18"/>
              </w:rPr>
              <w:t>-</w:t>
            </w:r>
          </w:p>
        </w:tc>
        <w:tc>
          <w:tcPr>
            <w:tcW w:w="2241" w:type="dxa"/>
            <w:shd w:val="clear" w:color="auto" w:fill="auto"/>
          </w:tcPr>
          <w:p w14:paraId="1819548C" w14:textId="77777777" w:rsidR="007A4C3D" w:rsidRPr="003B5EA2" w:rsidRDefault="007A4C3D" w:rsidP="00606D1E">
            <w:pPr>
              <w:spacing w:line="276" w:lineRule="auto"/>
              <w:rPr>
                <w:rFonts w:eastAsia="Times New Roman"/>
                <w:color w:val="000000"/>
                <w:sz w:val="18"/>
                <w:szCs w:val="18"/>
              </w:rPr>
            </w:pPr>
            <w:r w:rsidRPr="003B5EA2">
              <w:rPr>
                <w:rFonts w:eastAsia="Times New Roman"/>
                <w:color w:val="000000"/>
                <w:sz w:val="18"/>
                <w:szCs w:val="18"/>
              </w:rPr>
              <w:t>Możliwość zdalnego sterowania mocą czynną oraz możliwość zdalnego odłączenia mikroinstalacji tj. zaprzestania generacji mocy do sieci dy</w:t>
            </w:r>
            <w:r>
              <w:rPr>
                <w:rFonts w:eastAsia="Times New Roman"/>
                <w:color w:val="000000"/>
                <w:sz w:val="18"/>
                <w:szCs w:val="18"/>
              </w:rPr>
              <w:t>s</w:t>
            </w:r>
            <w:r w:rsidRPr="003B5EA2">
              <w:rPr>
                <w:rFonts w:eastAsia="Times New Roman"/>
                <w:color w:val="000000"/>
                <w:sz w:val="18"/>
                <w:szCs w:val="18"/>
              </w:rPr>
              <w:t>trybucyjnej</w:t>
            </w:r>
          </w:p>
        </w:tc>
      </w:tr>
      <w:tr w:rsidR="007A4C3D" w:rsidRPr="003B5EA2" w14:paraId="7C4A820F" w14:textId="77777777" w:rsidTr="00606D1E">
        <w:tc>
          <w:tcPr>
            <w:tcW w:w="3833" w:type="dxa"/>
            <w:shd w:val="clear" w:color="auto" w:fill="auto"/>
          </w:tcPr>
          <w:p w14:paraId="436F63A0" w14:textId="77777777" w:rsidR="007A4C3D" w:rsidRPr="003B5EA2" w:rsidRDefault="007A4C3D" w:rsidP="00606D1E">
            <w:pPr>
              <w:spacing w:line="276" w:lineRule="auto"/>
              <w:jc w:val="both"/>
              <w:rPr>
                <w:rFonts w:eastAsia="Times New Roman"/>
                <w:color w:val="000000"/>
                <w:sz w:val="18"/>
                <w:szCs w:val="18"/>
              </w:rPr>
            </w:pPr>
            <w:r w:rsidRPr="003B5EA2">
              <w:rPr>
                <w:rFonts w:eastAsia="Times New Roman"/>
                <w:color w:val="000000"/>
                <w:sz w:val="18"/>
                <w:szCs w:val="18"/>
              </w:rPr>
              <w:t xml:space="preserve">Automatyczna redukcja mocy czynnej przy </w:t>
            </w:r>
            <w:r>
              <w:rPr>
                <w:rFonts w:eastAsia="Times New Roman"/>
                <w:color w:val="000000"/>
                <w:sz w:val="18"/>
                <w:szCs w:val="18"/>
              </w:rPr>
              <w:br/>
            </w:r>
            <w:r w:rsidRPr="003B5EA2">
              <w:rPr>
                <w:rFonts w:eastAsia="Times New Roman"/>
                <w:color w:val="000000"/>
                <w:sz w:val="18"/>
                <w:szCs w:val="18"/>
              </w:rPr>
              <w:t>f&gt;50,2 Hz wg zadanej charakterystyki P(f)</w:t>
            </w:r>
          </w:p>
        </w:tc>
        <w:tc>
          <w:tcPr>
            <w:tcW w:w="5247" w:type="dxa"/>
            <w:gridSpan w:val="3"/>
            <w:shd w:val="clear" w:color="auto" w:fill="auto"/>
          </w:tcPr>
          <w:p w14:paraId="234DD754" w14:textId="77777777" w:rsidR="007A4C3D" w:rsidRPr="003B5EA2" w:rsidRDefault="007A4C3D" w:rsidP="00606D1E">
            <w:pPr>
              <w:spacing w:line="276" w:lineRule="auto"/>
              <w:jc w:val="center"/>
              <w:rPr>
                <w:rFonts w:eastAsia="Times New Roman"/>
                <w:color w:val="000000"/>
                <w:sz w:val="18"/>
                <w:szCs w:val="18"/>
              </w:rPr>
            </w:pPr>
            <w:r w:rsidRPr="003B5EA2">
              <w:rPr>
                <w:rFonts w:eastAsia="Times New Roman"/>
                <w:color w:val="000000"/>
                <w:sz w:val="18"/>
                <w:szCs w:val="18"/>
              </w:rPr>
              <w:t>TAK</w:t>
            </w:r>
          </w:p>
        </w:tc>
      </w:tr>
      <w:tr w:rsidR="007A4C3D" w:rsidRPr="003B5EA2" w14:paraId="0790F2FB" w14:textId="77777777" w:rsidTr="00606D1E">
        <w:tc>
          <w:tcPr>
            <w:tcW w:w="3833" w:type="dxa"/>
            <w:shd w:val="clear" w:color="auto" w:fill="auto"/>
          </w:tcPr>
          <w:p w14:paraId="516C83C4" w14:textId="77777777" w:rsidR="007A4C3D" w:rsidRPr="003B5EA2" w:rsidRDefault="007A4C3D" w:rsidP="00606D1E">
            <w:pPr>
              <w:spacing w:line="276" w:lineRule="auto"/>
              <w:jc w:val="both"/>
              <w:rPr>
                <w:rFonts w:eastAsia="Times New Roman"/>
                <w:color w:val="000000"/>
                <w:sz w:val="18"/>
                <w:szCs w:val="18"/>
              </w:rPr>
            </w:pPr>
            <w:r w:rsidRPr="003B5EA2">
              <w:rPr>
                <w:rFonts w:eastAsia="Times New Roman"/>
                <w:color w:val="000000"/>
                <w:sz w:val="18"/>
                <w:szCs w:val="18"/>
              </w:rPr>
              <w:t xml:space="preserve">Regulacja mocy biernej według zadanej charakterystyki Q(U) i cos </w:t>
            </w:r>
            <w:r w:rsidRPr="003B5EA2">
              <w:rPr>
                <w:rFonts w:eastAsia="Times New Roman"/>
                <w:color w:val="000000"/>
                <w:sz w:val="18"/>
                <w:szCs w:val="18"/>
              </w:rPr>
              <w:sym w:font="Symbol" w:char="F06A"/>
            </w:r>
            <w:r w:rsidRPr="003B5EA2">
              <w:rPr>
                <w:rFonts w:eastAsia="Times New Roman"/>
                <w:color w:val="000000"/>
                <w:sz w:val="18"/>
                <w:szCs w:val="18"/>
              </w:rPr>
              <w:t xml:space="preserve"> (P) </w:t>
            </w:r>
          </w:p>
        </w:tc>
        <w:tc>
          <w:tcPr>
            <w:tcW w:w="5247" w:type="dxa"/>
            <w:gridSpan w:val="3"/>
            <w:shd w:val="clear" w:color="auto" w:fill="auto"/>
          </w:tcPr>
          <w:p w14:paraId="4B07DC08" w14:textId="77777777" w:rsidR="007A4C3D" w:rsidRPr="003B5EA2" w:rsidRDefault="007A4C3D" w:rsidP="00606D1E">
            <w:pPr>
              <w:spacing w:line="276" w:lineRule="auto"/>
              <w:jc w:val="center"/>
              <w:rPr>
                <w:rFonts w:eastAsia="Times New Roman"/>
                <w:color w:val="000000"/>
                <w:sz w:val="18"/>
                <w:szCs w:val="18"/>
              </w:rPr>
            </w:pPr>
            <w:r w:rsidRPr="003B5EA2">
              <w:rPr>
                <w:rFonts w:eastAsia="Times New Roman"/>
                <w:color w:val="000000"/>
                <w:sz w:val="18"/>
                <w:szCs w:val="18"/>
              </w:rPr>
              <w:t>TAK</w:t>
            </w:r>
          </w:p>
        </w:tc>
      </w:tr>
      <w:tr w:rsidR="007A4C3D" w:rsidRPr="003B5EA2" w14:paraId="1F5141E8" w14:textId="77777777" w:rsidTr="00606D1E">
        <w:tc>
          <w:tcPr>
            <w:tcW w:w="3833" w:type="dxa"/>
            <w:shd w:val="clear" w:color="auto" w:fill="auto"/>
          </w:tcPr>
          <w:p w14:paraId="5EC63304" w14:textId="77777777" w:rsidR="007A4C3D" w:rsidRPr="003B5EA2" w:rsidRDefault="007A4C3D" w:rsidP="00606D1E">
            <w:pPr>
              <w:spacing w:line="276" w:lineRule="auto"/>
              <w:jc w:val="both"/>
              <w:rPr>
                <w:rFonts w:eastAsia="Times New Roman"/>
                <w:color w:val="000000"/>
                <w:sz w:val="18"/>
                <w:szCs w:val="18"/>
              </w:rPr>
            </w:pPr>
            <w:r w:rsidRPr="003B5EA2">
              <w:rPr>
                <w:rFonts w:eastAsia="Times New Roman"/>
                <w:color w:val="000000"/>
                <w:sz w:val="18"/>
                <w:szCs w:val="18"/>
              </w:rPr>
              <w:t>Układ zabezpieczeń:</w:t>
            </w:r>
          </w:p>
          <w:p w14:paraId="74A00441" w14:textId="77777777" w:rsidR="007A4C3D" w:rsidRPr="003B5EA2" w:rsidRDefault="007A4C3D" w:rsidP="00606D1E">
            <w:pPr>
              <w:spacing w:line="276" w:lineRule="auto"/>
              <w:jc w:val="both"/>
              <w:rPr>
                <w:rFonts w:eastAsia="Times New Roman"/>
                <w:color w:val="000000"/>
                <w:sz w:val="18"/>
                <w:szCs w:val="18"/>
              </w:rPr>
            </w:pPr>
            <w:r w:rsidRPr="003B5EA2">
              <w:rPr>
                <w:rFonts w:eastAsia="Times New Roman"/>
                <w:color w:val="000000"/>
                <w:sz w:val="18"/>
                <w:szCs w:val="18"/>
              </w:rPr>
              <w:t xml:space="preserve">Komplet zabezpieczeń nad- i podnapięciowych, nad- i podczęstotliwościowych oraz od pracy wyspowej </w:t>
            </w:r>
          </w:p>
        </w:tc>
        <w:tc>
          <w:tcPr>
            <w:tcW w:w="5247" w:type="dxa"/>
            <w:gridSpan w:val="3"/>
            <w:shd w:val="clear" w:color="auto" w:fill="auto"/>
          </w:tcPr>
          <w:p w14:paraId="39D02FB8" w14:textId="77777777" w:rsidR="007A4C3D" w:rsidRPr="003B5EA2" w:rsidRDefault="007A4C3D" w:rsidP="00606D1E">
            <w:pPr>
              <w:spacing w:line="276" w:lineRule="auto"/>
              <w:jc w:val="center"/>
              <w:rPr>
                <w:rFonts w:eastAsia="Times New Roman"/>
                <w:color w:val="000000"/>
                <w:sz w:val="18"/>
                <w:szCs w:val="18"/>
              </w:rPr>
            </w:pPr>
          </w:p>
          <w:p w14:paraId="02C3744C" w14:textId="02287182" w:rsidR="007A4C3D" w:rsidRPr="003B5EA2" w:rsidRDefault="004523BD" w:rsidP="00606D1E">
            <w:pPr>
              <w:spacing w:line="276" w:lineRule="auto"/>
              <w:jc w:val="center"/>
              <w:rPr>
                <w:rFonts w:eastAsia="Times New Roman"/>
                <w:color w:val="000000"/>
                <w:sz w:val="18"/>
                <w:szCs w:val="18"/>
              </w:rPr>
            </w:pPr>
            <w:r>
              <w:rPr>
                <w:rFonts w:eastAsia="Times New Roman"/>
                <w:color w:val="000000"/>
                <w:sz w:val="18"/>
                <w:szCs w:val="18"/>
              </w:rPr>
              <w:t>TAK</w:t>
            </w:r>
            <w:r w:rsidR="007A4C3D" w:rsidRPr="003B5EA2">
              <w:rPr>
                <w:rFonts w:eastAsia="Times New Roman"/>
                <w:color w:val="000000"/>
                <w:sz w:val="18"/>
                <w:szCs w:val="18"/>
              </w:rPr>
              <w:t xml:space="preserve"> </w:t>
            </w:r>
          </w:p>
        </w:tc>
      </w:tr>
      <w:tr w:rsidR="007A4C3D" w:rsidRPr="003B5EA2" w14:paraId="72C5C71B" w14:textId="77777777" w:rsidTr="00606D1E">
        <w:tc>
          <w:tcPr>
            <w:tcW w:w="3833" w:type="dxa"/>
            <w:shd w:val="clear" w:color="auto" w:fill="auto"/>
          </w:tcPr>
          <w:p w14:paraId="0B5A20E7" w14:textId="77777777" w:rsidR="007A4C3D" w:rsidRPr="003B5EA2" w:rsidRDefault="007A4C3D" w:rsidP="00606D1E">
            <w:pPr>
              <w:spacing w:line="276" w:lineRule="auto"/>
              <w:jc w:val="both"/>
              <w:rPr>
                <w:rFonts w:eastAsia="Times New Roman"/>
                <w:color w:val="000000"/>
                <w:sz w:val="18"/>
                <w:szCs w:val="18"/>
              </w:rPr>
            </w:pPr>
            <w:r w:rsidRPr="003B5EA2">
              <w:rPr>
                <w:rFonts w:eastAsia="Times New Roman"/>
                <w:color w:val="000000"/>
                <w:sz w:val="18"/>
                <w:szCs w:val="18"/>
              </w:rPr>
              <w:t>Sposób przyłączenia</w:t>
            </w:r>
          </w:p>
        </w:tc>
        <w:tc>
          <w:tcPr>
            <w:tcW w:w="1559" w:type="dxa"/>
            <w:shd w:val="clear" w:color="auto" w:fill="auto"/>
          </w:tcPr>
          <w:p w14:paraId="1BACEA34" w14:textId="77777777" w:rsidR="007A4C3D" w:rsidRPr="003B5EA2" w:rsidRDefault="007A4C3D" w:rsidP="00606D1E">
            <w:pPr>
              <w:spacing w:line="276" w:lineRule="auto"/>
              <w:rPr>
                <w:rFonts w:eastAsia="Times New Roman"/>
                <w:color w:val="000000"/>
                <w:sz w:val="18"/>
                <w:szCs w:val="18"/>
              </w:rPr>
            </w:pPr>
            <w:r w:rsidRPr="003B5EA2">
              <w:rPr>
                <w:rFonts w:eastAsia="Times New Roman"/>
                <w:color w:val="000000"/>
                <w:sz w:val="18"/>
                <w:szCs w:val="18"/>
              </w:rPr>
              <w:t>1-fazowo lub</w:t>
            </w:r>
          </w:p>
          <w:p w14:paraId="53A18DC7" w14:textId="77777777" w:rsidR="007A4C3D" w:rsidRPr="003B5EA2" w:rsidRDefault="007A4C3D" w:rsidP="00606D1E">
            <w:pPr>
              <w:spacing w:line="276" w:lineRule="auto"/>
              <w:ind w:left="360" w:hanging="292"/>
              <w:rPr>
                <w:rFonts w:eastAsia="Times New Roman"/>
                <w:color w:val="000000"/>
                <w:sz w:val="18"/>
                <w:szCs w:val="18"/>
              </w:rPr>
            </w:pPr>
            <w:r w:rsidRPr="003B5EA2">
              <w:rPr>
                <w:rFonts w:eastAsia="Times New Roman"/>
                <w:color w:val="000000"/>
                <w:sz w:val="18"/>
                <w:szCs w:val="18"/>
              </w:rPr>
              <w:t>3 -fazowo</w:t>
            </w:r>
          </w:p>
        </w:tc>
        <w:tc>
          <w:tcPr>
            <w:tcW w:w="3688" w:type="dxa"/>
            <w:gridSpan w:val="2"/>
            <w:shd w:val="clear" w:color="auto" w:fill="auto"/>
          </w:tcPr>
          <w:p w14:paraId="77C8F0AB" w14:textId="77777777" w:rsidR="007A4C3D" w:rsidRPr="003B5EA2" w:rsidRDefault="007A4C3D" w:rsidP="00606D1E">
            <w:pPr>
              <w:spacing w:line="276" w:lineRule="auto"/>
              <w:jc w:val="center"/>
              <w:rPr>
                <w:rFonts w:eastAsia="Times New Roman"/>
                <w:color w:val="000000"/>
                <w:sz w:val="18"/>
                <w:szCs w:val="18"/>
              </w:rPr>
            </w:pPr>
            <w:r w:rsidRPr="003B5EA2">
              <w:rPr>
                <w:rFonts w:eastAsia="Times New Roman"/>
                <w:color w:val="000000"/>
                <w:sz w:val="18"/>
                <w:szCs w:val="18"/>
              </w:rPr>
              <w:t>3 -fazowo</w:t>
            </w:r>
          </w:p>
        </w:tc>
      </w:tr>
    </w:tbl>
    <w:p w14:paraId="287441BC" w14:textId="6E672187" w:rsidR="007A4C3D" w:rsidRDefault="007A4C3D" w:rsidP="007A4C3D">
      <w:pPr>
        <w:spacing w:line="276" w:lineRule="auto"/>
        <w:ind w:left="567"/>
        <w:jc w:val="both"/>
        <w:rPr>
          <w:rFonts w:eastAsia="Times New Roman"/>
          <w:i/>
          <w:iCs/>
          <w:color w:val="000000"/>
          <w:szCs w:val="24"/>
        </w:rPr>
      </w:pPr>
    </w:p>
    <w:p w14:paraId="20B92F3B" w14:textId="77777777" w:rsidR="005D1477" w:rsidRDefault="005D1477" w:rsidP="000E0A76">
      <w:pPr>
        <w:spacing w:before="132"/>
        <w:ind w:left="709" w:right="2" w:hanging="709"/>
        <w:jc w:val="both"/>
        <w:rPr>
          <w:rFonts w:cs="Times New Roman"/>
          <w:b/>
          <w:color w:val="000000"/>
          <w:szCs w:val="24"/>
        </w:rPr>
      </w:pPr>
      <w:r>
        <w:rPr>
          <w:rFonts w:cs="Times New Roman"/>
          <w:b/>
          <w:color w:val="000000"/>
          <w:w w:val="105"/>
          <w:szCs w:val="24"/>
        </w:rPr>
        <w:t>10. WYMAGANIA TECHNICZNE DLA MAGAZYNÓW ENERGII ELEKTRYCZNEJ PRZYŁĄCZANYCH LUB PRZYŁĄCZONYCH DO SIECI DYSTRYBUCYJNEJ OSDn.</w:t>
      </w:r>
    </w:p>
    <w:p w14:paraId="7B55B55C" w14:textId="77777777" w:rsidR="005D1477" w:rsidRDefault="005D1477">
      <w:pPr>
        <w:pStyle w:val="Akapitzlist"/>
        <w:widowControl w:val="0"/>
        <w:numPr>
          <w:ilvl w:val="1"/>
          <w:numId w:val="301"/>
        </w:numPr>
        <w:autoSpaceDE w:val="0"/>
        <w:autoSpaceDN w:val="0"/>
        <w:spacing w:before="157"/>
        <w:ind w:left="0" w:right="2" w:firstLine="0"/>
        <w:jc w:val="both"/>
        <w:rPr>
          <w:rFonts w:cs="Times New Roman"/>
          <w:b/>
          <w:color w:val="000000"/>
          <w:szCs w:val="24"/>
        </w:rPr>
      </w:pPr>
      <w:r>
        <w:rPr>
          <w:rFonts w:cs="Times New Roman"/>
          <w:b/>
          <w:color w:val="000000"/>
          <w:w w:val="105"/>
          <w:szCs w:val="24"/>
        </w:rPr>
        <w:t>Postanowienia</w:t>
      </w:r>
      <w:r>
        <w:rPr>
          <w:rFonts w:cs="Times New Roman"/>
          <w:b/>
          <w:color w:val="000000"/>
          <w:spacing w:val="30"/>
          <w:w w:val="105"/>
          <w:szCs w:val="24"/>
        </w:rPr>
        <w:t xml:space="preserve"> </w:t>
      </w:r>
      <w:r>
        <w:rPr>
          <w:rFonts w:cs="Times New Roman"/>
          <w:b/>
          <w:color w:val="000000"/>
          <w:w w:val="105"/>
          <w:szCs w:val="24"/>
        </w:rPr>
        <w:t>ogólne</w:t>
      </w:r>
    </w:p>
    <w:p w14:paraId="221B7CD7" w14:textId="43044D58" w:rsidR="005D1477" w:rsidRDefault="005D1477" w:rsidP="00156A04">
      <w:pPr>
        <w:spacing w:before="184"/>
        <w:ind w:left="709" w:right="2" w:hanging="5"/>
        <w:jc w:val="both"/>
        <w:rPr>
          <w:rFonts w:cs="Times New Roman"/>
          <w:color w:val="000000"/>
          <w:szCs w:val="24"/>
        </w:rPr>
      </w:pPr>
      <w:r>
        <w:rPr>
          <w:rFonts w:cs="Times New Roman"/>
          <w:color w:val="000000"/>
          <w:w w:val="110"/>
          <w:szCs w:val="24"/>
        </w:rPr>
        <w:t xml:space="preserve">Ze względu na charakter magazynów energii elektrycznej pracujących </w:t>
      </w:r>
      <w:r>
        <w:rPr>
          <w:rFonts w:cs="Times New Roman"/>
          <w:color w:val="000000"/>
          <w:w w:val="110"/>
          <w:szCs w:val="24"/>
        </w:rPr>
        <w:br/>
        <w:t>w trybie wytwarzania, należy traktować je jako jednostki wytwarzające energię elektryczną w module parku energii. Stąd też, dla magazynów energii elektrycznej obowiązują wymagania takie same jak dla odpowiednich typów modułów wytwarzania zgodnie z</w:t>
      </w:r>
      <w:r>
        <w:rPr>
          <w:rFonts w:cs="Times New Roman"/>
          <w:color w:val="000000"/>
          <w:spacing w:val="-12"/>
          <w:w w:val="110"/>
          <w:szCs w:val="24"/>
        </w:rPr>
        <w:t xml:space="preserve"> </w:t>
      </w:r>
      <w:r>
        <w:rPr>
          <w:rFonts w:cs="Times New Roman"/>
          <w:color w:val="000000"/>
          <w:w w:val="110"/>
          <w:szCs w:val="24"/>
        </w:rPr>
        <w:t>zapisami</w:t>
      </w:r>
      <w:r>
        <w:rPr>
          <w:rFonts w:cs="Times New Roman"/>
          <w:color w:val="000000"/>
          <w:spacing w:val="-2"/>
          <w:w w:val="110"/>
          <w:szCs w:val="24"/>
        </w:rPr>
        <w:t xml:space="preserve"> </w:t>
      </w:r>
      <w:r>
        <w:rPr>
          <w:rFonts w:cs="Times New Roman"/>
          <w:color w:val="000000"/>
          <w:w w:val="110"/>
          <w:szCs w:val="24"/>
        </w:rPr>
        <w:t>NC</w:t>
      </w:r>
      <w:r>
        <w:rPr>
          <w:rFonts w:cs="Times New Roman"/>
          <w:color w:val="000000"/>
          <w:spacing w:val="-6"/>
          <w:w w:val="110"/>
          <w:szCs w:val="24"/>
        </w:rPr>
        <w:t xml:space="preserve"> </w:t>
      </w:r>
      <w:r>
        <w:rPr>
          <w:rFonts w:cs="Times New Roman"/>
          <w:color w:val="000000"/>
          <w:w w:val="110"/>
          <w:szCs w:val="24"/>
        </w:rPr>
        <w:t>RfG</w:t>
      </w:r>
      <w:r>
        <w:rPr>
          <w:rFonts w:cs="Times New Roman"/>
          <w:color w:val="000000"/>
          <w:spacing w:val="-9"/>
          <w:w w:val="110"/>
          <w:szCs w:val="24"/>
        </w:rPr>
        <w:t xml:space="preserve"> </w:t>
      </w:r>
      <w:r>
        <w:rPr>
          <w:rFonts w:cs="Times New Roman"/>
          <w:color w:val="000000"/>
          <w:w w:val="110"/>
          <w:szCs w:val="24"/>
        </w:rPr>
        <w:t>oraz</w:t>
      </w:r>
      <w:r>
        <w:rPr>
          <w:rFonts w:cs="Times New Roman"/>
          <w:color w:val="000000"/>
          <w:spacing w:val="-6"/>
          <w:w w:val="110"/>
          <w:szCs w:val="24"/>
        </w:rPr>
        <w:t xml:space="preserve"> </w:t>
      </w:r>
      <w:r>
        <w:rPr>
          <w:rFonts w:cs="Times New Roman"/>
          <w:color w:val="000000"/>
          <w:w w:val="110"/>
          <w:szCs w:val="24"/>
        </w:rPr>
        <w:t>z</w:t>
      </w:r>
      <w:r>
        <w:rPr>
          <w:rFonts w:cs="Times New Roman"/>
          <w:color w:val="000000"/>
          <w:spacing w:val="-7"/>
          <w:w w:val="110"/>
          <w:szCs w:val="24"/>
        </w:rPr>
        <w:t xml:space="preserve"> </w:t>
      </w:r>
      <w:r>
        <w:rPr>
          <w:rFonts w:cs="Times New Roman"/>
          <w:color w:val="000000"/>
          <w:w w:val="110"/>
          <w:szCs w:val="24"/>
        </w:rPr>
        <w:t>zapisami</w:t>
      </w:r>
      <w:r>
        <w:rPr>
          <w:rFonts w:cs="Times New Roman"/>
          <w:color w:val="000000"/>
          <w:spacing w:val="-4"/>
          <w:w w:val="110"/>
          <w:szCs w:val="24"/>
        </w:rPr>
        <w:t xml:space="preserve"> </w:t>
      </w:r>
      <w:r>
        <w:rPr>
          <w:rFonts w:cs="Times New Roman"/>
          <w:color w:val="000000"/>
          <w:w w:val="110"/>
          <w:szCs w:val="24"/>
        </w:rPr>
        <w:t>wymogów</w:t>
      </w:r>
      <w:r>
        <w:rPr>
          <w:rFonts w:cs="Times New Roman"/>
          <w:color w:val="000000"/>
          <w:spacing w:val="-6"/>
          <w:w w:val="110"/>
          <w:szCs w:val="24"/>
        </w:rPr>
        <w:t xml:space="preserve"> </w:t>
      </w:r>
      <w:r>
        <w:rPr>
          <w:rFonts w:cs="Times New Roman"/>
          <w:color w:val="000000"/>
          <w:w w:val="110"/>
          <w:szCs w:val="24"/>
        </w:rPr>
        <w:t>ogólnego</w:t>
      </w:r>
      <w:r>
        <w:rPr>
          <w:rFonts w:cs="Times New Roman"/>
          <w:color w:val="000000"/>
          <w:spacing w:val="1"/>
          <w:w w:val="110"/>
          <w:szCs w:val="24"/>
        </w:rPr>
        <w:t xml:space="preserve"> </w:t>
      </w:r>
      <w:r>
        <w:rPr>
          <w:rFonts w:cs="Times New Roman"/>
          <w:color w:val="000000"/>
          <w:w w:val="110"/>
          <w:szCs w:val="24"/>
        </w:rPr>
        <w:t>stosowania</w:t>
      </w:r>
      <w:r>
        <w:rPr>
          <w:rFonts w:cs="Times New Roman"/>
          <w:color w:val="000000"/>
          <w:spacing w:val="-8"/>
          <w:w w:val="110"/>
          <w:szCs w:val="24"/>
        </w:rPr>
        <w:t xml:space="preserve"> </w:t>
      </w:r>
      <w:r>
        <w:rPr>
          <w:rFonts w:cs="Times New Roman"/>
          <w:color w:val="000000"/>
          <w:w w:val="110"/>
          <w:szCs w:val="24"/>
        </w:rPr>
        <w:t>do</w:t>
      </w:r>
      <w:r>
        <w:rPr>
          <w:rFonts w:cs="Times New Roman"/>
          <w:color w:val="000000"/>
          <w:spacing w:val="-1"/>
          <w:w w:val="110"/>
          <w:szCs w:val="24"/>
        </w:rPr>
        <w:t xml:space="preserve"> </w:t>
      </w:r>
      <w:r>
        <w:rPr>
          <w:rFonts w:cs="Times New Roman"/>
          <w:color w:val="000000"/>
          <w:w w:val="110"/>
          <w:szCs w:val="24"/>
        </w:rPr>
        <w:t>NC</w:t>
      </w:r>
      <w:r>
        <w:rPr>
          <w:rFonts w:cs="Times New Roman"/>
          <w:color w:val="000000"/>
          <w:spacing w:val="-4"/>
          <w:w w:val="110"/>
          <w:szCs w:val="24"/>
        </w:rPr>
        <w:t xml:space="preserve"> </w:t>
      </w:r>
      <w:r>
        <w:rPr>
          <w:rFonts w:cs="Times New Roman"/>
          <w:color w:val="000000"/>
          <w:w w:val="110"/>
          <w:szCs w:val="24"/>
        </w:rPr>
        <w:t>RfG,</w:t>
      </w:r>
      <w:r>
        <w:rPr>
          <w:rFonts w:cs="Times New Roman"/>
          <w:color w:val="000000"/>
          <w:spacing w:val="-15"/>
          <w:w w:val="110"/>
          <w:szCs w:val="24"/>
        </w:rPr>
        <w:t xml:space="preserve"> </w:t>
      </w:r>
      <w:r>
        <w:rPr>
          <w:rFonts w:cs="Times New Roman"/>
          <w:color w:val="000000"/>
          <w:w w:val="110"/>
          <w:szCs w:val="24"/>
        </w:rPr>
        <w:t>włącznie z poniższymi, szczegółowymi zapisami w zakresie aktywnej odpowiedzi na odchylenia częstotliwości (tryby: LFSM-O,</w:t>
      </w:r>
      <w:r>
        <w:rPr>
          <w:rFonts w:cs="Times New Roman"/>
          <w:color w:val="000000"/>
          <w:spacing w:val="27"/>
          <w:w w:val="110"/>
          <w:szCs w:val="24"/>
        </w:rPr>
        <w:t xml:space="preserve"> </w:t>
      </w:r>
      <w:r>
        <w:rPr>
          <w:rFonts w:cs="Times New Roman"/>
          <w:color w:val="000000"/>
          <w:w w:val="110"/>
          <w:szCs w:val="24"/>
        </w:rPr>
        <w:t>LFSM-U).</w:t>
      </w:r>
    </w:p>
    <w:p w14:paraId="139105AC" w14:textId="77777777" w:rsidR="005D1477" w:rsidRDefault="005D1477">
      <w:pPr>
        <w:pStyle w:val="Akapitzlist"/>
        <w:widowControl w:val="0"/>
        <w:numPr>
          <w:ilvl w:val="1"/>
          <w:numId w:val="301"/>
        </w:numPr>
        <w:autoSpaceDE w:val="0"/>
        <w:autoSpaceDN w:val="0"/>
        <w:spacing w:before="159"/>
        <w:ind w:left="567" w:right="2" w:hanging="567"/>
        <w:jc w:val="both"/>
        <w:rPr>
          <w:rFonts w:cs="Times New Roman"/>
          <w:b/>
          <w:color w:val="000000"/>
          <w:szCs w:val="24"/>
        </w:rPr>
      </w:pPr>
      <w:r>
        <w:rPr>
          <w:rFonts w:cs="Times New Roman"/>
          <w:b/>
          <w:color w:val="000000"/>
          <w:w w:val="105"/>
          <w:szCs w:val="24"/>
        </w:rPr>
        <w:t>Aktywna odpowiedź na odchylenia</w:t>
      </w:r>
      <w:r>
        <w:rPr>
          <w:rFonts w:cs="Times New Roman"/>
          <w:b/>
          <w:color w:val="000000"/>
          <w:spacing w:val="-1"/>
          <w:w w:val="105"/>
          <w:szCs w:val="24"/>
        </w:rPr>
        <w:t xml:space="preserve"> </w:t>
      </w:r>
      <w:r>
        <w:rPr>
          <w:rFonts w:cs="Times New Roman"/>
          <w:b/>
          <w:color w:val="000000"/>
          <w:w w:val="105"/>
          <w:szCs w:val="24"/>
        </w:rPr>
        <w:t>częstotliwości</w:t>
      </w:r>
    </w:p>
    <w:p w14:paraId="5650B54E" w14:textId="5C8A3C67" w:rsidR="005D1477" w:rsidRPr="009D7F0B" w:rsidRDefault="005D1477">
      <w:pPr>
        <w:pStyle w:val="Akapitzlist"/>
        <w:widowControl w:val="0"/>
        <w:numPr>
          <w:ilvl w:val="2"/>
          <w:numId w:val="301"/>
        </w:numPr>
        <w:autoSpaceDE w:val="0"/>
        <w:autoSpaceDN w:val="0"/>
        <w:spacing w:before="196"/>
        <w:ind w:left="1276" w:right="2" w:hanging="850"/>
        <w:jc w:val="both"/>
        <w:rPr>
          <w:rFonts w:cs="Times New Roman"/>
          <w:color w:val="000000"/>
          <w:szCs w:val="24"/>
        </w:rPr>
      </w:pPr>
      <w:r w:rsidRPr="009D7F0B">
        <w:rPr>
          <w:rFonts w:cs="Times New Roman"/>
          <w:color w:val="000000"/>
          <w:w w:val="110"/>
          <w:szCs w:val="24"/>
        </w:rPr>
        <w:t>Odpowiedź mocą na podwyższoną częstotliwość (tryb</w:t>
      </w:r>
      <w:r w:rsidRPr="009D7F0B">
        <w:rPr>
          <w:rFonts w:cs="Times New Roman"/>
          <w:color w:val="000000"/>
          <w:spacing w:val="41"/>
          <w:w w:val="110"/>
          <w:szCs w:val="24"/>
        </w:rPr>
        <w:t xml:space="preserve"> </w:t>
      </w:r>
      <w:r w:rsidRPr="009D7F0B">
        <w:rPr>
          <w:rFonts w:cs="Times New Roman"/>
          <w:color w:val="000000"/>
          <w:w w:val="110"/>
          <w:szCs w:val="24"/>
        </w:rPr>
        <w:t>LFSM-O)</w:t>
      </w:r>
      <w:r w:rsidR="009D7F0B" w:rsidRPr="009D7F0B">
        <w:rPr>
          <w:rFonts w:cs="Times New Roman"/>
          <w:color w:val="000000"/>
          <w:w w:val="110"/>
          <w:szCs w:val="24"/>
        </w:rPr>
        <w:t xml:space="preserve"> </w:t>
      </w:r>
      <w:r w:rsidRPr="009D7F0B">
        <w:rPr>
          <w:rFonts w:cs="Times New Roman"/>
          <w:color w:val="000000"/>
          <w:w w:val="110"/>
          <w:szCs w:val="24"/>
        </w:rPr>
        <w:t>Magazyny energii elektrycznej, które są w trybie rozładowania, powinny być zdolne do aktywacji odpowiedzi mocą czynną na podwyższoną częstotliwość, analogicznie jak moduły wytwarzania A, B, Ci</w:t>
      </w:r>
      <w:r w:rsidRPr="009D7F0B">
        <w:rPr>
          <w:rFonts w:cs="Times New Roman"/>
          <w:color w:val="000000"/>
          <w:spacing w:val="44"/>
          <w:w w:val="110"/>
          <w:szCs w:val="24"/>
        </w:rPr>
        <w:t xml:space="preserve"> </w:t>
      </w:r>
      <w:r w:rsidRPr="009D7F0B">
        <w:rPr>
          <w:rFonts w:cs="Times New Roman"/>
          <w:color w:val="000000"/>
          <w:w w:val="110"/>
          <w:szCs w:val="24"/>
        </w:rPr>
        <w:t>D.</w:t>
      </w:r>
    </w:p>
    <w:p w14:paraId="71485FA1" w14:textId="77777777" w:rsidR="005D1477" w:rsidRDefault="005D1477" w:rsidP="009D7F0B">
      <w:pPr>
        <w:spacing w:before="162"/>
        <w:ind w:left="1276" w:right="2"/>
        <w:jc w:val="both"/>
        <w:rPr>
          <w:rFonts w:cs="Times New Roman"/>
          <w:color w:val="000000"/>
          <w:szCs w:val="24"/>
        </w:rPr>
      </w:pPr>
      <w:r>
        <w:rPr>
          <w:rFonts w:cs="Times New Roman"/>
          <w:color w:val="000000"/>
          <w:w w:val="110"/>
          <w:szCs w:val="24"/>
        </w:rPr>
        <w:t xml:space="preserve">Magazyny energii elektrycznej, które są w trybie ładowania, </w:t>
      </w:r>
      <w:r>
        <w:rPr>
          <w:rFonts w:cs="Times New Roman"/>
          <w:color w:val="000000"/>
          <w:w w:val="110"/>
          <w:szCs w:val="24"/>
        </w:rPr>
        <w:br/>
        <w:t>w momencie, gdy częstotliwość przekroczy próg częstotliwości dla trybu LFSM-O (50,2 Hz - 50,5 Hz, wartość domyślna 50,2 Hz) nie powinny zmniejszać mocy ładowania poniżej chwilowej mocy czynnej, dopóki częstotliwość nie powróci poniżej progu częstotliwości. Zaleca się, aby magazyny energii elektrycznej zwiększały moc ładowania zgodnie ze</w:t>
      </w:r>
      <w:r>
        <w:rPr>
          <w:rFonts w:cs="Times New Roman"/>
          <w:color w:val="000000"/>
          <w:spacing w:val="-15"/>
          <w:w w:val="110"/>
          <w:szCs w:val="24"/>
        </w:rPr>
        <w:t xml:space="preserve"> </w:t>
      </w:r>
      <w:r>
        <w:rPr>
          <w:rFonts w:cs="Times New Roman"/>
          <w:color w:val="000000"/>
          <w:w w:val="110"/>
          <w:szCs w:val="24"/>
        </w:rPr>
        <w:t>skonfigurowanym</w:t>
      </w:r>
      <w:r>
        <w:rPr>
          <w:rFonts w:cs="Times New Roman"/>
          <w:color w:val="000000"/>
          <w:spacing w:val="-6"/>
          <w:w w:val="110"/>
          <w:szCs w:val="24"/>
        </w:rPr>
        <w:t xml:space="preserve"> </w:t>
      </w:r>
      <w:r>
        <w:rPr>
          <w:rFonts w:cs="Times New Roman"/>
          <w:color w:val="000000"/>
          <w:w w:val="110"/>
          <w:szCs w:val="24"/>
        </w:rPr>
        <w:t>statyzmem</w:t>
      </w:r>
      <w:r>
        <w:rPr>
          <w:rFonts w:cs="Times New Roman"/>
          <w:color w:val="000000"/>
          <w:spacing w:val="-4"/>
          <w:w w:val="110"/>
          <w:szCs w:val="24"/>
        </w:rPr>
        <w:t xml:space="preserve"> </w:t>
      </w:r>
      <w:r>
        <w:rPr>
          <w:rFonts w:cs="Times New Roman"/>
          <w:color w:val="000000"/>
          <w:w w:val="110"/>
          <w:szCs w:val="24"/>
        </w:rPr>
        <w:t>(w</w:t>
      </w:r>
      <w:r>
        <w:rPr>
          <w:rFonts w:cs="Times New Roman"/>
          <w:color w:val="000000"/>
          <w:spacing w:val="-14"/>
          <w:w w:val="110"/>
          <w:szCs w:val="24"/>
        </w:rPr>
        <w:t xml:space="preserve"> </w:t>
      </w:r>
      <w:r>
        <w:rPr>
          <w:rFonts w:cs="Times New Roman"/>
          <w:color w:val="000000"/>
          <w:w w:val="110"/>
          <w:szCs w:val="24"/>
        </w:rPr>
        <w:t>zakresie</w:t>
      </w:r>
      <w:r>
        <w:rPr>
          <w:rFonts w:cs="Times New Roman"/>
          <w:color w:val="000000"/>
          <w:spacing w:val="-5"/>
          <w:w w:val="110"/>
          <w:szCs w:val="24"/>
        </w:rPr>
        <w:t xml:space="preserve"> </w:t>
      </w:r>
      <w:r>
        <w:rPr>
          <w:rFonts w:cs="Times New Roman"/>
          <w:color w:val="000000"/>
          <w:w w:val="110"/>
          <w:szCs w:val="24"/>
        </w:rPr>
        <w:t>2</w:t>
      </w:r>
      <w:r>
        <w:rPr>
          <w:rFonts w:cs="Times New Roman"/>
          <w:color w:val="000000"/>
          <w:spacing w:val="-20"/>
          <w:w w:val="110"/>
          <w:szCs w:val="24"/>
        </w:rPr>
        <w:t xml:space="preserve"> </w:t>
      </w:r>
      <w:r>
        <w:rPr>
          <w:rFonts w:cs="Times New Roman"/>
          <w:color w:val="000000"/>
          <w:w w:val="110"/>
          <w:szCs w:val="24"/>
        </w:rPr>
        <w:t>do</w:t>
      </w:r>
      <w:r>
        <w:rPr>
          <w:rFonts w:cs="Times New Roman"/>
          <w:color w:val="000000"/>
          <w:spacing w:val="-10"/>
          <w:w w:val="110"/>
          <w:szCs w:val="24"/>
        </w:rPr>
        <w:t xml:space="preserve"> </w:t>
      </w:r>
      <w:r>
        <w:rPr>
          <w:rFonts w:cs="Times New Roman"/>
          <w:color w:val="000000"/>
          <w:w w:val="110"/>
          <w:szCs w:val="24"/>
        </w:rPr>
        <w:t>12%,</w:t>
      </w:r>
      <w:r>
        <w:rPr>
          <w:rFonts w:cs="Times New Roman"/>
          <w:color w:val="000000"/>
          <w:spacing w:val="-13"/>
          <w:w w:val="110"/>
          <w:szCs w:val="24"/>
        </w:rPr>
        <w:t xml:space="preserve"> </w:t>
      </w:r>
      <w:r>
        <w:rPr>
          <w:rFonts w:cs="Times New Roman"/>
          <w:color w:val="000000"/>
          <w:w w:val="110"/>
          <w:szCs w:val="24"/>
        </w:rPr>
        <w:t>wartość</w:t>
      </w:r>
      <w:r>
        <w:rPr>
          <w:rFonts w:cs="Times New Roman"/>
          <w:color w:val="000000"/>
          <w:spacing w:val="-8"/>
          <w:w w:val="110"/>
          <w:szCs w:val="24"/>
        </w:rPr>
        <w:t xml:space="preserve"> </w:t>
      </w:r>
      <w:r>
        <w:rPr>
          <w:rFonts w:cs="Times New Roman"/>
          <w:color w:val="000000"/>
          <w:w w:val="110"/>
          <w:szCs w:val="24"/>
        </w:rPr>
        <w:t xml:space="preserve">domyślna </w:t>
      </w:r>
      <w:r>
        <w:rPr>
          <w:rFonts w:cs="Times New Roman"/>
          <w:color w:val="000000"/>
          <w:spacing w:val="2"/>
          <w:w w:val="110"/>
          <w:szCs w:val="24"/>
        </w:rPr>
        <w:t>5%).</w:t>
      </w:r>
      <w:r>
        <w:rPr>
          <w:rFonts w:cs="Times New Roman"/>
          <w:color w:val="000000"/>
          <w:spacing w:val="-13"/>
          <w:w w:val="110"/>
          <w:szCs w:val="24"/>
        </w:rPr>
        <w:t xml:space="preserve"> </w:t>
      </w:r>
      <w:r>
        <w:rPr>
          <w:rFonts w:cs="Times New Roman"/>
          <w:color w:val="000000"/>
          <w:w w:val="110"/>
          <w:szCs w:val="24"/>
        </w:rPr>
        <w:t>Dopuszcza się zmniejszenie mocy ładowania w przypadku osiągnięcia maksymalnej pojemności ładowania oraz w celu uniknięcia wystąpienia wzrostu ryzyk uszkodzenia sprzętu lub zagrożeń</w:t>
      </w:r>
      <w:r>
        <w:rPr>
          <w:rFonts w:cs="Times New Roman"/>
          <w:color w:val="000000"/>
          <w:spacing w:val="12"/>
          <w:w w:val="110"/>
          <w:szCs w:val="24"/>
        </w:rPr>
        <w:t xml:space="preserve"> </w:t>
      </w:r>
      <w:r>
        <w:rPr>
          <w:rFonts w:cs="Times New Roman"/>
          <w:color w:val="000000"/>
          <w:w w:val="110"/>
          <w:szCs w:val="24"/>
        </w:rPr>
        <w:t>otoczenia.</w:t>
      </w:r>
    </w:p>
    <w:p w14:paraId="00898BB8" w14:textId="77777777" w:rsidR="005D1477" w:rsidRDefault="005D1477" w:rsidP="009D7F0B">
      <w:pPr>
        <w:spacing w:before="160"/>
        <w:ind w:left="1276" w:right="2"/>
        <w:jc w:val="both"/>
        <w:rPr>
          <w:rFonts w:cs="Times New Roman"/>
          <w:color w:val="000000"/>
          <w:szCs w:val="24"/>
        </w:rPr>
      </w:pPr>
      <w:r>
        <w:rPr>
          <w:rFonts w:cs="Times New Roman"/>
          <w:color w:val="000000"/>
          <w:w w:val="110"/>
          <w:szCs w:val="24"/>
        </w:rPr>
        <w:t xml:space="preserve">Magazyny energii elektrycznej, które są w trybie rozładowania, </w:t>
      </w:r>
      <w:r>
        <w:rPr>
          <w:rFonts w:cs="Times New Roman"/>
          <w:color w:val="000000"/>
          <w:w w:val="110"/>
          <w:szCs w:val="24"/>
        </w:rPr>
        <w:br/>
        <w:t>w odpowiedzi na przekroczenie progu częstotliwości, powinny zmniejszać moc rozładowania zgodnie ze skonfigurowanym</w:t>
      </w:r>
      <w:r>
        <w:rPr>
          <w:rFonts w:cs="Times New Roman"/>
          <w:color w:val="000000"/>
          <w:spacing w:val="7"/>
          <w:w w:val="110"/>
          <w:szCs w:val="24"/>
        </w:rPr>
        <w:t xml:space="preserve"> </w:t>
      </w:r>
      <w:r>
        <w:rPr>
          <w:rFonts w:cs="Times New Roman"/>
          <w:color w:val="000000"/>
          <w:w w:val="110"/>
          <w:szCs w:val="24"/>
        </w:rPr>
        <w:t>statyzmem.</w:t>
      </w:r>
    </w:p>
    <w:p w14:paraId="1DCD42B5" w14:textId="29E00D1F" w:rsidR="005D1477" w:rsidRPr="00756152" w:rsidRDefault="005D1477">
      <w:pPr>
        <w:pStyle w:val="Akapitzlist"/>
        <w:widowControl w:val="0"/>
        <w:numPr>
          <w:ilvl w:val="2"/>
          <w:numId w:val="301"/>
        </w:numPr>
        <w:autoSpaceDE w:val="0"/>
        <w:autoSpaceDN w:val="0"/>
        <w:spacing w:before="196"/>
        <w:ind w:left="1276" w:right="2" w:hanging="850"/>
        <w:jc w:val="both"/>
        <w:rPr>
          <w:rFonts w:cs="Times New Roman"/>
          <w:color w:val="000000"/>
          <w:szCs w:val="24"/>
        </w:rPr>
      </w:pPr>
      <w:r w:rsidRPr="00756152">
        <w:rPr>
          <w:rFonts w:cs="Times New Roman"/>
          <w:color w:val="000000"/>
          <w:w w:val="105"/>
          <w:szCs w:val="24"/>
        </w:rPr>
        <w:t>Odpowiedź mocą na obniżoną częstotliwość (tryb</w:t>
      </w:r>
      <w:r w:rsidRPr="00756152">
        <w:rPr>
          <w:rFonts w:cs="Times New Roman"/>
          <w:color w:val="000000"/>
          <w:spacing w:val="13"/>
          <w:w w:val="105"/>
          <w:szCs w:val="24"/>
        </w:rPr>
        <w:t xml:space="preserve"> </w:t>
      </w:r>
      <w:r w:rsidRPr="00756152">
        <w:rPr>
          <w:rFonts w:cs="Times New Roman"/>
          <w:color w:val="000000"/>
          <w:w w:val="105"/>
          <w:szCs w:val="24"/>
        </w:rPr>
        <w:t>LFSM-U)</w:t>
      </w:r>
      <w:r w:rsidR="00756152" w:rsidRPr="00756152">
        <w:rPr>
          <w:rFonts w:cs="Times New Roman"/>
          <w:color w:val="000000"/>
          <w:w w:val="105"/>
          <w:szCs w:val="24"/>
        </w:rPr>
        <w:t xml:space="preserve"> </w:t>
      </w:r>
      <w:r w:rsidRPr="00756152">
        <w:rPr>
          <w:rFonts w:cs="Times New Roman"/>
          <w:color w:val="000000"/>
          <w:w w:val="110"/>
          <w:szCs w:val="24"/>
        </w:rPr>
        <w:t>Magazyny energii elektrycznej, które są w trybie rozładowania, powinny być zdolne do</w:t>
      </w:r>
      <w:r w:rsidRPr="00756152">
        <w:rPr>
          <w:rFonts w:cs="Times New Roman"/>
          <w:color w:val="000000"/>
          <w:spacing w:val="-21"/>
          <w:w w:val="110"/>
          <w:szCs w:val="24"/>
        </w:rPr>
        <w:t xml:space="preserve"> </w:t>
      </w:r>
      <w:r w:rsidRPr="00756152">
        <w:rPr>
          <w:rFonts w:cs="Times New Roman"/>
          <w:color w:val="000000"/>
          <w:w w:val="110"/>
          <w:szCs w:val="24"/>
        </w:rPr>
        <w:t>aktywacji</w:t>
      </w:r>
      <w:r w:rsidRPr="00756152">
        <w:rPr>
          <w:rFonts w:cs="Times New Roman"/>
          <w:color w:val="000000"/>
          <w:spacing w:val="-7"/>
          <w:w w:val="110"/>
          <w:szCs w:val="24"/>
        </w:rPr>
        <w:t xml:space="preserve"> </w:t>
      </w:r>
      <w:r w:rsidRPr="00756152">
        <w:rPr>
          <w:rFonts w:cs="Times New Roman"/>
          <w:color w:val="000000"/>
          <w:w w:val="110"/>
          <w:szCs w:val="24"/>
        </w:rPr>
        <w:t>odpowiedzi</w:t>
      </w:r>
      <w:r w:rsidRPr="00756152">
        <w:rPr>
          <w:rFonts w:cs="Times New Roman"/>
          <w:color w:val="000000"/>
          <w:spacing w:val="-3"/>
          <w:w w:val="110"/>
          <w:szCs w:val="24"/>
        </w:rPr>
        <w:t xml:space="preserve"> </w:t>
      </w:r>
      <w:r w:rsidRPr="00756152">
        <w:rPr>
          <w:rFonts w:cs="Times New Roman"/>
          <w:color w:val="000000"/>
          <w:w w:val="110"/>
          <w:szCs w:val="24"/>
        </w:rPr>
        <w:t>mocą</w:t>
      </w:r>
      <w:r w:rsidRPr="00756152">
        <w:rPr>
          <w:rFonts w:cs="Times New Roman"/>
          <w:color w:val="000000"/>
          <w:spacing w:val="-15"/>
          <w:w w:val="110"/>
          <w:szCs w:val="24"/>
        </w:rPr>
        <w:t xml:space="preserve"> </w:t>
      </w:r>
      <w:r w:rsidRPr="00756152">
        <w:rPr>
          <w:rFonts w:cs="Times New Roman"/>
          <w:color w:val="000000"/>
          <w:w w:val="110"/>
          <w:szCs w:val="24"/>
        </w:rPr>
        <w:t>czynną</w:t>
      </w:r>
      <w:r w:rsidRPr="00756152">
        <w:rPr>
          <w:rFonts w:cs="Times New Roman"/>
          <w:color w:val="000000"/>
          <w:spacing w:val="-11"/>
          <w:w w:val="110"/>
          <w:szCs w:val="24"/>
        </w:rPr>
        <w:t xml:space="preserve"> </w:t>
      </w:r>
      <w:r w:rsidRPr="00756152">
        <w:rPr>
          <w:rFonts w:cs="Times New Roman"/>
          <w:color w:val="000000"/>
          <w:w w:val="110"/>
          <w:szCs w:val="24"/>
        </w:rPr>
        <w:t>na</w:t>
      </w:r>
      <w:r w:rsidRPr="00756152">
        <w:rPr>
          <w:rFonts w:cs="Times New Roman"/>
          <w:color w:val="000000"/>
          <w:spacing w:val="-21"/>
          <w:w w:val="110"/>
          <w:szCs w:val="24"/>
        </w:rPr>
        <w:t xml:space="preserve"> </w:t>
      </w:r>
      <w:r w:rsidRPr="00756152">
        <w:rPr>
          <w:rFonts w:cs="Times New Roman"/>
          <w:color w:val="000000"/>
          <w:w w:val="110"/>
          <w:szCs w:val="24"/>
        </w:rPr>
        <w:t>obniżoną</w:t>
      </w:r>
      <w:r w:rsidRPr="00756152">
        <w:rPr>
          <w:rFonts w:cs="Times New Roman"/>
          <w:color w:val="000000"/>
          <w:spacing w:val="-16"/>
          <w:w w:val="110"/>
          <w:szCs w:val="24"/>
        </w:rPr>
        <w:t xml:space="preserve"> </w:t>
      </w:r>
      <w:r w:rsidRPr="00756152">
        <w:rPr>
          <w:rFonts w:cs="Times New Roman"/>
          <w:color w:val="000000"/>
          <w:w w:val="110"/>
          <w:szCs w:val="24"/>
        </w:rPr>
        <w:t>częstotliwość,</w:t>
      </w:r>
      <w:r w:rsidRPr="00756152">
        <w:rPr>
          <w:rFonts w:cs="Times New Roman"/>
          <w:color w:val="000000"/>
          <w:spacing w:val="-24"/>
          <w:w w:val="110"/>
          <w:szCs w:val="24"/>
        </w:rPr>
        <w:t xml:space="preserve"> </w:t>
      </w:r>
      <w:r w:rsidRPr="00756152">
        <w:rPr>
          <w:rFonts w:cs="Times New Roman"/>
          <w:color w:val="000000"/>
          <w:w w:val="110"/>
          <w:szCs w:val="24"/>
        </w:rPr>
        <w:t>analogicznie</w:t>
      </w:r>
      <w:r w:rsidRPr="00756152">
        <w:rPr>
          <w:rFonts w:cs="Times New Roman"/>
          <w:color w:val="000000"/>
          <w:spacing w:val="-10"/>
          <w:w w:val="110"/>
          <w:szCs w:val="24"/>
        </w:rPr>
        <w:t xml:space="preserve"> </w:t>
      </w:r>
      <w:r w:rsidRPr="00756152">
        <w:rPr>
          <w:rFonts w:cs="Times New Roman"/>
          <w:color w:val="000000"/>
          <w:w w:val="110"/>
          <w:szCs w:val="24"/>
        </w:rPr>
        <w:t>jak</w:t>
      </w:r>
      <w:r w:rsidRPr="00756152">
        <w:rPr>
          <w:rFonts w:cs="Times New Roman"/>
          <w:color w:val="000000"/>
          <w:spacing w:val="-15"/>
          <w:w w:val="110"/>
          <w:szCs w:val="24"/>
        </w:rPr>
        <w:t xml:space="preserve"> </w:t>
      </w:r>
      <w:r w:rsidRPr="00756152">
        <w:rPr>
          <w:rFonts w:cs="Times New Roman"/>
          <w:color w:val="000000"/>
          <w:w w:val="110"/>
          <w:szCs w:val="24"/>
        </w:rPr>
        <w:t>moduły wytwarzania C i</w:t>
      </w:r>
      <w:r w:rsidRPr="00756152">
        <w:rPr>
          <w:rFonts w:cs="Times New Roman"/>
          <w:color w:val="000000"/>
          <w:spacing w:val="-9"/>
          <w:w w:val="110"/>
          <w:szCs w:val="24"/>
        </w:rPr>
        <w:t xml:space="preserve"> </w:t>
      </w:r>
      <w:r w:rsidRPr="00756152">
        <w:rPr>
          <w:rFonts w:cs="Times New Roman"/>
          <w:color w:val="000000"/>
          <w:spacing w:val="2"/>
          <w:w w:val="110"/>
          <w:szCs w:val="24"/>
        </w:rPr>
        <w:t>D.</w:t>
      </w:r>
    </w:p>
    <w:p w14:paraId="6684EA86" w14:textId="77777777" w:rsidR="005D1477" w:rsidRDefault="005D1477" w:rsidP="00756152">
      <w:pPr>
        <w:spacing w:before="91"/>
        <w:ind w:left="1276" w:right="2" w:firstLine="4"/>
        <w:jc w:val="both"/>
        <w:rPr>
          <w:rFonts w:cs="Times New Roman"/>
          <w:color w:val="000000"/>
          <w:szCs w:val="24"/>
        </w:rPr>
      </w:pPr>
      <w:r>
        <w:rPr>
          <w:rFonts w:cs="Times New Roman"/>
          <w:color w:val="000000"/>
          <w:w w:val="105"/>
          <w:szCs w:val="24"/>
        </w:rPr>
        <w:t xml:space="preserve">Magazyny energii elektrycznej, które są w trybie rozładowania, </w:t>
      </w:r>
      <w:r>
        <w:rPr>
          <w:rFonts w:cs="Times New Roman"/>
          <w:color w:val="000000"/>
          <w:w w:val="105"/>
          <w:szCs w:val="24"/>
        </w:rPr>
        <w:br/>
        <w:t>w momencie, gdy częstotliwość przekroczy próg częstotliwości dla trybu LFSM-U (49,8 Hz - 49,5 Hz, wartość</w:t>
      </w:r>
      <w:r>
        <w:rPr>
          <w:rFonts w:cs="Times New Roman"/>
          <w:color w:val="000000"/>
          <w:spacing w:val="-22"/>
          <w:w w:val="105"/>
          <w:szCs w:val="24"/>
        </w:rPr>
        <w:t xml:space="preserve"> </w:t>
      </w:r>
      <w:r>
        <w:rPr>
          <w:rFonts w:cs="Times New Roman"/>
          <w:color w:val="000000"/>
          <w:w w:val="105"/>
          <w:szCs w:val="24"/>
        </w:rPr>
        <w:t>domyślna</w:t>
      </w:r>
      <w:r>
        <w:rPr>
          <w:rFonts w:cs="Times New Roman"/>
          <w:color w:val="000000"/>
          <w:spacing w:val="-12"/>
          <w:w w:val="105"/>
          <w:szCs w:val="24"/>
        </w:rPr>
        <w:t xml:space="preserve"> </w:t>
      </w:r>
      <w:r>
        <w:rPr>
          <w:rFonts w:cs="Times New Roman"/>
          <w:color w:val="000000"/>
          <w:w w:val="105"/>
          <w:szCs w:val="24"/>
        </w:rPr>
        <w:t>49,8</w:t>
      </w:r>
      <w:r>
        <w:rPr>
          <w:rFonts w:cs="Times New Roman"/>
          <w:color w:val="000000"/>
          <w:spacing w:val="-17"/>
          <w:w w:val="105"/>
          <w:szCs w:val="24"/>
        </w:rPr>
        <w:t xml:space="preserve"> </w:t>
      </w:r>
      <w:r>
        <w:rPr>
          <w:rFonts w:cs="Times New Roman"/>
          <w:color w:val="000000"/>
          <w:w w:val="105"/>
          <w:szCs w:val="24"/>
        </w:rPr>
        <w:t>Hz)</w:t>
      </w:r>
      <w:r>
        <w:rPr>
          <w:rFonts w:cs="Times New Roman"/>
          <w:color w:val="000000"/>
          <w:spacing w:val="-20"/>
          <w:w w:val="105"/>
          <w:szCs w:val="24"/>
        </w:rPr>
        <w:t xml:space="preserve"> </w:t>
      </w:r>
      <w:r>
        <w:rPr>
          <w:rFonts w:cs="Times New Roman"/>
          <w:color w:val="000000"/>
          <w:w w:val="105"/>
          <w:szCs w:val="24"/>
        </w:rPr>
        <w:t>nie</w:t>
      </w:r>
      <w:r>
        <w:rPr>
          <w:rFonts w:cs="Times New Roman"/>
          <w:color w:val="000000"/>
          <w:spacing w:val="-23"/>
          <w:w w:val="105"/>
          <w:szCs w:val="24"/>
        </w:rPr>
        <w:t xml:space="preserve"> </w:t>
      </w:r>
      <w:r>
        <w:rPr>
          <w:rFonts w:cs="Times New Roman"/>
          <w:color w:val="000000"/>
          <w:w w:val="105"/>
          <w:szCs w:val="24"/>
        </w:rPr>
        <w:t>powinny</w:t>
      </w:r>
      <w:r>
        <w:rPr>
          <w:rFonts w:cs="Times New Roman"/>
          <w:color w:val="000000"/>
          <w:spacing w:val="-13"/>
          <w:w w:val="105"/>
          <w:szCs w:val="24"/>
        </w:rPr>
        <w:t xml:space="preserve"> </w:t>
      </w:r>
      <w:r>
        <w:rPr>
          <w:rFonts w:cs="Times New Roman"/>
          <w:color w:val="000000"/>
          <w:w w:val="105"/>
          <w:szCs w:val="24"/>
        </w:rPr>
        <w:t>zmniejszać</w:t>
      </w:r>
      <w:r>
        <w:rPr>
          <w:rFonts w:cs="Times New Roman"/>
          <w:color w:val="000000"/>
          <w:spacing w:val="-12"/>
          <w:w w:val="105"/>
          <w:szCs w:val="24"/>
        </w:rPr>
        <w:t xml:space="preserve"> </w:t>
      </w:r>
      <w:r>
        <w:rPr>
          <w:rFonts w:cs="Times New Roman"/>
          <w:color w:val="000000"/>
          <w:w w:val="105"/>
          <w:szCs w:val="24"/>
        </w:rPr>
        <w:t>mocy</w:t>
      </w:r>
      <w:r>
        <w:rPr>
          <w:rFonts w:cs="Times New Roman"/>
          <w:color w:val="000000"/>
          <w:spacing w:val="-12"/>
          <w:w w:val="105"/>
          <w:szCs w:val="24"/>
        </w:rPr>
        <w:t xml:space="preserve"> </w:t>
      </w:r>
      <w:r>
        <w:rPr>
          <w:rFonts w:cs="Times New Roman"/>
          <w:color w:val="000000"/>
          <w:w w:val="105"/>
          <w:szCs w:val="24"/>
        </w:rPr>
        <w:t>rozładowania</w:t>
      </w:r>
      <w:r>
        <w:rPr>
          <w:rFonts w:cs="Times New Roman"/>
          <w:color w:val="000000"/>
          <w:spacing w:val="-9"/>
          <w:w w:val="105"/>
          <w:szCs w:val="24"/>
        </w:rPr>
        <w:t xml:space="preserve"> </w:t>
      </w:r>
      <w:r>
        <w:rPr>
          <w:rFonts w:cs="Times New Roman"/>
          <w:color w:val="000000"/>
          <w:w w:val="105"/>
          <w:szCs w:val="24"/>
        </w:rPr>
        <w:t>poniżej</w:t>
      </w:r>
      <w:r>
        <w:rPr>
          <w:rFonts w:cs="Times New Roman"/>
          <w:color w:val="000000"/>
          <w:spacing w:val="-12"/>
          <w:w w:val="105"/>
          <w:szCs w:val="24"/>
        </w:rPr>
        <w:t xml:space="preserve"> </w:t>
      </w:r>
      <w:r>
        <w:rPr>
          <w:rFonts w:cs="Times New Roman"/>
          <w:color w:val="000000"/>
          <w:w w:val="105"/>
          <w:szCs w:val="24"/>
        </w:rPr>
        <w:t>chwilowej mocy</w:t>
      </w:r>
      <w:r>
        <w:rPr>
          <w:rFonts w:cs="Times New Roman"/>
          <w:color w:val="000000"/>
          <w:spacing w:val="-11"/>
          <w:w w:val="105"/>
          <w:szCs w:val="24"/>
        </w:rPr>
        <w:t xml:space="preserve"> </w:t>
      </w:r>
      <w:r>
        <w:rPr>
          <w:rFonts w:cs="Times New Roman"/>
          <w:color w:val="000000"/>
          <w:w w:val="105"/>
          <w:szCs w:val="24"/>
        </w:rPr>
        <w:t>czynnej,</w:t>
      </w:r>
      <w:r>
        <w:rPr>
          <w:rFonts w:cs="Times New Roman"/>
          <w:color w:val="000000"/>
          <w:spacing w:val="-10"/>
          <w:w w:val="105"/>
          <w:szCs w:val="24"/>
        </w:rPr>
        <w:t xml:space="preserve"> </w:t>
      </w:r>
      <w:r>
        <w:rPr>
          <w:rFonts w:cs="Times New Roman"/>
          <w:color w:val="000000"/>
          <w:w w:val="105"/>
          <w:szCs w:val="24"/>
        </w:rPr>
        <w:t>dopóki</w:t>
      </w:r>
      <w:r>
        <w:rPr>
          <w:rFonts w:cs="Times New Roman"/>
          <w:color w:val="000000"/>
          <w:spacing w:val="-3"/>
          <w:w w:val="105"/>
          <w:szCs w:val="24"/>
        </w:rPr>
        <w:t xml:space="preserve"> </w:t>
      </w:r>
      <w:r>
        <w:rPr>
          <w:rFonts w:cs="Times New Roman"/>
          <w:color w:val="000000"/>
          <w:w w:val="105"/>
          <w:szCs w:val="24"/>
        </w:rPr>
        <w:t>częstotliwość</w:t>
      </w:r>
      <w:r>
        <w:rPr>
          <w:rFonts w:cs="Times New Roman"/>
          <w:color w:val="000000"/>
          <w:spacing w:val="-7"/>
          <w:w w:val="105"/>
          <w:szCs w:val="24"/>
        </w:rPr>
        <w:t xml:space="preserve"> </w:t>
      </w:r>
      <w:r>
        <w:rPr>
          <w:rFonts w:cs="Times New Roman"/>
          <w:color w:val="000000"/>
          <w:w w:val="105"/>
          <w:szCs w:val="24"/>
        </w:rPr>
        <w:t>nie</w:t>
      </w:r>
      <w:r>
        <w:rPr>
          <w:rFonts w:cs="Times New Roman"/>
          <w:color w:val="000000"/>
          <w:spacing w:val="-17"/>
          <w:w w:val="105"/>
          <w:szCs w:val="24"/>
        </w:rPr>
        <w:t xml:space="preserve"> </w:t>
      </w:r>
      <w:r>
        <w:rPr>
          <w:rFonts w:cs="Times New Roman"/>
          <w:color w:val="000000"/>
          <w:w w:val="105"/>
          <w:szCs w:val="24"/>
        </w:rPr>
        <w:t>powróci</w:t>
      </w:r>
      <w:r>
        <w:rPr>
          <w:rFonts w:cs="Times New Roman"/>
          <w:color w:val="000000"/>
          <w:spacing w:val="-1"/>
          <w:w w:val="105"/>
          <w:szCs w:val="24"/>
        </w:rPr>
        <w:t xml:space="preserve"> </w:t>
      </w:r>
      <w:r>
        <w:rPr>
          <w:rFonts w:cs="Times New Roman"/>
          <w:color w:val="000000"/>
          <w:w w:val="105"/>
          <w:szCs w:val="24"/>
        </w:rPr>
        <w:t>powyżej</w:t>
      </w:r>
      <w:r>
        <w:rPr>
          <w:rFonts w:cs="Times New Roman"/>
          <w:color w:val="000000"/>
          <w:spacing w:val="-11"/>
          <w:w w:val="105"/>
          <w:szCs w:val="24"/>
        </w:rPr>
        <w:t xml:space="preserve"> </w:t>
      </w:r>
      <w:r>
        <w:rPr>
          <w:rFonts w:cs="Times New Roman"/>
          <w:color w:val="000000"/>
          <w:w w:val="105"/>
          <w:szCs w:val="24"/>
        </w:rPr>
        <w:t>progu</w:t>
      </w:r>
      <w:r>
        <w:rPr>
          <w:rFonts w:cs="Times New Roman"/>
          <w:color w:val="000000"/>
          <w:spacing w:val="-13"/>
          <w:w w:val="105"/>
          <w:szCs w:val="24"/>
        </w:rPr>
        <w:t xml:space="preserve"> </w:t>
      </w:r>
      <w:r>
        <w:rPr>
          <w:rFonts w:cs="Times New Roman"/>
          <w:color w:val="000000"/>
          <w:w w:val="105"/>
          <w:szCs w:val="24"/>
        </w:rPr>
        <w:t>częstotliwości.</w:t>
      </w:r>
      <w:r>
        <w:rPr>
          <w:rFonts w:cs="Times New Roman"/>
          <w:color w:val="000000"/>
          <w:spacing w:val="-18"/>
          <w:w w:val="105"/>
          <w:szCs w:val="24"/>
        </w:rPr>
        <w:t xml:space="preserve"> </w:t>
      </w:r>
      <w:r>
        <w:rPr>
          <w:rFonts w:cs="Times New Roman"/>
          <w:color w:val="000000"/>
          <w:w w:val="105"/>
          <w:szCs w:val="24"/>
        </w:rPr>
        <w:t>Zaleca</w:t>
      </w:r>
      <w:r>
        <w:rPr>
          <w:rFonts w:cs="Times New Roman"/>
          <w:color w:val="000000"/>
          <w:spacing w:val="-10"/>
          <w:w w:val="105"/>
          <w:szCs w:val="24"/>
        </w:rPr>
        <w:t xml:space="preserve"> </w:t>
      </w:r>
      <w:r>
        <w:rPr>
          <w:rFonts w:cs="Times New Roman"/>
          <w:color w:val="000000"/>
          <w:w w:val="105"/>
          <w:szCs w:val="24"/>
        </w:rPr>
        <w:t>się, aby magazyny energii elektrycznej zwiększały moc rozładowania zgodnie ze</w:t>
      </w:r>
      <w:r>
        <w:rPr>
          <w:rFonts w:cs="Times New Roman"/>
          <w:color w:val="000000"/>
          <w:spacing w:val="-20"/>
          <w:w w:val="105"/>
          <w:szCs w:val="24"/>
        </w:rPr>
        <w:t xml:space="preserve"> </w:t>
      </w:r>
      <w:r>
        <w:rPr>
          <w:rFonts w:cs="Times New Roman"/>
          <w:color w:val="000000"/>
          <w:w w:val="105"/>
          <w:szCs w:val="24"/>
        </w:rPr>
        <w:t>skonfigurowanym</w:t>
      </w:r>
      <w:r>
        <w:rPr>
          <w:rFonts w:cs="Times New Roman"/>
          <w:color w:val="000000"/>
          <w:spacing w:val="-13"/>
          <w:w w:val="105"/>
          <w:szCs w:val="24"/>
        </w:rPr>
        <w:t xml:space="preserve"> </w:t>
      </w:r>
      <w:r>
        <w:rPr>
          <w:rFonts w:cs="Times New Roman"/>
          <w:color w:val="000000"/>
          <w:w w:val="105"/>
          <w:szCs w:val="24"/>
        </w:rPr>
        <w:t>statyzmem</w:t>
      </w:r>
      <w:r>
        <w:rPr>
          <w:rFonts w:cs="Times New Roman"/>
          <w:color w:val="000000"/>
          <w:spacing w:val="-8"/>
          <w:w w:val="105"/>
          <w:szCs w:val="24"/>
        </w:rPr>
        <w:t xml:space="preserve"> </w:t>
      </w:r>
      <w:r>
        <w:rPr>
          <w:rFonts w:cs="Times New Roman"/>
          <w:color w:val="000000"/>
          <w:w w:val="105"/>
          <w:szCs w:val="24"/>
        </w:rPr>
        <w:t>(w</w:t>
      </w:r>
      <w:r>
        <w:rPr>
          <w:rFonts w:cs="Times New Roman"/>
          <w:color w:val="000000"/>
          <w:spacing w:val="-18"/>
          <w:w w:val="105"/>
          <w:szCs w:val="24"/>
        </w:rPr>
        <w:t xml:space="preserve"> </w:t>
      </w:r>
      <w:r>
        <w:rPr>
          <w:rFonts w:cs="Times New Roman"/>
          <w:color w:val="000000"/>
          <w:w w:val="105"/>
          <w:szCs w:val="24"/>
        </w:rPr>
        <w:t>zakresie</w:t>
      </w:r>
      <w:r>
        <w:rPr>
          <w:rFonts w:cs="Times New Roman"/>
          <w:color w:val="000000"/>
          <w:spacing w:val="-4"/>
          <w:w w:val="105"/>
          <w:szCs w:val="24"/>
        </w:rPr>
        <w:t xml:space="preserve"> </w:t>
      </w:r>
      <w:r>
        <w:rPr>
          <w:rFonts w:cs="Times New Roman"/>
          <w:color w:val="000000"/>
          <w:w w:val="105"/>
          <w:szCs w:val="24"/>
        </w:rPr>
        <w:t>2</w:t>
      </w:r>
      <w:r>
        <w:rPr>
          <w:rFonts w:cs="Times New Roman"/>
          <w:color w:val="000000"/>
          <w:spacing w:val="-17"/>
          <w:w w:val="105"/>
          <w:szCs w:val="24"/>
        </w:rPr>
        <w:t xml:space="preserve"> </w:t>
      </w:r>
      <w:r>
        <w:rPr>
          <w:rFonts w:cs="Times New Roman"/>
          <w:color w:val="000000"/>
          <w:w w:val="105"/>
          <w:szCs w:val="24"/>
        </w:rPr>
        <w:t>do</w:t>
      </w:r>
      <w:r>
        <w:rPr>
          <w:rFonts w:cs="Times New Roman"/>
          <w:color w:val="000000"/>
          <w:spacing w:val="-12"/>
          <w:w w:val="105"/>
          <w:szCs w:val="24"/>
        </w:rPr>
        <w:t xml:space="preserve"> </w:t>
      </w:r>
      <w:r>
        <w:rPr>
          <w:rFonts w:cs="Times New Roman"/>
          <w:color w:val="000000"/>
          <w:w w:val="105"/>
          <w:szCs w:val="24"/>
        </w:rPr>
        <w:t>12%,</w:t>
      </w:r>
      <w:r>
        <w:rPr>
          <w:rFonts w:cs="Times New Roman"/>
          <w:color w:val="000000"/>
          <w:spacing w:val="-15"/>
          <w:w w:val="105"/>
          <w:szCs w:val="24"/>
        </w:rPr>
        <w:t xml:space="preserve"> </w:t>
      </w:r>
      <w:r>
        <w:rPr>
          <w:rFonts w:cs="Times New Roman"/>
          <w:color w:val="000000"/>
          <w:w w:val="105"/>
          <w:szCs w:val="24"/>
        </w:rPr>
        <w:t>wartość</w:t>
      </w:r>
      <w:r>
        <w:rPr>
          <w:rFonts w:cs="Times New Roman"/>
          <w:color w:val="000000"/>
          <w:spacing w:val="-12"/>
          <w:w w:val="105"/>
          <w:szCs w:val="24"/>
        </w:rPr>
        <w:t xml:space="preserve"> </w:t>
      </w:r>
      <w:r>
        <w:rPr>
          <w:rFonts w:cs="Times New Roman"/>
          <w:color w:val="000000"/>
          <w:w w:val="105"/>
          <w:szCs w:val="24"/>
        </w:rPr>
        <w:t>domyślna</w:t>
      </w:r>
      <w:r>
        <w:rPr>
          <w:rFonts w:cs="Times New Roman"/>
          <w:color w:val="000000"/>
          <w:spacing w:val="-1"/>
          <w:w w:val="105"/>
          <w:szCs w:val="24"/>
        </w:rPr>
        <w:t xml:space="preserve"> </w:t>
      </w:r>
      <w:r>
        <w:rPr>
          <w:rFonts w:cs="Times New Roman"/>
          <w:color w:val="000000"/>
          <w:w w:val="105"/>
          <w:szCs w:val="24"/>
        </w:rPr>
        <w:t>5%).</w:t>
      </w:r>
      <w:r>
        <w:rPr>
          <w:rFonts w:cs="Times New Roman"/>
          <w:color w:val="000000"/>
          <w:spacing w:val="-16"/>
          <w:w w:val="105"/>
          <w:szCs w:val="24"/>
        </w:rPr>
        <w:t xml:space="preserve"> </w:t>
      </w:r>
      <w:r>
        <w:rPr>
          <w:rFonts w:cs="Times New Roman"/>
          <w:color w:val="000000"/>
          <w:w w:val="105"/>
          <w:szCs w:val="24"/>
        </w:rPr>
        <w:t>Dopuszcza się</w:t>
      </w:r>
      <w:r>
        <w:rPr>
          <w:rFonts w:cs="Times New Roman"/>
          <w:color w:val="000000"/>
          <w:spacing w:val="-20"/>
          <w:w w:val="105"/>
          <w:szCs w:val="24"/>
        </w:rPr>
        <w:t xml:space="preserve"> </w:t>
      </w:r>
      <w:r>
        <w:rPr>
          <w:rFonts w:cs="Times New Roman"/>
          <w:color w:val="000000"/>
          <w:w w:val="105"/>
          <w:szCs w:val="24"/>
        </w:rPr>
        <w:t>zmniejszenie</w:t>
      </w:r>
      <w:r>
        <w:rPr>
          <w:rFonts w:cs="Times New Roman"/>
          <w:color w:val="000000"/>
          <w:spacing w:val="-14"/>
          <w:w w:val="105"/>
          <w:szCs w:val="24"/>
        </w:rPr>
        <w:t xml:space="preserve"> </w:t>
      </w:r>
      <w:r>
        <w:rPr>
          <w:rFonts w:cs="Times New Roman"/>
          <w:color w:val="000000"/>
          <w:w w:val="105"/>
          <w:szCs w:val="24"/>
        </w:rPr>
        <w:t>mocy</w:t>
      </w:r>
      <w:r>
        <w:rPr>
          <w:rFonts w:cs="Times New Roman"/>
          <w:color w:val="000000"/>
          <w:spacing w:val="-15"/>
          <w:w w:val="105"/>
          <w:szCs w:val="24"/>
        </w:rPr>
        <w:t xml:space="preserve"> </w:t>
      </w:r>
      <w:r>
        <w:rPr>
          <w:rFonts w:cs="Times New Roman"/>
          <w:color w:val="000000"/>
          <w:w w:val="105"/>
          <w:szCs w:val="24"/>
        </w:rPr>
        <w:t>rozładowania</w:t>
      </w:r>
      <w:r>
        <w:rPr>
          <w:rFonts w:cs="Times New Roman"/>
          <w:color w:val="000000"/>
          <w:spacing w:val="-7"/>
          <w:w w:val="105"/>
          <w:szCs w:val="24"/>
        </w:rPr>
        <w:t xml:space="preserve"> </w:t>
      </w:r>
      <w:r>
        <w:rPr>
          <w:rFonts w:cs="Times New Roman"/>
          <w:color w:val="000000"/>
          <w:w w:val="105"/>
          <w:szCs w:val="24"/>
        </w:rPr>
        <w:t>w</w:t>
      </w:r>
      <w:r>
        <w:rPr>
          <w:rFonts w:cs="Times New Roman"/>
          <w:color w:val="000000"/>
          <w:spacing w:val="-19"/>
          <w:w w:val="105"/>
          <w:szCs w:val="24"/>
        </w:rPr>
        <w:t xml:space="preserve"> </w:t>
      </w:r>
      <w:r>
        <w:rPr>
          <w:rFonts w:cs="Times New Roman"/>
          <w:color w:val="000000"/>
          <w:w w:val="105"/>
          <w:szCs w:val="24"/>
        </w:rPr>
        <w:t>przypadku</w:t>
      </w:r>
      <w:r>
        <w:rPr>
          <w:rFonts w:cs="Times New Roman"/>
          <w:color w:val="000000"/>
          <w:spacing w:val="-10"/>
          <w:w w:val="105"/>
          <w:szCs w:val="24"/>
        </w:rPr>
        <w:t xml:space="preserve"> </w:t>
      </w:r>
      <w:r>
        <w:rPr>
          <w:rFonts w:cs="Times New Roman"/>
          <w:color w:val="000000"/>
          <w:w w:val="105"/>
          <w:szCs w:val="24"/>
        </w:rPr>
        <w:t>osiągnięcia</w:t>
      </w:r>
      <w:r>
        <w:rPr>
          <w:rFonts w:cs="Times New Roman"/>
          <w:color w:val="000000"/>
          <w:spacing w:val="-13"/>
          <w:w w:val="105"/>
          <w:szCs w:val="24"/>
        </w:rPr>
        <w:t xml:space="preserve"> </w:t>
      </w:r>
      <w:r>
        <w:rPr>
          <w:rFonts w:cs="Times New Roman"/>
          <w:color w:val="000000"/>
          <w:w w:val="105"/>
          <w:szCs w:val="24"/>
        </w:rPr>
        <w:t>minimalnej</w:t>
      </w:r>
      <w:r>
        <w:rPr>
          <w:rFonts w:cs="Times New Roman"/>
          <w:color w:val="000000"/>
          <w:spacing w:val="-9"/>
          <w:w w:val="105"/>
          <w:szCs w:val="24"/>
        </w:rPr>
        <w:t xml:space="preserve"> </w:t>
      </w:r>
      <w:r>
        <w:rPr>
          <w:rFonts w:cs="Times New Roman"/>
          <w:color w:val="000000"/>
          <w:w w:val="105"/>
          <w:szCs w:val="24"/>
        </w:rPr>
        <w:t>pojemności</w:t>
      </w:r>
      <w:r>
        <w:rPr>
          <w:rFonts w:cs="Times New Roman"/>
          <w:color w:val="000000"/>
          <w:spacing w:val="-7"/>
          <w:w w:val="105"/>
          <w:szCs w:val="24"/>
        </w:rPr>
        <w:t xml:space="preserve"> </w:t>
      </w:r>
      <w:r>
        <w:rPr>
          <w:rFonts w:cs="Times New Roman"/>
          <w:color w:val="000000"/>
          <w:w w:val="105"/>
          <w:szCs w:val="24"/>
        </w:rPr>
        <w:t>oraz w</w:t>
      </w:r>
      <w:r>
        <w:rPr>
          <w:rFonts w:cs="Times New Roman"/>
          <w:color w:val="000000"/>
          <w:spacing w:val="-16"/>
          <w:w w:val="105"/>
          <w:szCs w:val="24"/>
        </w:rPr>
        <w:t xml:space="preserve"> </w:t>
      </w:r>
      <w:r>
        <w:rPr>
          <w:rFonts w:cs="Times New Roman"/>
          <w:color w:val="000000"/>
          <w:w w:val="105"/>
          <w:szCs w:val="24"/>
        </w:rPr>
        <w:t>celu</w:t>
      </w:r>
      <w:r>
        <w:rPr>
          <w:rFonts w:cs="Times New Roman"/>
          <w:color w:val="000000"/>
          <w:spacing w:val="-8"/>
          <w:w w:val="105"/>
          <w:szCs w:val="24"/>
        </w:rPr>
        <w:t xml:space="preserve"> </w:t>
      </w:r>
      <w:r>
        <w:rPr>
          <w:rFonts w:cs="Times New Roman"/>
          <w:color w:val="000000"/>
          <w:w w:val="105"/>
          <w:szCs w:val="24"/>
        </w:rPr>
        <w:t>uniknięcia</w:t>
      </w:r>
      <w:r>
        <w:rPr>
          <w:rFonts w:cs="Times New Roman"/>
          <w:color w:val="000000"/>
          <w:spacing w:val="-2"/>
          <w:w w:val="105"/>
          <w:szCs w:val="24"/>
        </w:rPr>
        <w:t xml:space="preserve"> </w:t>
      </w:r>
      <w:r>
        <w:rPr>
          <w:rFonts w:cs="Times New Roman"/>
          <w:color w:val="000000"/>
          <w:w w:val="105"/>
          <w:szCs w:val="24"/>
        </w:rPr>
        <w:t>wystąpienia</w:t>
      </w:r>
      <w:r>
        <w:rPr>
          <w:rFonts w:cs="Times New Roman"/>
          <w:color w:val="000000"/>
          <w:spacing w:val="3"/>
          <w:w w:val="105"/>
          <w:szCs w:val="24"/>
        </w:rPr>
        <w:t xml:space="preserve"> </w:t>
      </w:r>
      <w:r>
        <w:rPr>
          <w:rFonts w:cs="Times New Roman"/>
          <w:color w:val="000000"/>
          <w:w w:val="105"/>
          <w:szCs w:val="24"/>
        </w:rPr>
        <w:t>wzrostu</w:t>
      </w:r>
      <w:r>
        <w:rPr>
          <w:rFonts w:cs="Times New Roman"/>
          <w:color w:val="000000"/>
          <w:spacing w:val="-1"/>
          <w:w w:val="105"/>
          <w:szCs w:val="24"/>
        </w:rPr>
        <w:t xml:space="preserve"> </w:t>
      </w:r>
      <w:r>
        <w:rPr>
          <w:rFonts w:cs="Times New Roman"/>
          <w:color w:val="000000"/>
          <w:w w:val="105"/>
          <w:szCs w:val="24"/>
        </w:rPr>
        <w:t>ryzyk</w:t>
      </w:r>
      <w:r>
        <w:rPr>
          <w:rFonts w:cs="Times New Roman"/>
          <w:color w:val="000000"/>
          <w:spacing w:val="-7"/>
          <w:w w:val="105"/>
          <w:szCs w:val="24"/>
        </w:rPr>
        <w:t xml:space="preserve"> </w:t>
      </w:r>
      <w:r>
        <w:rPr>
          <w:rFonts w:cs="Times New Roman"/>
          <w:color w:val="000000"/>
          <w:w w:val="105"/>
          <w:szCs w:val="24"/>
        </w:rPr>
        <w:t>uszkodzenia sprzętu</w:t>
      </w:r>
      <w:r>
        <w:rPr>
          <w:rFonts w:cs="Times New Roman"/>
          <w:color w:val="000000"/>
          <w:spacing w:val="-3"/>
          <w:w w:val="105"/>
          <w:szCs w:val="24"/>
        </w:rPr>
        <w:t xml:space="preserve"> </w:t>
      </w:r>
      <w:r>
        <w:rPr>
          <w:rFonts w:cs="Times New Roman"/>
          <w:color w:val="000000"/>
          <w:w w:val="105"/>
          <w:szCs w:val="24"/>
        </w:rPr>
        <w:t>lub</w:t>
      </w:r>
      <w:r>
        <w:rPr>
          <w:rFonts w:cs="Times New Roman"/>
          <w:color w:val="000000"/>
          <w:spacing w:val="-16"/>
          <w:w w:val="105"/>
          <w:szCs w:val="24"/>
        </w:rPr>
        <w:t xml:space="preserve"> </w:t>
      </w:r>
      <w:r>
        <w:rPr>
          <w:rFonts w:cs="Times New Roman"/>
          <w:color w:val="000000"/>
          <w:w w:val="105"/>
          <w:szCs w:val="24"/>
        </w:rPr>
        <w:t>zagrożeń</w:t>
      </w:r>
      <w:r>
        <w:rPr>
          <w:rFonts w:cs="Times New Roman"/>
          <w:color w:val="000000"/>
          <w:spacing w:val="-13"/>
          <w:w w:val="105"/>
          <w:szCs w:val="24"/>
        </w:rPr>
        <w:t xml:space="preserve"> </w:t>
      </w:r>
      <w:r>
        <w:rPr>
          <w:rFonts w:cs="Times New Roman"/>
          <w:color w:val="000000"/>
          <w:w w:val="105"/>
          <w:szCs w:val="24"/>
        </w:rPr>
        <w:t>otoczenia.</w:t>
      </w:r>
    </w:p>
    <w:p w14:paraId="14260F8B" w14:textId="5381BB2B" w:rsidR="005D1477" w:rsidRDefault="005D1477" w:rsidP="00756152">
      <w:pPr>
        <w:spacing w:before="159"/>
        <w:ind w:left="1276" w:right="2"/>
        <w:jc w:val="both"/>
        <w:rPr>
          <w:rFonts w:cs="Times New Roman"/>
          <w:color w:val="000000"/>
          <w:w w:val="105"/>
          <w:szCs w:val="24"/>
        </w:rPr>
      </w:pPr>
      <w:r>
        <w:rPr>
          <w:rFonts w:cs="Times New Roman"/>
          <w:color w:val="000000"/>
          <w:w w:val="105"/>
          <w:szCs w:val="24"/>
        </w:rPr>
        <w:t>Magazyny</w:t>
      </w:r>
      <w:r>
        <w:rPr>
          <w:rFonts w:cs="Times New Roman"/>
          <w:color w:val="000000"/>
          <w:spacing w:val="-19"/>
          <w:w w:val="105"/>
          <w:szCs w:val="24"/>
        </w:rPr>
        <w:t xml:space="preserve"> </w:t>
      </w:r>
      <w:r>
        <w:rPr>
          <w:rFonts w:cs="Times New Roman"/>
          <w:color w:val="000000"/>
          <w:w w:val="105"/>
          <w:szCs w:val="24"/>
        </w:rPr>
        <w:t>energii</w:t>
      </w:r>
      <w:r>
        <w:rPr>
          <w:rFonts w:cs="Times New Roman"/>
          <w:color w:val="000000"/>
          <w:spacing w:val="-18"/>
          <w:w w:val="105"/>
          <w:szCs w:val="24"/>
        </w:rPr>
        <w:t xml:space="preserve"> </w:t>
      </w:r>
      <w:r>
        <w:rPr>
          <w:rFonts w:cs="Times New Roman"/>
          <w:color w:val="000000"/>
          <w:w w:val="105"/>
          <w:szCs w:val="24"/>
        </w:rPr>
        <w:t>elektrycznej,</w:t>
      </w:r>
      <w:r>
        <w:rPr>
          <w:rFonts w:cs="Times New Roman"/>
          <w:color w:val="000000"/>
          <w:spacing w:val="-11"/>
          <w:w w:val="105"/>
          <w:szCs w:val="24"/>
        </w:rPr>
        <w:t xml:space="preserve"> </w:t>
      </w:r>
      <w:r>
        <w:rPr>
          <w:rFonts w:cs="Times New Roman"/>
          <w:color w:val="000000"/>
          <w:w w:val="105"/>
          <w:szCs w:val="24"/>
        </w:rPr>
        <w:t>które</w:t>
      </w:r>
      <w:r>
        <w:rPr>
          <w:rFonts w:cs="Times New Roman"/>
          <w:color w:val="000000"/>
          <w:spacing w:val="-25"/>
          <w:w w:val="105"/>
          <w:szCs w:val="24"/>
        </w:rPr>
        <w:t xml:space="preserve"> </w:t>
      </w:r>
      <w:r>
        <w:rPr>
          <w:rFonts w:cs="Times New Roman"/>
          <w:color w:val="000000"/>
          <w:w w:val="105"/>
          <w:szCs w:val="24"/>
        </w:rPr>
        <w:t>są</w:t>
      </w:r>
      <w:r>
        <w:rPr>
          <w:rFonts w:cs="Times New Roman"/>
          <w:color w:val="000000"/>
          <w:spacing w:val="-22"/>
          <w:w w:val="105"/>
          <w:szCs w:val="24"/>
        </w:rPr>
        <w:t xml:space="preserve"> </w:t>
      </w:r>
      <w:r>
        <w:rPr>
          <w:rFonts w:cs="Times New Roman"/>
          <w:color w:val="000000"/>
          <w:w w:val="105"/>
          <w:szCs w:val="24"/>
        </w:rPr>
        <w:t>w</w:t>
      </w:r>
      <w:r>
        <w:rPr>
          <w:rFonts w:cs="Times New Roman"/>
          <w:color w:val="000000"/>
          <w:spacing w:val="-27"/>
          <w:w w:val="105"/>
          <w:szCs w:val="24"/>
        </w:rPr>
        <w:t xml:space="preserve"> </w:t>
      </w:r>
      <w:r>
        <w:rPr>
          <w:rFonts w:cs="Times New Roman"/>
          <w:color w:val="000000"/>
          <w:w w:val="105"/>
          <w:szCs w:val="24"/>
        </w:rPr>
        <w:t>trybie</w:t>
      </w:r>
      <w:r>
        <w:rPr>
          <w:rFonts w:cs="Times New Roman"/>
          <w:color w:val="000000"/>
          <w:spacing w:val="-18"/>
          <w:w w:val="105"/>
          <w:szCs w:val="24"/>
        </w:rPr>
        <w:t xml:space="preserve"> </w:t>
      </w:r>
      <w:r>
        <w:rPr>
          <w:rFonts w:cs="Times New Roman"/>
          <w:color w:val="000000"/>
          <w:w w:val="105"/>
          <w:szCs w:val="24"/>
        </w:rPr>
        <w:t>ładowania</w:t>
      </w:r>
      <w:r>
        <w:rPr>
          <w:rFonts w:cs="Times New Roman"/>
          <w:color w:val="000000"/>
          <w:spacing w:val="-13"/>
          <w:w w:val="105"/>
          <w:szCs w:val="24"/>
        </w:rPr>
        <w:t xml:space="preserve"> </w:t>
      </w:r>
      <w:r>
        <w:rPr>
          <w:rFonts w:cs="Times New Roman"/>
          <w:color w:val="000000"/>
          <w:spacing w:val="-13"/>
          <w:w w:val="105"/>
          <w:szCs w:val="24"/>
        </w:rPr>
        <w:br/>
      </w:r>
      <w:r>
        <w:rPr>
          <w:rFonts w:cs="Times New Roman"/>
          <w:color w:val="000000"/>
          <w:w w:val="105"/>
          <w:szCs w:val="24"/>
        </w:rPr>
        <w:t>w</w:t>
      </w:r>
      <w:r>
        <w:rPr>
          <w:rFonts w:cs="Times New Roman"/>
          <w:color w:val="000000"/>
          <w:spacing w:val="-31"/>
          <w:w w:val="105"/>
          <w:szCs w:val="24"/>
        </w:rPr>
        <w:t xml:space="preserve"> </w:t>
      </w:r>
      <w:r>
        <w:rPr>
          <w:rFonts w:cs="Times New Roman"/>
          <w:color w:val="000000"/>
          <w:w w:val="105"/>
          <w:szCs w:val="24"/>
        </w:rPr>
        <w:t>odpowiedzi</w:t>
      </w:r>
      <w:r>
        <w:rPr>
          <w:rFonts w:cs="Times New Roman"/>
          <w:color w:val="000000"/>
          <w:spacing w:val="-11"/>
          <w:w w:val="105"/>
          <w:szCs w:val="24"/>
        </w:rPr>
        <w:t xml:space="preserve"> </w:t>
      </w:r>
      <w:r>
        <w:rPr>
          <w:rFonts w:cs="Times New Roman"/>
          <w:color w:val="000000"/>
          <w:w w:val="105"/>
          <w:szCs w:val="24"/>
        </w:rPr>
        <w:t>na</w:t>
      </w:r>
      <w:r>
        <w:rPr>
          <w:rFonts w:cs="Times New Roman"/>
          <w:color w:val="000000"/>
          <w:spacing w:val="-21"/>
          <w:w w:val="105"/>
          <w:szCs w:val="24"/>
        </w:rPr>
        <w:t xml:space="preserve"> </w:t>
      </w:r>
      <w:r>
        <w:rPr>
          <w:rFonts w:cs="Times New Roman"/>
          <w:color w:val="000000"/>
          <w:w w:val="105"/>
          <w:szCs w:val="24"/>
        </w:rPr>
        <w:t>przekroczenie progu częstotliwości powinny obniżać moc ładowania zgodnie ze skonfigurowanym statyzmem.</w:t>
      </w:r>
    </w:p>
    <w:p w14:paraId="18DA2C04" w14:textId="77777777" w:rsidR="0055125B" w:rsidRDefault="0055125B" w:rsidP="00756152">
      <w:pPr>
        <w:spacing w:before="159"/>
        <w:ind w:left="1276" w:right="2"/>
        <w:jc w:val="both"/>
        <w:rPr>
          <w:rFonts w:cs="Times New Roman"/>
          <w:color w:val="000000"/>
          <w:w w:val="105"/>
          <w:szCs w:val="24"/>
        </w:rPr>
      </w:pPr>
    </w:p>
    <w:p w14:paraId="451306B4" w14:textId="77777777" w:rsidR="000C726C" w:rsidRDefault="000C726C" w:rsidP="00756152">
      <w:pPr>
        <w:spacing w:before="159"/>
        <w:ind w:left="1276" w:right="2"/>
        <w:jc w:val="both"/>
        <w:rPr>
          <w:rFonts w:cs="Times New Roman"/>
          <w:color w:val="000000"/>
          <w:w w:val="105"/>
          <w:szCs w:val="24"/>
        </w:rPr>
      </w:pPr>
    </w:p>
    <w:p w14:paraId="507FED6B" w14:textId="77777777" w:rsidR="00F966C8" w:rsidRDefault="00F966C8" w:rsidP="00756152">
      <w:pPr>
        <w:spacing w:before="159"/>
        <w:ind w:left="1276" w:right="2"/>
        <w:jc w:val="both"/>
        <w:rPr>
          <w:rFonts w:cs="Times New Roman"/>
          <w:color w:val="000000"/>
          <w:w w:val="105"/>
          <w:szCs w:val="24"/>
        </w:rPr>
      </w:pPr>
    </w:p>
    <w:p w14:paraId="5354B5C7" w14:textId="12D85506" w:rsidR="0055125B" w:rsidRPr="0055125B" w:rsidRDefault="000C726C" w:rsidP="0055125B">
      <w:pPr>
        <w:pStyle w:val="Akapitzlist"/>
        <w:numPr>
          <w:ilvl w:val="0"/>
          <w:numId w:val="359"/>
        </w:numPr>
        <w:spacing w:before="159"/>
        <w:ind w:left="426" w:right="2" w:hanging="426"/>
        <w:jc w:val="both"/>
        <w:rPr>
          <w:rFonts w:cs="Times New Roman"/>
          <w:color w:val="000000"/>
          <w:w w:val="105"/>
          <w:szCs w:val="24"/>
        </w:rPr>
      </w:pPr>
      <w:r>
        <w:rPr>
          <w:rFonts w:cs="Times New Roman"/>
          <w:b/>
          <w:color w:val="000000"/>
          <w:w w:val="105"/>
          <w:szCs w:val="24"/>
        </w:rPr>
        <w:t>DODATKOWE WYMAGANIA DLA FARM WIATROWYCH I FARM FOTOWOLTAICZNYCH</w:t>
      </w:r>
    </w:p>
    <w:p w14:paraId="4EC1A599" w14:textId="15DCBED3" w:rsidR="000A290C" w:rsidRDefault="000A290C" w:rsidP="00D23F3A">
      <w:pPr>
        <w:pStyle w:val="TableParagraph"/>
        <w:numPr>
          <w:ilvl w:val="1"/>
          <w:numId w:val="359"/>
        </w:numPr>
        <w:spacing w:before="86"/>
        <w:ind w:left="567" w:hanging="567"/>
        <w:rPr>
          <w:b/>
          <w:sz w:val="24"/>
        </w:rPr>
      </w:pPr>
      <w:r>
        <w:rPr>
          <w:b/>
          <w:sz w:val="24"/>
        </w:rPr>
        <w:t>Zdalne sterowanie farmą wiatrową (interwencyjne)</w:t>
      </w:r>
    </w:p>
    <w:p w14:paraId="60E51528" w14:textId="3EE36199" w:rsidR="000A290C" w:rsidRDefault="000A290C" w:rsidP="00B40879">
      <w:pPr>
        <w:pStyle w:val="TableParagraph"/>
        <w:numPr>
          <w:ilvl w:val="0"/>
          <w:numId w:val="363"/>
        </w:numPr>
        <w:spacing w:before="63" w:line="259" w:lineRule="auto"/>
        <w:ind w:left="851" w:right="2" w:hanging="753"/>
        <w:rPr>
          <w:sz w:val="24"/>
        </w:rPr>
      </w:pPr>
      <w:r>
        <w:rPr>
          <w:sz w:val="24"/>
        </w:rPr>
        <w:t xml:space="preserve">W celu zapewnienia możliwości wykorzystania farmy wiatrowej w procesie prowadzenia ruchu, wymaga się, aby farma wiatrowa była zdolna do zdalnego sterowania zgodnie ze standardami </w:t>
      </w:r>
      <w:r w:rsidR="00BC013D">
        <w:rPr>
          <w:sz w:val="24"/>
        </w:rPr>
        <w:t>OSDn</w:t>
      </w:r>
      <w:r>
        <w:rPr>
          <w:sz w:val="24"/>
        </w:rPr>
        <w:t xml:space="preserve">. W ramach systemu zdalnego sterowania z właściwego ośrodka dyspozycji mocy </w:t>
      </w:r>
      <w:r w:rsidR="00BC013D">
        <w:rPr>
          <w:sz w:val="24"/>
        </w:rPr>
        <w:t xml:space="preserve">OSDn </w:t>
      </w:r>
      <w:r>
        <w:rPr>
          <w:sz w:val="24"/>
        </w:rPr>
        <w:t>należy zapewnić możliwość:</w:t>
      </w:r>
    </w:p>
    <w:p w14:paraId="4F698B34" w14:textId="77777777" w:rsidR="000A290C" w:rsidRDefault="000A290C" w:rsidP="00B40879">
      <w:pPr>
        <w:pStyle w:val="TableParagraph"/>
        <w:numPr>
          <w:ilvl w:val="0"/>
          <w:numId w:val="360"/>
        </w:numPr>
        <w:spacing w:line="259" w:lineRule="auto"/>
        <w:ind w:left="1134" w:right="2" w:hanging="283"/>
        <w:jc w:val="both"/>
        <w:rPr>
          <w:sz w:val="24"/>
        </w:rPr>
      </w:pPr>
      <w:r>
        <w:rPr>
          <w:sz w:val="24"/>
        </w:rPr>
        <w:t>zadawania maksymalnego, dopuszczalnego obciążenia mocą czynną (zmiany mocy</w:t>
      </w:r>
      <w:r>
        <w:rPr>
          <w:spacing w:val="-4"/>
          <w:sz w:val="24"/>
        </w:rPr>
        <w:t xml:space="preserve"> </w:t>
      </w:r>
      <w:r>
        <w:rPr>
          <w:sz w:val="24"/>
        </w:rPr>
        <w:t>czynnej),</w:t>
      </w:r>
    </w:p>
    <w:p w14:paraId="1F0E2468" w14:textId="77777777" w:rsidR="000A290C" w:rsidRDefault="000A290C" w:rsidP="00B40879">
      <w:pPr>
        <w:pStyle w:val="TableParagraph"/>
        <w:numPr>
          <w:ilvl w:val="0"/>
          <w:numId w:val="360"/>
        </w:numPr>
        <w:spacing w:line="259" w:lineRule="auto"/>
        <w:ind w:left="1134" w:right="2" w:hanging="283"/>
        <w:jc w:val="both"/>
        <w:rPr>
          <w:sz w:val="24"/>
        </w:rPr>
      </w:pPr>
      <w:r>
        <w:rPr>
          <w:sz w:val="24"/>
        </w:rPr>
        <w:t>zmiany mocy biernej (w pełnym zakresie dopuszczalnych obciążeń mocą bierną farmy</w:t>
      </w:r>
      <w:r>
        <w:rPr>
          <w:spacing w:val="-7"/>
          <w:sz w:val="24"/>
        </w:rPr>
        <w:t xml:space="preserve"> </w:t>
      </w:r>
      <w:r>
        <w:rPr>
          <w:sz w:val="24"/>
        </w:rPr>
        <w:t>wiatrowej),</w:t>
      </w:r>
    </w:p>
    <w:p w14:paraId="7C976D70" w14:textId="77777777" w:rsidR="000A290C" w:rsidRDefault="000A290C" w:rsidP="00B40879">
      <w:pPr>
        <w:pStyle w:val="TableParagraph"/>
        <w:numPr>
          <w:ilvl w:val="0"/>
          <w:numId w:val="360"/>
        </w:numPr>
        <w:spacing w:line="259" w:lineRule="auto"/>
        <w:ind w:left="1134" w:right="2" w:hanging="283"/>
        <w:jc w:val="both"/>
        <w:rPr>
          <w:sz w:val="24"/>
        </w:rPr>
      </w:pPr>
      <w:r>
        <w:rPr>
          <w:sz w:val="24"/>
        </w:rPr>
        <w:t>wyłączenia całkowitego farmy wiatrowej (wyłączenie wyłącznika w torze wyprowadzenia mocy farmy wiatrowej, niezależnie od własności tego wyłącznika).</w:t>
      </w:r>
    </w:p>
    <w:p w14:paraId="2759CBB7" w14:textId="522DD83A" w:rsidR="000A290C" w:rsidRDefault="000A290C" w:rsidP="00B40879">
      <w:pPr>
        <w:spacing w:before="159"/>
        <w:ind w:left="851" w:right="2"/>
        <w:jc w:val="both"/>
      </w:pPr>
      <w:r>
        <w:t>W ramach systemu zdalnego sterowania należy zapewnić zmianę trybu regulacji farmy wiatrowej w czasie rzeczywistym (on-line).</w:t>
      </w:r>
    </w:p>
    <w:p w14:paraId="6E2EFCED" w14:textId="633DABA7" w:rsidR="000A290C" w:rsidRDefault="000A290C" w:rsidP="00B40879">
      <w:pPr>
        <w:pStyle w:val="TableParagraph"/>
        <w:numPr>
          <w:ilvl w:val="0"/>
          <w:numId w:val="363"/>
        </w:numPr>
        <w:spacing w:before="65" w:line="259" w:lineRule="auto"/>
        <w:ind w:left="851" w:right="2" w:hanging="709"/>
        <w:rPr>
          <w:sz w:val="24"/>
        </w:rPr>
      </w:pPr>
      <w:r>
        <w:rPr>
          <w:sz w:val="24"/>
        </w:rPr>
        <w:t xml:space="preserve">Zadawanie   wartości   wielkości   regulowanych    powinno    być    możliwe    </w:t>
      </w:r>
      <w:r w:rsidR="00B40879">
        <w:rPr>
          <w:sz w:val="24"/>
        </w:rPr>
        <w:br/>
      </w:r>
      <w:r>
        <w:rPr>
          <w:sz w:val="24"/>
        </w:rPr>
        <w:t>w wielkościach bezwzględnych. Algorytm systemu sterowania i regulacji farmą wiatrową musi być dostosowany do realizacji tego</w:t>
      </w:r>
      <w:r>
        <w:rPr>
          <w:spacing w:val="-4"/>
          <w:sz w:val="24"/>
        </w:rPr>
        <w:t xml:space="preserve"> </w:t>
      </w:r>
      <w:r>
        <w:rPr>
          <w:sz w:val="24"/>
        </w:rPr>
        <w:t>wymagania.</w:t>
      </w:r>
    </w:p>
    <w:p w14:paraId="13032B93" w14:textId="2AA2B90E" w:rsidR="000A290C" w:rsidRDefault="000A290C" w:rsidP="008D6DC1">
      <w:pPr>
        <w:pStyle w:val="Akapitzlist"/>
        <w:numPr>
          <w:ilvl w:val="0"/>
          <w:numId w:val="363"/>
        </w:numPr>
        <w:spacing w:before="159"/>
        <w:ind w:left="851" w:right="2" w:hanging="709"/>
        <w:jc w:val="both"/>
      </w:pPr>
      <w:r>
        <w:t>Wymaganie</w:t>
      </w:r>
      <w:r w:rsidRPr="008D6DC1">
        <w:rPr>
          <w:spacing w:val="-16"/>
        </w:rPr>
        <w:t xml:space="preserve"> </w:t>
      </w:r>
      <w:r>
        <w:t>zdalnego</w:t>
      </w:r>
      <w:r w:rsidRPr="008D6DC1">
        <w:rPr>
          <w:spacing w:val="-14"/>
        </w:rPr>
        <w:t xml:space="preserve"> </w:t>
      </w:r>
      <w:r>
        <w:t>sterowania,</w:t>
      </w:r>
      <w:r w:rsidRPr="008D6DC1">
        <w:rPr>
          <w:spacing w:val="-16"/>
        </w:rPr>
        <w:t xml:space="preserve"> </w:t>
      </w:r>
      <w:r>
        <w:t>stosuje</w:t>
      </w:r>
      <w:r w:rsidRPr="008D6DC1">
        <w:rPr>
          <w:spacing w:val="-15"/>
        </w:rPr>
        <w:t xml:space="preserve"> </w:t>
      </w:r>
      <w:r>
        <w:t>się</w:t>
      </w:r>
      <w:r w:rsidRPr="008D6DC1">
        <w:rPr>
          <w:spacing w:val="-16"/>
        </w:rPr>
        <w:t xml:space="preserve"> </w:t>
      </w:r>
      <w:r>
        <w:t>niezależnie</w:t>
      </w:r>
      <w:r w:rsidRPr="008D6DC1">
        <w:rPr>
          <w:spacing w:val="-15"/>
        </w:rPr>
        <w:t xml:space="preserve"> </w:t>
      </w:r>
      <w:r>
        <w:t>od</w:t>
      </w:r>
      <w:r w:rsidRPr="008D6DC1">
        <w:rPr>
          <w:spacing w:val="-15"/>
        </w:rPr>
        <w:t xml:space="preserve"> </w:t>
      </w:r>
      <w:r>
        <w:t>wymogu</w:t>
      </w:r>
      <w:r w:rsidRPr="008D6DC1">
        <w:rPr>
          <w:spacing w:val="-14"/>
        </w:rPr>
        <w:t xml:space="preserve"> </w:t>
      </w:r>
      <w:r>
        <w:t>zapewnienia łączności dyspozytorskiej głosowej zgodnie z IRiESD</w:t>
      </w:r>
      <w:r w:rsidR="008D6DC1">
        <w:t>.</w:t>
      </w:r>
    </w:p>
    <w:p w14:paraId="519C5EC1" w14:textId="2E782D89" w:rsidR="0055125B" w:rsidRDefault="008D6DC1" w:rsidP="008D6DC1">
      <w:pPr>
        <w:pStyle w:val="Akapitzlist"/>
        <w:numPr>
          <w:ilvl w:val="0"/>
          <w:numId w:val="363"/>
        </w:numPr>
        <w:spacing w:before="159"/>
        <w:ind w:left="851" w:right="2" w:hanging="709"/>
        <w:jc w:val="both"/>
      </w:pPr>
      <w:r>
        <w:t>OSDn, OSDp</w:t>
      </w:r>
      <w:r w:rsidR="000E5EC5">
        <w:t xml:space="preserve"> albo OSP mają prawo do wydania polecenia zmiany generacji mocy czynnej oraz biernej farmy wiatrowej w pełnym zakresie dopuszczalnych obciążeń, łącznie z całkowitym wyłączeniem farmy wiatrowej, przy czym wszystkie ww. funkcje zdalnego sterowania powinny być</w:t>
      </w:r>
      <w:r w:rsidR="000E5EC5" w:rsidRPr="008D6DC1">
        <w:rPr>
          <w:spacing w:val="-39"/>
        </w:rPr>
        <w:t xml:space="preserve"> </w:t>
      </w:r>
      <w:r w:rsidR="000E5EC5">
        <w:t xml:space="preserve">realizowane w ramach systemu zdalnego sterowania z poziomu służb </w:t>
      </w:r>
      <w:r w:rsidR="00282942">
        <w:t xml:space="preserve">technicznych </w:t>
      </w:r>
      <w:r>
        <w:t>OSDn</w:t>
      </w:r>
      <w:r w:rsidR="000E5EC5">
        <w:t>. OSP, przy wykorzystaniu infrastruktury telekomunikacyjnej (drogą telefoniczną), może, za pośrednictwem służb dyspozytorskich</w:t>
      </w:r>
      <w:r w:rsidR="000E5EC5" w:rsidRPr="008D6DC1">
        <w:rPr>
          <w:spacing w:val="-8"/>
        </w:rPr>
        <w:t xml:space="preserve"> </w:t>
      </w:r>
      <w:r>
        <w:rPr>
          <w:spacing w:val="-8"/>
        </w:rPr>
        <w:t xml:space="preserve">OSDp, </w:t>
      </w:r>
      <w:r w:rsidR="00282942">
        <w:rPr>
          <w:spacing w:val="-8"/>
        </w:rPr>
        <w:t xml:space="preserve">technicznych </w:t>
      </w:r>
      <w:r>
        <w:rPr>
          <w:spacing w:val="-8"/>
        </w:rPr>
        <w:t>OSDn</w:t>
      </w:r>
      <w:r w:rsidR="000E5EC5">
        <w:t>,</w:t>
      </w:r>
      <w:r w:rsidR="000E5EC5" w:rsidRPr="008D6DC1">
        <w:rPr>
          <w:spacing w:val="-10"/>
        </w:rPr>
        <w:t xml:space="preserve"> </w:t>
      </w:r>
      <w:r w:rsidR="000E5EC5">
        <w:t>wydać</w:t>
      </w:r>
      <w:r w:rsidR="000E5EC5" w:rsidRPr="008D6DC1">
        <w:rPr>
          <w:spacing w:val="-11"/>
        </w:rPr>
        <w:t xml:space="preserve"> </w:t>
      </w:r>
      <w:r w:rsidR="000E5EC5">
        <w:t>polecenie</w:t>
      </w:r>
      <w:r w:rsidR="000E5EC5" w:rsidRPr="008D6DC1">
        <w:rPr>
          <w:spacing w:val="-9"/>
        </w:rPr>
        <w:t xml:space="preserve"> </w:t>
      </w:r>
      <w:r w:rsidR="000E5EC5">
        <w:t>interwencyjnej</w:t>
      </w:r>
      <w:r w:rsidR="000E5EC5" w:rsidRPr="008D6DC1">
        <w:rPr>
          <w:spacing w:val="-10"/>
        </w:rPr>
        <w:t xml:space="preserve"> </w:t>
      </w:r>
      <w:r w:rsidR="000E5EC5">
        <w:t>zmiany parametrów</w:t>
      </w:r>
      <w:r w:rsidR="000E5EC5" w:rsidRPr="008D6DC1">
        <w:rPr>
          <w:spacing w:val="-8"/>
        </w:rPr>
        <w:t xml:space="preserve"> </w:t>
      </w:r>
      <w:r w:rsidR="000E5EC5">
        <w:t>pracy</w:t>
      </w:r>
      <w:r w:rsidR="000E5EC5" w:rsidRPr="008D6DC1">
        <w:rPr>
          <w:spacing w:val="-9"/>
        </w:rPr>
        <w:t xml:space="preserve"> </w:t>
      </w:r>
      <w:r w:rsidR="000E5EC5">
        <w:t>farmy</w:t>
      </w:r>
      <w:r w:rsidR="000E5EC5" w:rsidRPr="008D6DC1">
        <w:rPr>
          <w:spacing w:val="-9"/>
        </w:rPr>
        <w:t xml:space="preserve"> </w:t>
      </w:r>
      <w:r w:rsidR="000E5EC5">
        <w:t>wiatrowej</w:t>
      </w:r>
      <w:r w:rsidR="000E5EC5" w:rsidRPr="008D6DC1">
        <w:rPr>
          <w:spacing w:val="-6"/>
        </w:rPr>
        <w:t xml:space="preserve"> </w:t>
      </w:r>
      <w:r w:rsidR="000E5EC5">
        <w:t>przyłączonej</w:t>
      </w:r>
      <w:r w:rsidR="000E5EC5" w:rsidRPr="008D6DC1">
        <w:rPr>
          <w:spacing w:val="-6"/>
        </w:rPr>
        <w:t xml:space="preserve"> </w:t>
      </w:r>
      <w:r w:rsidR="000E5EC5">
        <w:t>do</w:t>
      </w:r>
      <w:r w:rsidR="000E5EC5" w:rsidRPr="008D6DC1">
        <w:rPr>
          <w:spacing w:val="-6"/>
        </w:rPr>
        <w:t xml:space="preserve"> </w:t>
      </w:r>
      <w:r w:rsidR="000E5EC5">
        <w:t>sieci</w:t>
      </w:r>
      <w:r w:rsidR="000E5EC5" w:rsidRPr="008D6DC1">
        <w:rPr>
          <w:spacing w:val="-2"/>
        </w:rPr>
        <w:t xml:space="preserve"> </w:t>
      </w:r>
      <w:r>
        <w:rPr>
          <w:spacing w:val="-2"/>
        </w:rPr>
        <w:t>OSDn</w:t>
      </w:r>
      <w:r w:rsidR="000E5EC5">
        <w:t>. W przypadku, gdy zaniżenie mocy czynnej lub całkowite wyłączenie farmy wiatrowej wystąpi w sytuacji braku zagrożenia bezpieczeństwa dostaw</w:t>
      </w:r>
      <w:r w:rsidR="00D91761">
        <w:t xml:space="preserve"> energii elektrycznej,</w:t>
      </w:r>
      <w:r w:rsidR="00D91761" w:rsidRPr="008D6DC1">
        <w:rPr>
          <w:spacing w:val="-9"/>
        </w:rPr>
        <w:t xml:space="preserve"> </w:t>
      </w:r>
      <w:r w:rsidR="00D91761">
        <w:t>rozliczenia</w:t>
      </w:r>
      <w:r w:rsidR="00D91761" w:rsidRPr="008D6DC1">
        <w:rPr>
          <w:spacing w:val="-7"/>
        </w:rPr>
        <w:t xml:space="preserve"> </w:t>
      </w:r>
      <w:r w:rsidR="00D91761">
        <w:t>finansowe</w:t>
      </w:r>
      <w:r w:rsidR="00D91761" w:rsidRPr="008D6DC1">
        <w:rPr>
          <w:spacing w:val="-11"/>
        </w:rPr>
        <w:t xml:space="preserve"> </w:t>
      </w:r>
      <w:r w:rsidR="00D91761">
        <w:t>z</w:t>
      </w:r>
      <w:r w:rsidR="00D91761" w:rsidRPr="008D6DC1">
        <w:rPr>
          <w:spacing w:val="-7"/>
        </w:rPr>
        <w:t xml:space="preserve"> </w:t>
      </w:r>
      <w:r w:rsidR="00D91761">
        <w:t>tego</w:t>
      </w:r>
      <w:r w:rsidR="00D91761" w:rsidRPr="008D6DC1">
        <w:rPr>
          <w:spacing w:val="-10"/>
        </w:rPr>
        <w:t xml:space="preserve"> </w:t>
      </w:r>
      <w:r w:rsidR="00D91761">
        <w:t>tytułu,</w:t>
      </w:r>
      <w:r w:rsidR="00D91761" w:rsidRPr="008D6DC1">
        <w:rPr>
          <w:spacing w:val="-6"/>
        </w:rPr>
        <w:t xml:space="preserve"> </w:t>
      </w:r>
      <w:r w:rsidR="00D91761">
        <w:t>każdorazowo</w:t>
      </w:r>
      <w:r w:rsidR="00D91761" w:rsidRPr="008D6DC1">
        <w:rPr>
          <w:spacing w:val="-10"/>
        </w:rPr>
        <w:t xml:space="preserve"> </w:t>
      </w:r>
      <w:r w:rsidR="00D91761">
        <w:t>będą</w:t>
      </w:r>
      <w:r w:rsidR="00D91761" w:rsidRPr="008D6DC1">
        <w:rPr>
          <w:spacing w:val="-10"/>
        </w:rPr>
        <w:t xml:space="preserve"> </w:t>
      </w:r>
      <w:r w:rsidR="00D91761">
        <w:t>dokonywane na podstawie odrębnej umowy zawartej z operatorem systemu wydającym polecenie zmiany parametrów pracy farmy wiatrowej lub polecenie jej wyłączenia,</w:t>
      </w:r>
      <w:r w:rsidR="00D91761" w:rsidRPr="008D6DC1">
        <w:rPr>
          <w:spacing w:val="-16"/>
        </w:rPr>
        <w:t xml:space="preserve"> </w:t>
      </w:r>
      <w:r w:rsidR="00D91761">
        <w:t>chyba</w:t>
      </w:r>
      <w:r w:rsidR="00D91761" w:rsidRPr="008D6DC1">
        <w:rPr>
          <w:spacing w:val="-16"/>
        </w:rPr>
        <w:t xml:space="preserve"> </w:t>
      </w:r>
      <w:r w:rsidR="00D91761">
        <w:t>że</w:t>
      </w:r>
      <w:r w:rsidR="00D91761" w:rsidRPr="008D6DC1">
        <w:rPr>
          <w:spacing w:val="-17"/>
        </w:rPr>
        <w:t xml:space="preserve"> </w:t>
      </w:r>
      <w:r w:rsidR="00D91761">
        <w:t>postanowienia</w:t>
      </w:r>
      <w:r w:rsidR="00D91761" w:rsidRPr="008D6DC1">
        <w:rPr>
          <w:spacing w:val="-16"/>
        </w:rPr>
        <w:t xml:space="preserve"> </w:t>
      </w:r>
      <w:r w:rsidR="00D91761">
        <w:t>warunków</w:t>
      </w:r>
      <w:r w:rsidR="00D91761" w:rsidRPr="008D6DC1">
        <w:rPr>
          <w:spacing w:val="-16"/>
        </w:rPr>
        <w:t xml:space="preserve"> </w:t>
      </w:r>
      <w:r w:rsidR="00D91761">
        <w:t>przyłączenia</w:t>
      </w:r>
      <w:r w:rsidR="00D91761" w:rsidRPr="008D6DC1">
        <w:rPr>
          <w:spacing w:val="-15"/>
        </w:rPr>
        <w:t xml:space="preserve"> </w:t>
      </w:r>
      <w:r w:rsidR="00D91761">
        <w:t>lub</w:t>
      </w:r>
      <w:r w:rsidR="00D91761" w:rsidRPr="008D6DC1">
        <w:rPr>
          <w:spacing w:val="-15"/>
        </w:rPr>
        <w:t xml:space="preserve"> </w:t>
      </w:r>
      <w:r w:rsidR="00D91761">
        <w:t>umów</w:t>
      </w:r>
      <w:r w:rsidR="00D91761" w:rsidRPr="008D6DC1">
        <w:rPr>
          <w:spacing w:val="-15"/>
        </w:rPr>
        <w:t xml:space="preserve"> </w:t>
      </w:r>
      <w:r w:rsidR="00D91761">
        <w:t>zawartych dla farmy wiatrowej nie gwarantują farmie wiatrowej niezawodnych dostaw energii elektrycznej lub wyłączają roszczenia z tytułu całkowitego wyłączenia lub zaniżenia mocy</w:t>
      </w:r>
      <w:r w:rsidR="00D91761" w:rsidRPr="008D6DC1">
        <w:rPr>
          <w:spacing w:val="-5"/>
        </w:rPr>
        <w:t xml:space="preserve"> </w:t>
      </w:r>
      <w:r w:rsidR="00D91761">
        <w:t>czynnej.</w:t>
      </w:r>
    </w:p>
    <w:p w14:paraId="56EE1215" w14:textId="4E68CEE9" w:rsidR="00E062E6" w:rsidRDefault="00E062E6" w:rsidP="000A290C">
      <w:pPr>
        <w:spacing w:before="159"/>
        <w:ind w:left="1276" w:right="2"/>
        <w:jc w:val="both"/>
      </w:pPr>
    </w:p>
    <w:p w14:paraId="3E3B300C" w14:textId="77777777" w:rsidR="004935DC" w:rsidRDefault="004935DC" w:rsidP="000A290C">
      <w:pPr>
        <w:spacing w:before="159"/>
        <w:ind w:left="1276" w:right="2"/>
        <w:jc w:val="both"/>
      </w:pPr>
    </w:p>
    <w:p w14:paraId="7C7D427A" w14:textId="77777777" w:rsidR="004935DC" w:rsidRDefault="004935DC" w:rsidP="000A290C">
      <w:pPr>
        <w:spacing w:before="159"/>
        <w:ind w:left="1276" w:right="2"/>
        <w:jc w:val="both"/>
      </w:pPr>
    </w:p>
    <w:p w14:paraId="11D34E53" w14:textId="77777777" w:rsidR="004935DC" w:rsidRDefault="004935DC" w:rsidP="000A290C">
      <w:pPr>
        <w:spacing w:before="159"/>
        <w:ind w:left="1276" w:right="2"/>
        <w:jc w:val="both"/>
      </w:pPr>
    </w:p>
    <w:p w14:paraId="60BA5E5D" w14:textId="77777777" w:rsidR="004935DC" w:rsidRDefault="004935DC" w:rsidP="000A290C">
      <w:pPr>
        <w:spacing w:before="159"/>
        <w:ind w:left="1276" w:right="2"/>
        <w:jc w:val="both"/>
      </w:pPr>
    </w:p>
    <w:p w14:paraId="1D637147" w14:textId="77777777" w:rsidR="004935DC" w:rsidRDefault="004935DC" w:rsidP="000A290C">
      <w:pPr>
        <w:spacing w:before="159"/>
        <w:ind w:left="1276" w:right="2"/>
        <w:jc w:val="both"/>
      </w:pPr>
    </w:p>
    <w:tbl>
      <w:tblPr>
        <w:tblStyle w:val="TableNormal"/>
        <w:tblW w:w="0" w:type="auto"/>
        <w:tblInd w:w="191" w:type="dxa"/>
        <w:tblLayout w:type="fixed"/>
        <w:tblLook w:val="01E0" w:firstRow="1" w:lastRow="1" w:firstColumn="1" w:lastColumn="1" w:noHBand="0" w:noVBand="0"/>
      </w:tblPr>
      <w:tblGrid>
        <w:gridCol w:w="8421"/>
        <w:gridCol w:w="460"/>
      </w:tblGrid>
      <w:tr w:rsidR="000A290C" w14:paraId="38D2FA63" w14:textId="77777777" w:rsidTr="00EB5656">
        <w:trPr>
          <w:gridAfter w:val="1"/>
          <w:wAfter w:w="460" w:type="dxa"/>
          <w:trHeight w:val="477"/>
        </w:trPr>
        <w:tc>
          <w:tcPr>
            <w:tcW w:w="8421" w:type="dxa"/>
          </w:tcPr>
          <w:p w14:paraId="48351E2A" w14:textId="0E873C7A" w:rsidR="000A290C" w:rsidRPr="004935DC" w:rsidRDefault="000A290C" w:rsidP="00F80632">
            <w:pPr>
              <w:pStyle w:val="TableParagraph"/>
              <w:numPr>
                <w:ilvl w:val="1"/>
                <w:numId w:val="359"/>
              </w:numPr>
              <w:spacing w:before="128"/>
              <w:ind w:left="655" w:right="2" w:hanging="655"/>
              <w:rPr>
                <w:b/>
                <w:sz w:val="24"/>
                <w:lang w:val="pl-PL"/>
              </w:rPr>
            </w:pPr>
            <w:r w:rsidRPr="004935DC">
              <w:rPr>
                <w:b/>
                <w:sz w:val="24"/>
                <w:lang w:val="pl-PL"/>
              </w:rPr>
              <w:t>Zdalne sterowanie farmą fotowoltaiczną (interwencyjne)</w:t>
            </w:r>
          </w:p>
        </w:tc>
      </w:tr>
      <w:tr w:rsidR="000A290C" w:rsidRPr="006D5148" w14:paraId="780A7AE2" w14:textId="77777777" w:rsidTr="00943146">
        <w:trPr>
          <w:trHeight w:val="3183"/>
        </w:trPr>
        <w:tc>
          <w:tcPr>
            <w:tcW w:w="8881" w:type="dxa"/>
            <w:gridSpan w:val="2"/>
          </w:tcPr>
          <w:p w14:paraId="10DC8C99" w14:textId="1E481320" w:rsidR="000A290C" w:rsidRPr="006D5148" w:rsidRDefault="009C2BCE" w:rsidP="009C2BCE">
            <w:pPr>
              <w:pStyle w:val="TableParagraph"/>
              <w:numPr>
                <w:ilvl w:val="0"/>
                <w:numId w:val="364"/>
              </w:numPr>
              <w:spacing w:before="63" w:line="259" w:lineRule="auto"/>
              <w:ind w:left="797" w:right="2" w:hanging="709"/>
              <w:rPr>
                <w:sz w:val="24"/>
                <w:lang w:val="pl-PL"/>
              </w:rPr>
            </w:pPr>
            <w:r>
              <w:rPr>
                <w:sz w:val="24"/>
                <w:lang w:val="pl-PL"/>
              </w:rPr>
              <w:t>OSDn, OSDp</w:t>
            </w:r>
            <w:r w:rsidR="000A290C" w:rsidRPr="006D5148">
              <w:rPr>
                <w:sz w:val="24"/>
                <w:lang w:val="pl-PL"/>
              </w:rPr>
              <w:t xml:space="preserve"> albo OSP mają prawo do wydania polecenia zmiany generacji mocy czynnej oraz biernej farmy fotowoltaicznej w pełnym zakresie dopuszczalnych obciążeń, łącznie z całkowitym wyłączeniem farmy fotowoltaicznej poprzez wyłączenie wyłącznika w torze wyprowadzenia mocy farmy fotowoltaicznej, niezależnie od własności tego wyłącznika, przy czym wymagane funkcje zdalnego sterowania powinny być realizowane w ramach systemu zdalnego sterowania </w:t>
            </w:r>
            <w:r w:rsidR="00282942">
              <w:rPr>
                <w:sz w:val="24"/>
                <w:lang w:val="pl-PL"/>
              </w:rPr>
              <w:br/>
            </w:r>
            <w:r w:rsidR="000A290C" w:rsidRPr="006D5148">
              <w:rPr>
                <w:sz w:val="24"/>
                <w:lang w:val="pl-PL"/>
              </w:rPr>
              <w:t xml:space="preserve">z poziomu służb </w:t>
            </w:r>
            <w:r w:rsidR="00282942">
              <w:rPr>
                <w:sz w:val="24"/>
                <w:lang w:val="pl-PL"/>
              </w:rPr>
              <w:t>technicznych</w:t>
            </w:r>
            <w:r w:rsidR="000A290C" w:rsidRPr="006D5148">
              <w:rPr>
                <w:sz w:val="24"/>
                <w:lang w:val="pl-PL"/>
              </w:rPr>
              <w:t xml:space="preserve"> </w:t>
            </w:r>
            <w:r w:rsidR="00282942">
              <w:rPr>
                <w:sz w:val="24"/>
                <w:lang w:val="pl-PL"/>
              </w:rPr>
              <w:t>OSDn</w:t>
            </w:r>
            <w:r w:rsidR="000A290C" w:rsidRPr="006D5148">
              <w:rPr>
                <w:sz w:val="24"/>
                <w:lang w:val="pl-PL"/>
              </w:rPr>
              <w:t>. OSP może wydać polecenie interwencyjnej zmiany parametrów pracy farmy fotowoltaicznej przyłączonej do sieci</w:t>
            </w:r>
            <w:r w:rsidR="00282942">
              <w:rPr>
                <w:sz w:val="24"/>
                <w:lang w:val="pl-PL"/>
              </w:rPr>
              <w:t xml:space="preserve"> OSDn</w:t>
            </w:r>
            <w:r w:rsidR="000A290C" w:rsidRPr="006D5148">
              <w:rPr>
                <w:sz w:val="24"/>
                <w:lang w:val="pl-PL"/>
              </w:rPr>
              <w:t>, przy</w:t>
            </w:r>
            <w:r w:rsidR="00943146">
              <w:rPr>
                <w:sz w:val="24"/>
                <w:lang w:val="pl-PL"/>
              </w:rPr>
              <w:t xml:space="preserve"> </w:t>
            </w:r>
            <w:r w:rsidR="000A290C" w:rsidRPr="006D5148">
              <w:rPr>
                <w:sz w:val="24"/>
                <w:lang w:val="pl-PL"/>
              </w:rPr>
              <w:t xml:space="preserve">  wykorzystaniu</w:t>
            </w:r>
            <w:r w:rsidR="00943146">
              <w:rPr>
                <w:sz w:val="24"/>
                <w:lang w:val="pl-PL"/>
              </w:rPr>
              <w:t xml:space="preserve"> </w:t>
            </w:r>
            <w:r w:rsidR="000A290C" w:rsidRPr="006D5148">
              <w:rPr>
                <w:sz w:val="24"/>
                <w:lang w:val="pl-PL"/>
              </w:rPr>
              <w:t>infrastruktury telekomunikacyjnej</w:t>
            </w:r>
            <w:r w:rsidR="007940B5">
              <w:rPr>
                <w:sz w:val="24"/>
                <w:lang w:val="pl-PL"/>
              </w:rPr>
              <w:t xml:space="preserve"> </w:t>
            </w:r>
            <w:r w:rsidR="000A290C" w:rsidRPr="006D5148">
              <w:rPr>
                <w:sz w:val="24"/>
                <w:lang w:val="pl-PL"/>
              </w:rPr>
              <w:t>(drogą</w:t>
            </w:r>
            <w:r w:rsidR="007940B5">
              <w:rPr>
                <w:sz w:val="24"/>
                <w:lang w:val="pl-PL"/>
              </w:rPr>
              <w:t xml:space="preserve"> </w:t>
            </w:r>
            <w:r w:rsidR="000A290C" w:rsidRPr="006D5148">
              <w:rPr>
                <w:sz w:val="24"/>
                <w:lang w:val="pl-PL"/>
              </w:rPr>
              <w:t>telefoniczną),</w:t>
            </w:r>
            <w:r w:rsidR="007940B5">
              <w:rPr>
                <w:sz w:val="24"/>
                <w:lang w:val="pl-PL"/>
              </w:rPr>
              <w:t xml:space="preserve"> </w:t>
            </w:r>
            <w:r w:rsidR="000A290C" w:rsidRPr="006D5148">
              <w:rPr>
                <w:sz w:val="24"/>
                <w:lang w:val="pl-PL"/>
              </w:rPr>
              <w:t xml:space="preserve">za pośrednictwem służb </w:t>
            </w:r>
            <w:r w:rsidR="00282942">
              <w:rPr>
                <w:sz w:val="24"/>
                <w:lang w:val="pl-PL"/>
              </w:rPr>
              <w:t>technicznych OSDn.</w:t>
            </w:r>
          </w:p>
        </w:tc>
      </w:tr>
      <w:tr w:rsidR="000A290C" w:rsidRPr="006D5148" w14:paraId="6F9BD1E5" w14:textId="77777777" w:rsidTr="009C2BCE">
        <w:trPr>
          <w:trHeight w:val="2801"/>
        </w:trPr>
        <w:tc>
          <w:tcPr>
            <w:tcW w:w="8881" w:type="dxa"/>
            <w:gridSpan w:val="2"/>
          </w:tcPr>
          <w:p w14:paraId="45191DDF" w14:textId="77777777" w:rsidR="000A290C" w:rsidRPr="006D5148" w:rsidRDefault="000A290C" w:rsidP="00943146">
            <w:pPr>
              <w:pStyle w:val="TableParagraph"/>
              <w:numPr>
                <w:ilvl w:val="0"/>
                <w:numId w:val="364"/>
              </w:numPr>
              <w:spacing w:before="65" w:line="259" w:lineRule="auto"/>
              <w:ind w:left="797" w:right="2" w:hanging="709"/>
              <w:rPr>
                <w:sz w:val="24"/>
                <w:lang w:val="pl-PL"/>
              </w:rPr>
            </w:pPr>
            <w:r w:rsidRPr="006D5148">
              <w:rPr>
                <w:sz w:val="24"/>
                <w:lang w:val="pl-PL"/>
              </w:rPr>
              <w:t>W przypadku gdy zaniżenie mocy czynnej lub całkowite wyłączenie farmy fotowoltaicznej wystąpi w sytuacji braku zagrożenia bezpieczeństwa dostaw energii elektrycznej, rozliczenia finansowe z tego tytułu, każdorazowo będą dokonywane na podstawie odrębnej umowy zawartej z operatorem systemu wydającym  polecenie   zmiany   parametrów   pracy   farmy   fotowoltaicznej lub polecenie jej  wyłączenia,  chyba  że  postanowienia  warunków  przyłączenia lub umów zawartych dla farmy fotowoltaicznej nie gwarantują farmie fotowoltaicznej niezawodnych dostaw energii elektrycznej lub wyłączają roszczenia z tytułu całkowitego wyłączenia lub zaniżenia mocy</w:t>
            </w:r>
            <w:r w:rsidRPr="006D5148">
              <w:rPr>
                <w:spacing w:val="-8"/>
                <w:sz w:val="24"/>
                <w:lang w:val="pl-PL"/>
              </w:rPr>
              <w:t xml:space="preserve"> </w:t>
            </w:r>
            <w:r w:rsidRPr="006D5148">
              <w:rPr>
                <w:sz w:val="24"/>
                <w:lang w:val="pl-PL"/>
              </w:rPr>
              <w:t>czynnej.</w:t>
            </w:r>
          </w:p>
        </w:tc>
      </w:tr>
      <w:tr w:rsidR="000A290C" w:rsidRPr="006D5148" w14:paraId="18A37523" w14:textId="77777777" w:rsidTr="009C2BCE">
        <w:trPr>
          <w:trHeight w:val="1013"/>
        </w:trPr>
        <w:tc>
          <w:tcPr>
            <w:tcW w:w="8881" w:type="dxa"/>
            <w:gridSpan w:val="2"/>
          </w:tcPr>
          <w:p w14:paraId="47D02EE2" w14:textId="77777777" w:rsidR="000A290C" w:rsidRPr="006D5148" w:rsidRDefault="000A290C" w:rsidP="00BF4985">
            <w:pPr>
              <w:pStyle w:val="TableParagraph"/>
              <w:numPr>
                <w:ilvl w:val="0"/>
                <w:numId w:val="364"/>
              </w:numPr>
              <w:spacing w:before="65" w:line="259" w:lineRule="auto"/>
              <w:ind w:left="797" w:right="2" w:hanging="709"/>
              <w:rPr>
                <w:sz w:val="24"/>
                <w:lang w:val="pl-PL"/>
              </w:rPr>
            </w:pPr>
            <w:r w:rsidRPr="006D5148">
              <w:rPr>
                <w:sz w:val="24"/>
                <w:lang w:val="pl-PL"/>
              </w:rPr>
              <w:t>Postanowienia dotyczące zdalnego (interwencyjnego) sterowania farmą wiatrową,</w:t>
            </w:r>
            <w:r w:rsidRPr="006D5148">
              <w:rPr>
                <w:spacing w:val="-12"/>
                <w:sz w:val="24"/>
                <w:lang w:val="pl-PL"/>
              </w:rPr>
              <w:t xml:space="preserve"> </w:t>
            </w:r>
            <w:r w:rsidRPr="006D5148">
              <w:rPr>
                <w:sz w:val="24"/>
                <w:lang w:val="pl-PL"/>
              </w:rPr>
              <w:t>określone</w:t>
            </w:r>
            <w:r w:rsidRPr="006D5148">
              <w:rPr>
                <w:spacing w:val="-10"/>
                <w:sz w:val="24"/>
                <w:lang w:val="pl-PL"/>
              </w:rPr>
              <w:t xml:space="preserve"> </w:t>
            </w:r>
            <w:r w:rsidRPr="006D5148">
              <w:rPr>
                <w:sz w:val="24"/>
                <w:lang w:val="pl-PL"/>
              </w:rPr>
              <w:t>w</w:t>
            </w:r>
            <w:r w:rsidRPr="006D5148">
              <w:rPr>
                <w:spacing w:val="-12"/>
                <w:sz w:val="24"/>
                <w:lang w:val="pl-PL"/>
              </w:rPr>
              <w:t xml:space="preserve"> </w:t>
            </w:r>
            <w:r w:rsidRPr="006D5148">
              <w:rPr>
                <w:sz w:val="24"/>
                <w:lang w:val="pl-PL"/>
              </w:rPr>
              <w:t>pkt</w:t>
            </w:r>
            <w:r w:rsidRPr="006D5148">
              <w:rPr>
                <w:spacing w:val="-10"/>
                <w:sz w:val="24"/>
                <w:lang w:val="pl-PL"/>
              </w:rPr>
              <w:t xml:space="preserve"> </w:t>
            </w:r>
            <w:r w:rsidRPr="006D5148">
              <w:rPr>
                <w:sz w:val="24"/>
                <w:lang w:val="pl-PL"/>
              </w:rPr>
              <w:t>11.1.1.-</w:t>
            </w:r>
            <w:r w:rsidRPr="006D5148">
              <w:rPr>
                <w:spacing w:val="-12"/>
                <w:sz w:val="24"/>
                <w:lang w:val="pl-PL"/>
              </w:rPr>
              <w:t xml:space="preserve"> </w:t>
            </w:r>
            <w:r w:rsidRPr="006D5148">
              <w:rPr>
                <w:sz w:val="24"/>
                <w:lang w:val="pl-PL"/>
              </w:rPr>
              <w:t>11.1.3.,</w:t>
            </w:r>
            <w:r w:rsidRPr="006D5148">
              <w:rPr>
                <w:spacing w:val="-12"/>
                <w:sz w:val="24"/>
                <w:lang w:val="pl-PL"/>
              </w:rPr>
              <w:t xml:space="preserve"> </w:t>
            </w:r>
            <w:r w:rsidRPr="006D5148">
              <w:rPr>
                <w:sz w:val="24"/>
                <w:lang w:val="pl-PL"/>
              </w:rPr>
              <w:t>stosuje</w:t>
            </w:r>
            <w:r w:rsidRPr="006D5148">
              <w:rPr>
                <w:spacing w:val="-9"/>
                <w:sz w:val="24"/>
                <w:lang w:val="pl-PL"/>
              </w:rPr>
              <w:t xml:space="preserve"> </w:t>
            </w:r>
            <w:r w:rsidRPr="006D5148">
              <w:rPr>
                <w:sz w:val="24"/>
                <w:lang w:val="pl-PL"/>
              </w:rPr>
              <w:t>się</w:t>
            </w:r>
            <w:r w:rsidRPr="006D5148">
              <w:rPr>
                <w:spacing w:val="-12"/>
                <w:sz w:val="24"/>
                <w:lang w:val="pl-PL"/>
              </w:rPr>
              <w:t xml:space="preserve"> </w:t>
            </w:r>
            <w:r w:rsidRPr="006D5148">
              <w:rPr>
                <w:sz w:val="24"/>
                <w:lang w:val="pl-PL"/>
              </w:rPr>
              <w:t>odpowiednio</w:t>
            </w:r>
            <w:r w:rsidRPr="006D5148">
              <w:rPr>
                <w:spacing w:val="-11"/>
                <w:sz w:val="24"/>
                <w:lang w:val="pl-PL"/>
              </w:rPr>
              <w:t xml:space="preserve"> </w:t>
            </w:r>
            <w:r w:rsidRPr="006D5148">
              <w:rPr>
                <w:sz w:val="24"/>
                <w:lang w:val="pl-PL"/>
              </w:rPr>
              <w:t>w</w:t>
            </w:r>
            <w:r w:rsidRPr="006D5148">
              <w:rPr>
                <w:spacing w:val="-13"/>
                <w:sz w:val="24"/>
                <w:lang w:val="pl-PL"/>
              </w:rPr>
              <w:t xml:space="preserve"> </w:t>
            </w:r>
            <w:r w:rsidRPr="006D5148">
              <w:rPr>
                <w:sz w:val="24"/>
                <w:lang w:val="pl-PL"/>
              </w:rPr>
              <w:t>odniesieniu do farmy</w:t>
            </w:r>
            <w:r w:rsidRPr="006D5148">
              <w:rPr>
                <w:spacing w:val="-5"/>
                <w:sz w:val="24"/>
                <w:lang w:val="pl-PL"/>
              </w:rPr>
              <w:t xml:space="preserve"> </w:t>
            </w:r>
            <w:r w:rsidRPr="006D5148">
              <w:rPr>
                <w:sz w:val="24"/>
                <w:lang w:val="pl-PL"/>
              </w:rPr>
              <w:t>fotowoltaicznej.</w:t>
            </w:r>
          </w:p>
        </w:tc>
      </w:tr>
      <w:tr w:rsidR="000A290C" w:rsidRPr="006D5148" w14:paraId="2583BCC6" w14:textId="77777777" w:rsidTr="009C2BCE">
        <w:trPr>
          <w:trHeight w:val="1237"/>
        </w:trPr>
        <w:tc>
          <w:tcPr>
            <w:tcW w:w="8881" w:type="dxa"/>
            <w:gridSpan w:val="2"/>
          </w:tcPr>
          <w:p w14:paraId="6C878199" w14:textId="7C2C24FC" w:rsidR="000A290C" w:rsidRPr="006D5148" w:rsidRDefault="000A290C" w:rsidP="00BF4985">
            <w:pPr>
              <w:pStyle w:val="TableParagraph"/>
              <w:numPr>
                <w:ilvl w:val="0"/>
                <w:numId w:val="364"/>
              </w:numPr>
              <w:spacing w:before="66" w:line="259" w:lineRule="auto"/>
              <w:ind w:right="2" w:hanging="768"/>
              <w:rPr>
                <w:sz w:val="24"/>
                <w:lang w:val="pl-PL"/>
              </w:rPr>
            </w:pPr>
            <w:r w:rsidRPr="006D5148">
              <w:rPr>
                <w:sz w:val="24"/>
                <w:lang w:val="pl-PL"/>
              </w:rPr>
              <w:t xml:space="preserve">Postanowienia punktów 11.2.1 – 11.2.3. dotyczą także grup </w:t>
            </w:r>
            <w:r w:rsidRPr="006D5148">
              <w:rPr>
                <w:spacing w:val="-4"/>
                <w:sz w:val="24"/>
                <w:lang w:val="pl-PL"/>
              </w:rPr>
              <w:t>farm</w:t>
            </w:r>
            <w:r w:rsidRPr="006D5148">
              <w:rPr>
                <w:spacing w:val="52"/>
                <w:sz w:val="24"/>
                <w:lang w:val="pl-PL"/>
              </w:rPr>
              <w:t xml:space="preserve"> </w:t>
            </w:r>
            <w:r w:rsidRPr="006D5148">
              <w:rPr>
                <w:sz w:val="24"/>
                <w:lang w:val="pl-PL"/>
              </w:rPr>
              <w:t>fotowoltaicznych</w:t>
            </w:r>
            <w:r w:rsidRPr="006D5148">
              <w:rPr>
                <w:spacing w:val="-14"/>
                <w:sz w:val="24"/>
                <w:lang w:val="pl-PL"/>
              </w:rPr>
              <w:t xml:space="preserve"> </w:t>
            </w:r>
            <w:r w:rsidRPr="006D5148">
              <w:rPr>
                <w:sz w:val="24"/>
                <w:lang w:val="pl-PL"/>
              </w:rPr>
              <w:t>objętych</w:t>
            </w:r>
            <w:r w:rsidRPr="006D5148">
              <w:rPr>
                <w:spacing w:val="-14"/>
                <w:sz w:val="24"/>
                <w:lang w:val="pl-PL"/>
              </w:rPr>
              <w:t xml:space="preserve"> </w:t>
            </w:r>
            <w:r w:rsidRPr="006D5148">
              <w:rPr>
                <w:sz w:val="24"/>
                <w:lang w:val="pl-PL"/>
              </w:rPr>
              <w:t>wspólnym</w:t>
            </w:r>
            <w:r w:rsidRPr="006D5148">
              <w:rPr>
                <w:spacing w:val="-13"/>
                <w:sz w:val="24"/>
                <w:lang w:val="pl-PL"/>
              </w:rPr>
              <w:t xml:space="preserve"> </w:t>
            </w:r>
            <w:r w:rsidRPr="006D5148">
              <w:rPr>
                <w:sz w:val="24"/>
                <w:lang w:val="pl-PL"/>
              </w:rPr>
              <w:t>systemem</w:t>
            </w:r>
            <w:r w:rsidRPr="006D5148">
              <w:rPr>
                <w:spacing w:val="-14"/>
                <w:sz w:val="24"/>
                <w:lang w:val="pl-PL"/>
              </w:rPr>
              <w:t xml:space="preserve"> </w:t>
            </w:r>
            <w:r w:rsidRPr="006D5148">
              <w:rPr>
                <w:sz w:val="24"/>
                <w:lang w:val="pl-PL"/>
              </w:rPr>
              <w:t>sterowania</w:t>
            </w:r>
            <w:r w:rsidRPr="006D5148">
              <w:rPr>
                <w:spacing w:val="-14"/>
                <w:sz w:val="24"/>
                <w:lang w:val="pl-PL"/>
              </w:rPr>
              <w:t xml:space="preserve"> </w:t>
            </w:r>
            <w:r w:rsidRPr="006D5148">
              <w:rPr>
                <w:sz w:val="24"/>
                <w:lang w:val="pl-PL"/>
              </w:rPr>
              <w:t>i</w:t>
            </w:r>
            <w:r w:rsidRPr="006D5148">
              <w:rPr>
                <w:spacing w:val="-14"/>
                <w:sz w:val="24"/>
                <w:lang w:val="pl-PL"/>
              </w:rPr>
              <w:t xml:space="preserve"> </w:t>
            </w:r>
            <w:r w:rsidRPr="006D5148">
              <w:rPr>
                <w:sz w:val="24"/>
                <w:lang w:val="pl-PL"/>
              </w:rPr>
              <w:t>regulacji</w:t>
            </w:r>
            <w:r w:rsidRPr="006D5148">
              <w:rPr>
                <w:spacing w:val="-12"/>
                <w:sz w:val="24"/>
                <w:lang w:val="pl-PL"/>
              </w:rPr>
              <w:t xml:space="preserve"> </w:t>
            </w:r>
            <w:r w:rsidRPr="006D5148">
              <w:rPr>
                <w:sz w:val="24"/>
                <w:lang w:val="pl-PL"/>
              </w:rPr>
              <w:t>dostępnym w</w:t>
            </w:r>
            <w:r w:rsidRPr="006D5148">
              <w:rPr>
                <w:spacing w:val="8"/>
                <w:sz w:val="24"/>
                <w:lang w:val="pl-PL"/>
              </w:rPr>
              <w:t xml:space="preserve"> </w:t>
            </w:r>
            <w:r w:rsidRPr="006D5148">
              <w:rPr>
                <w:sz w:val="24"/>
                <w:lang w:val="pl-PL"/>
              </w:rPr>
              <w:t>ramach</w:t>
            </w:r>
            <w:r w:rsidRPr="006D5148">
              <w:rPr>
                <w:spacing w:val="9"/>
                <w:sz w:val="24"/>
                <w:lang w:val="pl-PL"/>
              </w:rPr>
              <w:t xml:space="preserve"> </w:t>
            </w:r>
            <w:r w:rsidRPr="006D5148">
              <w:rPr>
                <w:sz w:val="24"/>
                <w:lang w:val="pl-PL"/>
              </w:rPr>
              <w:t>systemu</w:t>
            </w:r>
            <w:r w:rsidRPr="006D5148">
              <w:rPr>
                <w:spacing w:val="12"/>
                <w:sz w:val="24"/>
                <w:lang w:val="pl-PL"/>
              </w:rPr>
              <w:t xml:space="preserve"> </w:t>
            </w:r>
            <w:r w:rsidRPr="006D5148">
              <w:rPr>
                <w:sz w:val="24"/>
                <w:lang w:val="pl-PL"/>
              </w:rPr>
              <w:t>zdalnego</w:t>
            </w:r>
            <w:r w:rsidRPr="006D5148">
              <w:rPr>
                <w:spacing w:val="10"/>
                <w:sz w:val="24"/>
                <w:lang w:val="pl-PL"/>
              </w:rPr>
              <w:t xml:space="preserve"> </w:t>
            </w:r>
            <w:r w:rsidRPr="006D5148">
              <w:rPr>
                <w:sz w:val="24"/>
                <w:lang w:val="pl-PL"/>
              </w:rPr>
              <w:t>sterowania</w:t>
            </w:r>
            <w:r w:rsidR="00BF4985">
              <w:rPr>
                <w:spacing w:val="11"/>
                <w:sz w:val="24"/>
                <w:lang w:val="pl-PL"/>
              </w:rPr>
              <w:t xml:space="preserve"> OSDn.</w:t>
            </w:r>
          </w:p>
        </w:tc>
      </w:tr>
    </w:tbl>
    <w:p w14:paraId="5D8FC32A" w14:textId="77777777" w:rsidR="00D91761" w:rsidRPr="006D5148" w:rsidRDefault="00D91761" w:rsidP="000E5EC5">
      <w:pPr>
        <w:spacing w:before="159"/>
        <w:ind w:left="1276" w:right="2"/>
        <w:jc w:val="both"/>
        <w:rPr>
          <w:rFonts w:cs="Times New Roman"/>
          <w:color w:val="000000"/>
          <w:szCs w:val="24"/>
        </w:rPr>
      </w:pPr>
    </w:p>
    <w:p w14:paraId="132EFA73" w14:textId="77777777" w:rsidR="005D1477" w:rsidRPr="006D5148" w:rsidRDefault="005D1477" w:rsidP="000E0A76">
      <w:pPr>
        <w:ind w:left="567" w:right="2"/>
        <w:rPr>
          <w:rFonts w:eastAsia="Times New Roman" w:cs="Times New Roman"/>
          <w:b/>
          <w:color w:val="000000"/>
          <w:szCs w:val="24"/>
          <w:u w:val="single"/>
        </w:rPr>
      </w:pPr>
    </w:p>
    <w:p w14:paraId="0F0A8492" w14:textId="77777777" w:rsidR="00572BA3" w:rsidRDefault="00572BA3" w:rsidP="000E0A76">
      <w:pPr>
        <w:rPr>
          <w:rFonts w:eastAsia="Times New Roman"/>
        </w:rPr>
      </w:pPr>
    </w:p>
    <w:p w14:paraId="3BCC3EC2" w14:textId="77777777" w:rsidR="00093D90" w:rsidRDefault="00093D90" w:rsidP="000E0A76">
      <w:pPr>
        <w:rPr>
          <w:rFonts w:eastAsia="Times New Roman"/>
        </w:rPr>
      </w:pPr>
    </w:p>
    <w:p w14:paraId="30CF06FD" w14:textId="77777777" w:rsidR="00093D90" w:rsidRDefault="00093D90" w:rsidP="000E0A76">
      <w:pPr>
        <w:rPr>
          <w:rFonts w:eastAsia="Times New Roman"/>
        </w:rPr>
      </w:pPr>
    </w:p>
    <w:p w14:paraId="26E2A2D1" w14:textId="77777777" w:rsidR="00093D90" w:rsidRDefault="00093D90" w:rsidP="000E0A76">
      <w:pPr>
        <w:rPr>
          <w:rFonts w:eastAsia="Times New Roman"/>
        </w:rPr>
      </w:pPr>
    </w:p>
    <w:p w14:paraId="3BB954B3" w14:textId="77777777" w:rsidR="00093D90" w:rsidRDefault="00093D90" w:rsidP="000E0A76">
      <w:pPr>
        <w:rPr>
          <w:rFonts w:eastAsia="Times New Roman"/>
        </w:rPr>
      </w:pPr>
    </w:p>
    <w:p w14:paraId="40D458BE" w14:textId="77777777" w:rsidR="00093D90" w:rsidRDefault="00093D90" w:rsidP="000E0A76">
      <w:pPr>
        <w:rPr>
          <w:rFonts w:eastAsia="Times New Roman"/>
        </w:rPr>
      </w:pPr>
    </w:p>
    <w:p w14:paraId="6D618539" w14:textId="77777777" w:rsidR="00093D90" w:rsidRDefault="00093D90" w:rsidP="000E0A76">
      <w:pPr>
        <w:rPr>
          <w:rFonts w:eastAsia="Times New Roman"/>
        </w:rPr>
      </w:pPr>
    </w:p>
    <w:p w14:paraId="4038ABB4" w14:textId="77777777" w:rsidR="00093D90" w:rsidRDefault="00093D90" w:rsidP="000E0A76">
      <w:pPr>
        <w:rPr>
          <w:rFonts w:eastAsia="Times New Roman"/>
        </w:rPr>
      </w:pPr>
    </w:p>
    <w:p w14:paraId="3B659E8B" w14:textId="77777777" w:rsidR="00093D90" w:rsidRDefault="00093D90" w:rsidP="000E0A76">
      <w:pPr>
        <w:rPr>
          <w:rFonts w:eastAsia="Times New Roman"/>
        </w:rPr>
      </w:pPr>
    </w:p>
    <w:p w14:paraId="0011DEFF" w14:textId="77777777" w:rsidR="00093D90" w:rsidRDefault="00093D90" w:rsidP="000E0A76">
      <w:pPr>
        <w:rPr>
          <w:rFonts w:eastAsia="Times New Roman"/>
        </w:rPr>
      </w:pPr>
    </w:p>
    <w:p w14:paraId="6C7017C0" w14:textId="77777777" w:rsidR="00093D90" w:rsidRDefault="00093D90" w:rsidP="000E0A76">
      <w:pPr>
        <w:rPr>
          <w:rFonts w:eastAsia="Times New Roman"/>
        </w:rPr>
      </w:pPr>
    </w:p>
    <w:p w14:paraId="3696D0A2" w14:textId="77777777" w:rsidR="00093D90" w:rsidRDefault="00093D90" w:rsidP="000E0A76">
      <w:pPr>
        <w:rPr>
          <w:rFonts w:eastAsia="Times New Roman"/>
        </w:rPr>
      </w:pPr>
    </w:p>
    <w:p w14:paraId="218C7C27" w14:textId="77777777" w:rsidR="00572BA3" w:rsidRDefault="00572BA3" w:rsidP="000E0A76">
      <w:pPr>
        <w:rPr>
          <w:rFonts w:eastAsia="Times New Roman"/>
        </w:rPr>
      </w:pPr>
    </w:p>
    <w:p w14:paraId="4529042C" w14:textId="77777777" w:rsidR="00F22D61" w:rsidRDefault="00F22D61" w:rsidP="00F22D61">
      <w:pPr>
        <w:pStyle w:val="Nagwek1"/>
        <w:spacing w:before="0"/>
        <w:jc w:val="both"/>
        <w:rPr>
          <w:b w:val="0"/>
          <w:bCs w:val="0"/>
          <w:sz w:val="24"/>
          <w:szCs w:val="24"/>
        </w:rPr>
      </w:pPr>
      <w:bookmarkStart w:id="148" w:name="page225"/>
      <w:bookmarkStart w:id="149" w:name="_Toc141963933"/>
      <w:bookmarkStart w:id="150" w:name="_Hlk1925829"/>
      <w:bookmarkEnd w:id="148"/>
      <w:r w:rsidRPr="002B6B2D">
        <w:rPr>
          <w:sz w:val="28"/>
        </w:rPr>
        <w:t xml:space="preserve">Załącznik nr </w:t>
      </w:r>
      <w:r>
        <w:rPr>
          <w:sz w:val="28"/>
        </w:rPr>
        <w:t xml:space="preserve">2 </w:t>
      </w:r>
      <w:r w:rsidRPr="009C101D">
        <w:rPr>
          <w:i/>
          <w:sz w:val="28"/>
        </w:rPr>
        <w:t xml:space="preserve">- </w:t>
      </w:r>
      <w:r w:rsidRPr="009C101D">
        <w:rPr>
          <w:b w:val="0"/>
          <w:i/>
          <w:sz w:val="24"/>
          <w:szCs w:val="24"/>
        </w:rPr>
        <w:t>zakres wymaganych danych podczas powiadamiania OSD przez sprzedawcę w imieniu własnym i odbiorcy końcowego o zawartej umowie sprzedaży energii elektrycznej</w:t>
      </w:r>
      <w:bookmarkEnd w:id="149"/>
      <w:r w:rsidRPr="009C101D">
        <w:rPr>
          <w:b w:val="0"/>
          <w:i/>
          <w:sz w:val="24"/>
          <w:szCs w:val="24"/>
        </w:rPr>
        <w:t xml:space="preserve"> </w:t>
      </w:r>
    </w:p>
    <w:p w14:paraId="5191F81B" w14:textId="77777777" w:rsidR="00F22D61" w:rsidRPr="00917B6D" w:rsidRDefault="00F22D61" w:rsidP="00F22D61">
      <w:pPr>
        <w:jc w:val="both"/>
        <w:rPr>
          <w:i/>
        </w:rPr>
      </w:pPr>
    </w:p>
    <w:bookmarkEnd w:id="150"/>
    <w:p w14:paraId="67E801C4" w14:textId="77777777" w:rsidR="00F22D61" w:rsidRPr="009F21BD" w:rsidRDefault="00F22D61" w:rsidP="00F22D61">
      <w:pPr>
        <w:rPr>
          <w:i/>
        </w:rPr>
      </w:pPr>
    </w:p>
    <w:p w14:paraId="4A98B3DD" w14:textId="77777777" w:rsidR="00F22D61" w:rsidRPr="009F21BD" w:rsidRDefault="00F22D61" w:rsidP="00F22D61">
      <w:pPr>
        <w:pStyle w:val="styl0"/>
      </w:pPr>
    </w:p>
    <w:p w14:paraId="5F390232" w14:textId="77777777" w:rsidR="00F22D61" w:rsidRPr="009F21BD" w:rsidRDefault="00F22D61" w:rsidP="00F22D61">
      <w:pPr>
        <w:pStyle w:val="styl0"/>
      </w:pPr>
    </w:p>
    <w:p w14:paraId="29161AFF" w14:textId="77777777" w:rsidR="00F22D61" w:rsidRPr="009F21BD" w:rsidRDefault="00F22D61" w:rsidP="00F22D61">
      <w:pPr>
        <w:pStyle w:val="styl0"/>
      </w:pPr>
    </w:p>
    <w:p w14:paraId="50167284" w14:textId="77777777" w:rsidR="00F22D61" w:rsidRPr="009F21BD" w:rsidRDefault="00F22D61" w:rsidP="00F22D61">
      <w:pPr>
        <w:pStyle w:val="styl0"/>
      </w:pPr>
    </w:p>
    <w:p w14:paraId="08340F8B" w14:textId="77777777" w:rsidR="00F22D61" w:rsidRPr="009F21BD" w:rsidRDefault="00F22D61" w:rsidP="00F22D61">
      <w:pPr>
        <w:pStyle w:val="styl0"/>
      </w:pPr>
    </w:p>
    <w:p w14:paraId="5044F5F3" w14:textId="77777777" w:rsidR="00F22D61" w:rsidRPr="009F21BD" w:rsidRDefault="00F22D61" w:rsidP="00F22D61">
      <w:pPr>
        <w:pStyle w:val="styl0"/>
      </w:pPr>
    </w:p>
    <w:p w14:paraId="009C5CCC" w14:textId="77777777" w:rsidR="00F22D61" w:rsidRPr="009F21BD" w:rsidRDefault="00F22D61" w:rsidP="00F22D61">
      <w:pPr>
        <w:pStyle w:val="styl0"/>
      </w:pPr>
    </w:p>
    <w:p w14:paraId="09A0B8B5" w14:textId="77777777" w:rsidR="00F22D61" w:rsidRPr="009F21BD" w:rsidRDefault="00F22D61" w:rsidP="00F22D61">
      <w:pPr>
        <w:pStyle w:val="styl0"/>
      </w:pPr>
    </w:p>
    <w:p w14:paraId="75DAACE0" w14:textId="77777777" w:rsidR="00F22D61" w:rsidRPr="009F21BD" w:rsidRDefault="00F22D61" w:rsidP="00F22D61">
      <w:pPr>
        <w:pStyle w:val="styl0"/>
      </w:pPr>
    </w:p>
    <w:p w14:paraId="612710C3" w14:textId="77777777" w:rsidR="00F22D61" w:rsidRPr="009F21BD" w:rsidRDefault="00F22D61" w:rsidP="00F22D61">
      <w:pPr>
        <w:pStyle w:val="styl0"/>
      </w:pPr>
    </w:p>
    <w:p w14:paraId="32BAE2FB" w14:textId="77777777" w:rsidR="00F22D61" w:rsidRPr="009F21BD" w:rsidRDefault="00F22D61" w:rsidP="00F22D61">
      <w:pPr>
        <w:pStyle w:val="styl0"/>
      </w:pPr>
    </w:p>
    <w:p w14:paraId="46A27E5E" w14:textId="77777777" w:rsidR="00F22D61" w:rsidRPr="009F21BD" w:rsidRDefault="00F22D61" w:rsidP="00F22D61">
      <w:pPr>
        <w:pStyle w:val="styl0"/>
      </w:pPr>
    </w:p>
    <w:p w14:paraId="62D6A50D" w14:textId="77777777" w:rsidR="00F22D61" w:rsidRPr="009F21BD" w:rsidRDefault="00F22D61" w:rsidP="00F22D61">
      <w:pPr>
        <w:pStyle w:val="styl0"/>
      </w:pPr>
    </w:p>
    <w:p w14:paraId="5F86D9CF" w14:textId="77777777" w:rsidR="00F22D61" w:rsidRPr="009F21BD" w:rsidRDefault="00F22D61" w:rsidP="00F22D61">
      <w:pPr>
        <w:pStyle w:val="styl0"/>
      </w:pPr>
    </w:p>
    <w:p w14:paraId="535EBE3A" w14:textId="77777777" w:rsidR="00F22D61" w:rsidRPr="009F21BD" w:rsidRDefault="00F22D61" w:rsidP="00F22D61">
      <w:pPr>
        <w:pStyle w:val="styl0"/>
      </w:pPr>
    </w:p>
    <w:p w14:paraId="74B4A3B7" w14:textId="77777777" w:rsidR="00F22D61" w:rsidRPr="009F21BD" w:rsidRDefault="00F22D61" w:rsidP="00F22D61">
      <w:pPr>
        <w:pStyle w:val="styl0"/>
      </w:pPr>
    </w:p>
    <w:p w14:paraId="50F98BDB" w14:textId="77777777" w:rsidR="00F22D61" w:rsidRPr="009F21BD" w:rsidRDefault="00F22D61" w:rsidP="00F22D61">
      <w:pPr>
        <w:pStyle w:val="styl0"/>
      </w:pPr>
    </w:p>
    <w:p w14:paraId="10772B73" w14:textId="77777777" w:rsidR="00F22D61" w:rsidRPr="009F21BD" w:rsidRDefault="00F22D61" w:rsidP="00F22D61">
      <w:pPr>
        <w:jc w:val="both"/>
        <w:rPr>
          <w:b/>
          <w:bCs/>
          <w:sz w:val="28"/>
          <w:szCs w:val="28"/>
        </w:rPr>
      </w:pPr>
      <w:r w:rsidRPr="009F21BD">
        <w:rPr>
          <w:b/>
          <w:bCs/>
          <w:sz w:val="28"/>
          <w:szCs w:val="28"/>
        </w:rPr>
        <w:t xml:space="preserve">ZAKRES WYMAGANYCH DANYCH PODCZAS POWIADAMIANIA OSD PRZEZ SPRZEDAWCĘ W IMIENIU WŁASNYM I ODBIORCY KOŃCOWEGO O ZAWARTEJ UMOWIE SPRZEDAŻY ENERGII ELEKTRYCZNEJ </w:t>
      </w:r>
    </w:p>
    <w:p w14:paraId="46CA9AEA" w14:textId="77777777" w:rsidR="00F22D61" w:rsidRDefault="00F22D61">
      <w:pPr>
        <w:spacing w:line="0" w:lineRule="atLeast"/>
        <w:ind w:left="7680"/>
        <w:rPr>
          <w:rFonts w:eastAsia="Times New Roman"/>
          <w:i/>
        </w:rPr>
      </w:pPr>
    </w:p>
    <w:p w14:paraId="65A5EF6D" w14:textId="77777777" w:rsidR="00F22D61" w:rsidRDefault="00F22D61">
      <w:pPr>
        <w:spacing w:line="0" w:lineRule="atLeast"/>
        <w:ind w:left="7680"/>
        <w:rPr>
          <w:rFonts w:eastAsia="Times New Roman"/>
          <w:i/>
        </w:rPr>
      </w:pPr>
    </w:p>
    <w:p w14:paraId="29DF226F" w14:textId="77777777" w:rsidR="00F22D61" w:rsidRDefault="00F22D61">
      <w:pPr>
        <w:spacing w:line="0" w:lineRule="atLeast"/>
        <w:ind w:left="7680"/>
        <w:rPr>
          <w:rFonts w:eastAsia="Times New Roman"/>
          <w:i/>
        </w:rPr>
      </w:pPr>
    </w:p>
    <w:p w14:paraId="7038BD22" w14:textId="77777777" w:rsidR="00F22D61" w:rsidRDefault="00F22D61">
      <w:pPr>
        <w:spacing w:line="0" w:lineRule="atLeast"/>
        <w:ind w:left="7680"/>
        <w:rPr>
          <w:rFonts w:eastAsia="Times New Roman"/>
          <w:i/>
        </w:rPr>
      </w:pPr>
    </w:p>
    <w:p w14:paraId="4BBCC620" w14:textId="77777777" w:rsidR="00F22D61" w:rsidRDefault="00F22D61">
      <w:pPr>
        <w:spacing w:line="0" w:lineRule="atLeast"/>
        <w:ind w:left="7680"/>
        <w:rPr>
          <w:rFonts w:eastAsia="Times New Roman"/>
          <w:i/>
        </w:rPr>
      </w:pPr>
    </w:p>
    <w:p w14:paraId="24098E5F" w14:textId="77777777" w:rsidR="00F22D61" w:rsidRDefault="00F22D61">
      <w:pPr>
        <w:spacing w:line="0" w:lineRule="atLeast"/>
        <w:ind w:left="7680"/>
        <w:rPr>
          <w:rFonts w:eastAsia="Times New Roman"/>
          <w:i/>
        </w:rPr>
      </w:pPr>
    </w:p>
    <w:p w14:paraId="1DA796B3" w14:textId="77777777" w:rsidR="00F22D61" w:rsidRDefault="00F22D61">
      <w:pPr>
        <w:spacing w:line="0" w:lineRule="atLeast"/>
        <w:ind w:left="7680"/>
        <w:rPr>
          <w:rFonts w:eastAsia="Times New Roman"/>
          <w:i/>
        </w:rPr>
      </w:pPr>
    </w:p>
    <w:p w14:paraId="414D0FBE" w14:textId="77777777" w:rsidR="00F22D61" w:rsidRDefault="00F22D61">
      <w:pPr>
        <w:spacing w:line="0" w:lineRule="atLeast"/>
        <w:ind w:left="7680"/>
        <w:rPr>
          <w:rFonts w:eastAsia="Times New Roman"/>
          <w:i/>
        </w:rPr>
      </w:pPr>
    </w:p>
    <w:p w14:paraId="4461C723" w14:textId="77777777" w:rsidR="00F22D61" w:rsidRDefault="00F22D61">
      <w:pPr>
        <w:spacing w:line="0" w:lineRule="atLeast"/>
        <w:ind w:left="7680"/>
        <w:rPr>
          <w:rFonts w:eastAsia="Times New Roman"/>
          <w:i/>
        </w:rPr>
      </w:pPr>
    </w:p>
    <w:p w14:paraId="76215EC1" w14:textId="4A1B2634" w:rsidR="00F22D61" w:rsidRDefault="00F22D61">
      <w:pPr>
        <w:spacing w:line="0" w:lineRule="atLeast"/>
        <w:ind w:left="7680"/>
        <w:rPr>
          <w:rFonts w:eastAsia="Times New Roman"/>
          <w:i/>
        </w:rPr>
      </w:pPr>
    </w:p>
    <w:p w14:paraId="0E9581B8" w14:textId="189E27BE" w:rsidR="004C16F8" w:rsidRDefault="004C16F8">
      <w:pPr>
        <w:spacing w:line="0" w:lineRule="atLeast"/>
        <w:ind w:left="7680"/>
        <w:rPr>
          <w:rFonts w:eastAsia="Times New Roman"/>
          <w:i/>
        </w:rPr>
      </w:pPr>
    </w:p>
    <w:p w14:paraId="06676AD6" w14:textId="487A39CE" w:rsidR="004C16F8" w:rsidRDefault="004C16F8">
      <w:pPr>
        <w:spacing w:line="0" w:lineRule="atLeast"/>
        <w:ind w:left="7680"/>
        <w:rPr>
          <w:rFonts w:eastAsia="Times New Roman"/>
          <w:i/>
        </w:rPr>
      </w:pPr>
    </w:p>
    <w:p w14:paraId="1408782B" w14:textId="23F6C56A" w:rsidR="004C16F8" w:rsidRDefault="004C16F8">
      <w:pPr>
        <w:spacing w:line="0" w:lineRule="atLeast"/>
        <w:ind w:left="7680"/>
        <w:rPr>
          <w:rFonts w:eastAsia="Times New Roman"/>
          <w:i/>
        </w:rPr>
      </w:pPr>
    </w:p>
    <w:p w14:paraId="4D004B66" w14:textId="77777777" w:rsidR="004C16F8" w:rsidRDefault="004C16F8">
      <w:pPr>
        <w:spacing w:line="0" w:lineRule="atLeast"/>
        <w:ind w:left="7680"/>
        <w:rPr>
          <w:rFonts w:eastAsia="Times New Roman"/>
          <w:i/>
        </w:rPr>
      </w:pPr>
    </w:p>
    <w:p w14:paraId="793D1888" w14:textId="77777777" w:rsidR="00F22D61" w:rsidRDefault="00F22D61">
      <w:pPr>
        <w:spacing w:line="0" w:lineRule="atLeast"/>
        <w:ind w:left="7680"/>
        <w:rPr>
          <w:rFonts w:eastAsia="Times New Roman"/>
          <w:i/>
        </w:rPr>
      </w:pPr>
    </w:p>
    <w:p w14:paraId="37E31484" w14:textId="77777777" w:rsidR="00F22D61" w:rsidRDefault="00F22D61">
      <w:pPr>
        <w:spacing w:line="0" w:lineRule="atLeast"/>
        <w:ind w:left="7680"/>
        <w:rPr>
          <w:rFonts w:eastAsia="Times New Roman"/>
          <w:i/>
        </w:rPr>
      </w:pPr>
    </w:p>
    <w:p w14:paraId="1D96D037" w14:textId="77777777" w:rsidR="00F22D61" w:rsidRDefault="00F22D61">
      <w:pPr>
        <w:spacing w:line="0" w:lineRule="atLeast"/>
        <w:ind w:left="7680"/>
        <w:rPr>
          <w:rFonts w:eastAsia="Times New Roman"/>
          <w:i/>
        </w:rPr>
      </w:pPr>
    </w:p>
    <w:p w14:paraId="3DBE93AA" w14:textId="77777777" w:rsidR="00F22D61" w:rsidRDefault="00F22D61">
      <w:pPr>
        <w:spacing w:line="0" w:lineRule="atLeast"/>
        <w:ind w:left="7680"/>
        <w:rPr>
          <w:rFonts w:eastAsia="Times New Roman"/>
          <w:i/>
        </w:rPr>
      </w:pPr>
    </w:p>
    <w:p w14:paraId="5333B7C0" w14:textId="77777777" w:rsidR="00F22D61" w:rsidRDefault="00F22D61">
      <w:pPr>
        <w:spacing w:line="0" w:lineRule="atLeast"/>
        <w:ind w:left="7680"/>
        <w:rPr>
          <w:rFonts w:eastAsia="Times New Roman"/>
          <w:i/>
        </w:rPr>
      </w:pPr>
    </w:p>
    <w:p w14:paraId="021D162C" w14:textId="77777777" w:rsidR="00F22D61" w:rsidRDefault="00F22D61">
      <w:pPr>
        <w:spacing w:line="0" w:lineRule="atLeast"/>
        <w:ind w:left="7680"/>
        <w:rPr>
          <w:rFonts w:eastAsia="Times New Roman"/>
          <w:i/>
        </w:rPr>
      </w:pPr>
    </w:p>
    <w:p w14:paraId="30E84C29" w14:textId="77777777" w:rsidR="00F22D61" w:rsidRDefault="00F22D61">
      <w:pPr>
        <w:spacing w:line="0" w:lineRule="atLeast"/>
        <w:ind w:left="7680"/>
        <w:rPr>
          <w:rFonts w:eastAsia="Times New Roman"/>
          <w:i/>
        </w:rPr>
      </w:pPr>
    </w:p>
    <w:p w14:paraId="5ABE80E2" w14:textId="77777777" w:rsidR="00F22D61" w:rsidRDefault="00F22D61">
      <w:pPr>
        <w:spacing w:line="0" w:lineRule="atLeast"/>
        <w:ind w:left="7680"/>
        <w:rPr>
          <w:rFonts w:eastAsia="Times New Roman"/>
          <w:i/>
        </w:rPr>
      </w:pPr>
    </w:p>
    <w:p w14:paraId="59635397" w14:textId="77777777" w:rsidR="00F22D61" w:rsidRDefault="00F22D61">
      <w:pPr>
        <w:spacing w:line="0" w:lineRule="atLeast"/>
        <w:ind w:left="7680"/>
        <w:rPr>
          <w:rFonts w:eastAsia="Times New Roman"/>
          <w:i/>
        </w:rPr>
      </w:pPr>
    </w:p>
    <w:p w14:paraId="224D609D" w14:textId="77777777" w:rsidR="00F22D61" w:rsidRPr="009F21BD" w:rsidRDefault="00F22D61" w:rsidP="00F22D61">
      <w:pPr>
        <w:jc w:val="center"/>
        <w:rPr>
          <w:b/>
          <w:bCs/>
          <w:sz w:val="28"/>
          <w:szCs w:val="28"/>
        </w:rPr>
      </w:pPr>
      <w:r w:rsidRPr="009F21BD">
        <w:rPr>
          <w:b/>
          <w:bCs/>
          <w:sz w:val="28"/>
          <w:szCs w:val="28"/>
        </w:rPr>
        <w:t>Zakres wymaganych danych podczas powiadamiania OSD przez sprzedawcę w imieniu własnym i odbiorcy końcowego o zawartej umowie sprzedaży energii elektrycznej (wzór formularza)</w:t>
      </w:r>
    </w:p>
    <w:p w14:paraId="0D802B99" w14:textId="77777777" w:rsidR="00F22D61" w:rsidRPr="009F21BD" w:rsidRDefault="00F22D61" w:rsidP="00F22D61">
      <w:pPr>
        <w:rPr>
          <w:b/>
          <w:bCs/>
          <w:sz w:val="28"/>
          <w:szCs w:val="28"/>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7"/>
        <w:gridCol w:w="8210"/>
      </w:tblGrid>
      <w:tr w:rsidR="00F22D61" w:rsidRPr="009F21BD" w14:paraId="1C548664" w14:textId="77777777" w:rsidTr="00C53CB9">
        <w:tc>
          <w:tcPr>
            <w:tcW w:w="959" w:type="dxa"/>
            <w:shd w:val="clear" w:color="auto" w:fill="auto"/>
          </w:tcPr>
          <w:p w14:paraId="091547C7" w14:textId="77777777" w:rsidR="00F22D61" w:rsidRPr="009F21BD" w:rsidRDefault="00F22D61" w:rsidP="00C53CB9">
            <w:pPr>
              <w:jc w:val="center"/>
              <w:rPr>
                <w:b/>
                <w:bCs/>
                <w:sz w:val="20"/>
              </w:rPr>
            </w:pPr>
            <w:r w:rsidRPr="009F21BD">
              <w:rPr>
                <w:b/>
                <w:bCs/>
                <w:sz w:val="20"/>
              </w:rPr>
              <w:t>Pozycja nr</w:t>
            </w:r>
          </w:p>
        </w:tc>
        <w:tc>
          <w:tcPr>
            <w:tcW w:w="8267" w:type="dxa"/>
            <w:shd w:val="clear" w:color="auto" w:fill="auto"/>
          </w:tcPr>
          <w:p w14:paraId="106F63CE" w14:textId="77777777" w:rsidR="00F22D61" w:rsidRPr="009F21BD" w:rsidRDefault="00F22D61" w:rsidP="00C53CB9">
            <w:pPr>
              <w:jc w:val="center"/>
              <w:rPr>
                <w:b/>
                <w:bCs/>
                <w:sz w:val="20"/>
              </w:rPr>
            </w:pPr>
            <w:r w:rsidRPr="009F21BD">
              <w:rPr>
                <w:b/>
                <w:bCs/>
                <w:sz w:val="20"/>
              </w:rPr>
              <w:t>Zawartość</w:t>
            </w:r>
          </w:p>
        </w:tc>
      </w:tr>
      <w:tr w:rsidR="00F22D61" w:rsidRPr="009F21BD" w14:paraId="5B6A3267" w14:textId="77777777" w:rsidTr="00C53CB9">
        <w:tc>
          <w:tcPr>
            <w:tcW w:w="959" w:type="dxa"/>
            <w:shd w:val="clear" w:color="auto" w:fill="auto"/>
          </w:tcPr>
          <w:p w14:paraId="71B478C6" w14:textId="77777777" w:rsidR="00F22D61" w:rsidRPr="009F21BD" w:rsidRDefault="00F22D61">
            <w:pPr>
              <w:numPr>
                <w:ilvl w:val="0"/>
                <w:numId w:val="180"/>
              </w:numPr>
              <w:tabs>
                <w:tab w:val="center" w:pos="4536"/>
                <w:tab w:val="right" w:pos="9072"/>
              </w:tabs>
              <w:spacing w:before="120"/>
              <w:ind w:hanging="720"/>
              <w:rPr>
                <w:bCs/>
                <w:sz w:val="20"/>
              </w:rPr>
            </w:pPr>
          </w:p>
        </w:tc>
        <w:tc>
          <w:tcPr>
            <w:tcW w:w="8267" w:type="dxa"/>
            <w:shd w:val="clear" w:color="auto" w:fill="auto"/>
          </w:tcPr>
          <w:p w14:paraId="338A4AF4" w14:textId="77777777" w:rsidR="00F22D61" w:rsidRPr="009F21BD" w:rsidRDefault="00F22D61" w:rsidP="00C53CB9">
            <w:pPr>
              <w:rPr>
                <w:bCs/>
                <w:sz w:val="20"/>
              </w:rPr>
            </w:pPr>
            <w:r w:rsidRPr="009F21BD">
              <w:rPr>
                <w:bCs/>
                <w:sz w:val="20"/>
              </w:rPr>
              <w:t>Data powiadomienia</w:t>
            </w:r>
          </w:p>
        </w:tc>
      </w:tr>
      <w:tr w:rsidR="00F22D61" w:rsidRPr="009F21BD" w14:paraId="7CA4CB70" w14:textId="77777777" w:rsidTr="00C53CB9">
        <w:tc>
          <w:tcPr>
            <w:tcW w:w="959" w:type="dxa"/>
            <w:shd w:val="clear" w:color="auto" w:fill="auto"/>
          </w:tcPr>
          <w:p w14:paraId="141C895D" w14:textId="77777777" w:rsidR="00F22D61" w:rsidRPr="009F21BD" w:rsidRDefault="00F22D61">
            <w:pPr>
              <w:numPr>
                <w:ilvl w:val="0"/>
                <w:numId w:val="180"/>
              </w:numPr>
              <w:tabs>
                <w:tab w:val="center" w:pos="4536"/>
                <w:tab w:val="right" w:pos="9072"/>
              </w:tabs>
              <w:spacing w:before="120"/>
              <w:ind w:hanging="720"/>
              <w:rPr>
                <w:bCs/>
                <w:sz w:val="20"/>
              </w:rPr>
            </w:pPr>
          </w:p>
        </w:tc>
        <w:tc>
          <w:tcPr>
            <w:tcW w:w="8267" w:type="dxa"/>
            <w:shd w:val="clear" w:color="auto" w:fill="auto"/>
          </w:tcPr>
          <w:p w14:paraId="25CE7680" w14:textId="77777777" w:rsidR="00F22D61" w:rsidRPr="009F21BD" w:rsidRDefault="00F22D61" w:rsidP="00C53CB9">
            <w:pPr>
              <w:rPr>
                <w:bCs/>
                <w:sz w:val="20"/>
              </w:rPr>
            </w:pPr>
            <w:r w:rsidRPr="009F21BD">
              <w:rPr>
                <w:bCs/>
                <w:sz w:val="20"/>
              </w:rPr>
              <w:t>Miejscowość</w:t>
            </w:r>
          </w:p>
        </w:tc>
      </w:tr>
      <w:tr w:rsidR="00F22D61" w:rsidRPr="009F21BD" w14:paraId="670D1A60" w14:textId="77777777" w:rsidTr="00C53CB9">
        <w:tc>
          <w:tcPr>
            <w:tcW w:w="959" w:type="dxa"/>
            <w:shd w:val="clear" w:color="auto" w:fill="auto"/>
          </w:tcPr>
          <w:p w14:paraId="591D77B4" w14:textId="77777777" w:rsidR="00F22D61" w:rsidRPr="009F21BD" w:rsidRDefault="00F22D61" w:rsidP="00C53CB9">
            <w:pPr>
              <w:ind w:left="720" w:hanging="720"/>
              <w:rPr>
                <w:bCs/>
                <w:sz w:val="20"/>
              </w:rPr>
            </w:pPr>
            <w:r w:rsidRPr="009F21BD">
              <w:rPr>
                <w:bCs/>
                <w:sz w:val="20"/>
              </w:rPr>
              <w:t>3.</w:t>
            </w:r>
          </w:p>
        </w:tc>
        <w:tc>
          <w:tcPr>
            <w:tcW w:w="8267" w:type="dxa"/>
            <w:shd w:val="clear" w:color="auto" w:fill="auto"/>
          </w:tcPr>
          <w:p w14:paraId="5A862382" w14:textId="77777777" w:rsidR="00F22D61" w:rsidRPr="009F21BD" w:rsidRDefault="00F22D61" w:rsidP="00C53CB9">
            <w:pPr>
              <w:rPr>
                <w:b/>
                <w:bCs/>
                <w:sz w:val="20"/>
              </w:rPr>
            </w:pPr>
            <w:r w:rsidRPr="009F21BD">
              <w:rPr>
                <w:b/>
                <w:bCs/>
                <w:sz w:val="20"/>
              </w:rPr>
              <w:t>Dane sprzedawcy</w:t>
            </w:r>
          </w:p>
        </w:tc>
      </w:tr>
      <w:tr w:rsidR="00F22D61" w:rsidRPr="009F21BD" w14:paraId="3ECE96A9" w14:textId="77777777" w:rsidTr="00C53CB9">
        <w:tc>
          <w:tcPr>
            <w:tcW w:w="959" w:type="dxa"/>
            <w:shd w:val="clear" w:color="auto" w:fill="auto"/>
          </w:tcPr>
          <w:p w14:paraId="7CB9C125" w14:textId="77777777" w:rsidR="00F22D61" w:rsidRPr="009F21BD" w:rsidRDefault="00F22D61" w:rsidP="00C53CB9">
            <w:pPr>
              <w:ind w:left="360"/>
              <w:rPr>
                <w:bCs/>
                <w:sz w:val="20"/>
              </w:rPr>
            </w:pPr>
            <w:r w:rsidRPr="009F21BD">
              <w:rPr>
                <w:bCs/>
                <w:sz w:val="20"/>
              </w:rPr>
              <w:t>3.1.</w:t>
            </w:r>
          </w:p>
        </w:tc>
        <w:tc>
          <w:tcPr>
            <w:tcW w:w="8267" w:type="dxa"/>
            <w:shd w:val="clear" w:color="auto" w:fill="auto"/>
          </w:tcPr>
          <w:p w14:paraId="7D339456" w14:textId="77777777" w:rsidR="00F22D61" w:rsidRPr="009F21BD" w:rsidRDefault="00F22D61" w:rsidP="00C53CB9">
            <w:pPr>
              <w:rPr>
                <w:bCs/>
                <w:sz w:val="20"/>
              </w:rPr>
            </w:pPr>
            <w:r w:rsidRPr="009F21BD">
              <w:rPr>
                <w:bCs/>
                <w:sz w:val="20"/>
              </w:rPr>
              <w:t xml:space="preserve">     nazwa </w:t>
            </w:r>
          </w:p>
        </w:tc>
      </w:tr>
      <w:tr w:rsidR="00F22D61" w:rsidRPr="009F21BD" w14:paraId="697DCD4C" w14:textId="77777777" w:rsidTr="00C53CB9">
        <w:tc>
          <w:tcPr>
            <w:tcW w:w="959" w:type="dxa"/>
            <w:shd w:val="clear" w:color="auto" w:fill="auto"/>
          </w:tcPr>
          <w:p w14:paraId="1676AF22" w14:textId="77777777" w:rsidR="00F22D61" w:rsidRPr="009F21BD" w:rsidRDefault="00F22D61" w:rsidP="00C53CB9">
            <w:pPr>
              <w:ind w:left="80"/>
              <w:rPr>
                <w:bCs/>
                <w:sz w:val="20"/>
              </w:rPr>
            </w:pPr>
            <w:r w:rsidRPr="009F21BD">
              <w:rPr>
                <w:bCs/>
                <w:sz w:val="20"/>
              </w:rPr>
              <w:t xml:space="preserve">      3.2.</w:t>
            </w:r>
          </w:p>
        </w:tc>
        <w:tc>
          <w:tcPr>
            <w:tcW w:w="8267" w:type="dxa"/>
            <w:shd w:val="clear" w:color="auto" w:fill="auto"/>
          </w:tcPr>
          <w:p w14:paraId="622967BE" w14:textId="77777777" w:rsidR="00F22D61" w:rsidRPr="009F21BD" w:rsidRDefault="00F22D61" w:rsidP="00C53CB9">
            <w:pPr>
              <w:rPr>
                <w:bCs/>
                <w:sz w:val="20"/>
              </w:rPr>
            </w:pPr>
            <w:r w:rsidRPr="009F21BD">
              <w:rPr>
                <w:bCs/>
                <w:sz w:val="20"/>
              </w:rPr>
              <w:t xml:space="preserve">      kod nadany przez OSP lub OSD</w:t>
            </w:r>
            <w:r>
              <w:rPr>
                <w:bCs/>
                <w:sz w:val="20"/>
              </w:rPr>
              <w:t>p</w:t>
            </w:r>
            <w:r w:rsidRPr="009F21BD">
              <w:rPr>
                <w:bCs/>
                <w:sz w:val="20"/>
              </w:rPr>
              <w:t xml:space="preserve"> (w przypadku</w:t>
            </w:r>
            <w:r w:rsidR="00044C15">
              <w:rPr>
                <w:bCs/>
                <w:sz w:val="20"/>
              </w:rPr>
              <w:t>,</w:t>
            </w:r>
            <w:r w:rsidRPr="009F21BD">
              <w:rPr>
                <w:bCs/>
                <w:sz w:val="20"/>
              </w:rPr>
              <w:t xml:space="preserve"> kiedy OSD</w:t>
            </w:r>
            <w:r>
              <w:rPr>
                <w:bCs/>
                <w:sz w:val="20"/>
              </w:rPr>
              <w:t>p</w:t>
            </w:r>
            <w:r w:rsidRPr="009F21BD">
              <w:rPr>
                <w:bCs/>
                <w:sz w:val="20"/>
              </w:rPr>
              <w:t xml:space="preserve"> nadał taki kod albo stosuje kod</w:t>
            </w:r>
            <w:r>
              <w:rPr>
                <w:bCs/>
                <w:sz w:val="20"/>
              </w:rPr>
              <w:t xml:space="preserve"> </w:t>
            </w:r>
            <w:r w:rsidRPr="009F21BD">
              <w:rPr>
                <w:bCs/>
                <w:sz w:val="20"/>
              </w:rPr>
              <w:t>nadany przez OSP)</w:t>
            </w:r>
          </w:p>
        </w:tc>
      </w:tr>
      <w:tr w:rsidR="00F22D61" w:rsidRPr="009F21BD" w14:paraId="228622B0" w14:textId="77777777" w:rsidTr="00C53CB9">
        <w:tc>
          <w:tcPr>
            <w:tcW w:w="959" w:type="dxa"/>
            <w:shd w:val="clear" w:color="auto" w:fill="auto"/>
          </w:tcPr>
          <w:p w14:paraId="1A39BE52" w14:textId="77777777" w:rsidR="00F22D61" w:rsidRPr="009F21BD" w:rsidRDefault="00F22D61" w:rsidP="00C53CB9">
            <w:pPr>
              <w:rPr>
                <w:bCs/>
                <w:sz w:val="20"/>
              </w:rPr>
            </w:pPr>
            <w:r>
              <w:rPr>
                <w:bCs/>
                <w:sz w:val="20"/>
              </w:rPr>
              <w:t xml:space="preserve">4. </w:t>
            </w:r>
          </w:p>
        </w:tc>
        <w:tc>
          <w:tcPr>
            <w:tcW w:w="8267" w:type="dxa"/>
            <w:shd w:val="clear" w:color="auto" w:fill="auto"/>
          </w:tcPr>
          <w:p w14:paraId="3446FDDF" w14:textId="77777777" w:rsidR="00F22D61" w:rsidRPr="009F21BD" w:rsidRDefault="00F22D61" w:rsidP="00C53CB9">
            <w:pPr>
              <w:rPr>
                <w:b/>
                <w:bCs/>
                <w:sz w:val="20"/>
              </w:rPr>
            </w:pPr>
            <w:r>
              <w:rPr>
                <w:b/>
                <w:bCs/>
                <w:sz w:val="20"/>
              </w:rPr>
              <w:t>Nazwa sprzedawcy rezerwowego</w:t>
            </w:r>
          </w:p>
        </w:tc>
      </w:tr>
      <w:tr w:rsidR="00F22D61" w:rsidRPr="009F21BD" w14:paraId="6DE1C2A5" w14:textId="77777777" w:rsidTr="00C53CB9">
        <w:tc>
          <w:tcPr>
            <w:tcW w:w="959" w:type="dxa"/>
            <w:shd w:val="clear" w:color="auto" w:fill="auto"/>
          </w:tcPr>
          <w:p w14:paraId="0EED8924" w14:textId="77777777" w:rsidR="00F22D61" w:rsidRPr="009F21BD" w:rsidRDefault="00F22D61" w:rsidP="00C53CB9">
            <w:pPr>
              <w:rPr>
                <w:bCs/>
                <w:sz w:val="20"/>
              </w:rPr>
            </w:pPr>
            <w:r>
              <w:rPr>
                <w:bCs/>
                <w:sz w:val="20"/>
              </w:rPr>
              <w:t>5</w:t>
            </w:r>
            <w:r w:rsidRPr="009F21BD">
              <w:rPr>
                <w:bCs/>
                <w:sz w:val="20"/>
              </w:rPr>
              <w:t>.</w:t>
            </w:r>
          </w:p>
        </w:tc>
        <w:tc>
          <w:tcPr>
            <w:tcW w:w="8267" w:type="dxa"/>
            <w:shd w:val="clear" w:color="auto" w:fill="auto"/>
          </w:tcPr>
          <w:p w14:paraId="49B2DD54" w14:textId="77777777" w:rsidR="00F22D61" w:rsidRPr="009F21BD" w:rsidRDefault="00F22D61" w:rsidP="00C53CB9">
            <w:pPr>
              <w:rPr>
                <w:b/>
                <w:bCs/>
                <w:sz w:val="20"/>
              </w:rPr>
            </w:pPr>
            <w:r w:rsidRPr="009F21BD">
              <w:rPr>
                <w:b/>
                <w:bCs/>
                <w:sz w:val="20"/>
              </w:rPr>
              <w:t>Dane URD (odbiorcy końcowego)</w:t>
            </w:r>
          </w:p>
        </w:tc>
      </w:tr>
      <w:tr w:rsidR="00F22D61" w:rsidRPr="009F21BD" w14:paraId="77628B42" w14:textId="77777777" w:rsidTr="00C53CB9">
        <w:tc>
          <w:tcPr>
            <w:tcW w:w="959" w:type="dxa"/>
            <w:shd w:val="clear" w:color="auto" w:fill="auto"/>
          </w:tcPr>
          <w:p w14:paraId="08F519B3" w14:textId="77777777" w:rsidR="00F22D61" w:rsidRPr="009F21BD" w:rsidRDefault="00F22D61" w:rsidP="00C53CB9">
            <w:pPr>
              <w:ind w:firstLine="80"/>
              <w:rPr>
                <w:bCs/>
                <w:sz w:val="20"/>
              </w:rPr>
            </w:pPr>
            <w:r>
              <w:rPr>
                <w:bCs/>
                <w:sz w:val="20"/>
              </w:rPr>
              <w:t xml:space="preserve">      5</w:t>
            </w:r>
            <w:r w:rsidRPr="009F21BD">
              <w:rPr>
                <w:bCs/>
                <w:sz w:val="20"/>
              </w:rPr>
              <w:t>.1.</w:t>
            </w:r>
          </w:p>
        </w:tc>
        <w:tc>
          <w:tcPr>
            <w:tcW w:w="8267" w:type="dxa"/>
            <w:shd w:val="clear" w:color="auto" w:fill="auto"/>
          </w:tcPr>
          <w:p w14:paraId="3DE78EEA" w14:textId="77777777" w:rsidR="00F22D61" w:rsidRPr="009F21BD" w:rsidRDefault="00F22D61" w:rsidP="00C53CB9">
            <w:pPr>
              <w:rPr>
                <w:bCs/>
                <w:sz w:val="20"/>
              </w:rPr>
            </w:pPr>
            <w:r w:rsidRPr="009F21BD">
              <w:rPr>
                <w:bCs/>
                <w:sz w:val="20"/>
              </w:rPr>
              <w:t xml:space="preserve">     Nazwa</w:t>
            </w:r>
          </w:p>
        </w:tc>
      </w:tr>
      <w:tr w:rsidR="00F22D61" w:rsidRPr="009F21BD" w14:paraId="4910B3E5" w14:textId="77777777" w:rsidTr="00C53CB9">
        <w:tc>
          <w:tcPr>
            <w:tcW w:w="959" w:type="dxa"/>
            <w:shd w:val="clear" w:color="auto" w:fill="auto"/>
          </w:tcPr>
          <w:p w14:paraId="1A856488" w14:textId="77777777" w:rsidR="00F22D61" w:rsidRPr="009F21BD" w:rsidRDefault="00F22D61" w:rsidP="00C53CB9">
            <w:pPr>
              <w:ind w:firstLine="80"/>
              <w:rPr>
                <w:bCs/>
                <w:sz w:val="20"/>
              </w:rPr>
            </w:pPr>
            <w:r>
              <w:rPr>
                <w:bCs/>
                <w:sz w:val="20"/>
              </w:rPr>
              <w:t xml:space="preserve">      5</w:t>
            </w:r>
            <w:r w:rsidRPr="009F21BD">
              <w:rPr>
                <w:bCs/>
                <w:sz w:val="20"/>
              </w:rPr>
              <w:t>.2.</w:t>
            </w:r>
          </w:p>
        </w:tc>
        <w:tc>
          <w:tcPr>
            <w:tcW w:w="8267" w:type="dxa"/>
            <w:shd w:val="clear" w:color="auto" w:fill="auto"/>
          </w:tcPr>
          <w:p w14:paraId="0A6E6B22" w14:textId="77777777" w:rsidR="00F22D61" w:rsidRPr="009F21BD" w:rsidRDefault="00F22D61" w:rsidP="00C53CB9">
            <w:pPr>
              <w:rPr>
                <w:bCs/>
                <w:sz w:val="20"/>
              </w:rPr>
            </w:pPr>
            <w:r w:rsidRPr="009F21BD">
              <w:rPr>
                <w:bCs/>
                <w:sz w:val="20"/>
              </w:rPr>
              <w:t xml:space="preserve">     kod pocztowy</w:t>
            </w:r>
          </w:p>
        </w:tc>
      </w:tr>
      <w:tr w:rsidR="00F22D61" w:rsidRPr="009F21BD" w14:paraId="14C41A47" w14:textId="77777777" w:rsidTr="00C53CB9">
        <w:tc>
          <w:tcPr>
            <w:tcW w:w="959" w:type="dxa"/>
            <w:shd w:val="clear" w:color="auto" w:fill="auto"/>
          </w:tcPr>
          <w:p w14:paraId="20D2290B" w14:textId="77777777" w:rsidR="00F22D61" w:rsidRPr="009F21BD" w:rsidRDefault="00F22D61" w:rsidP="00C53CB9">
            <w:pPr>
              <w:ind w:firstLine="80"/>
              <w:rPr>
                <w:bCs/>
                <w:sz w:val="20"/>
              </w:rPr>
            </w:pPr>
            <w:r>
              <w:rPr>
                <w:bCs/>
                <w:sz w:val="20"/>
              </w:rPr>
              <w:t xml:space="preserve">      5</w:t>
            </w:r>
            <w:r w:rsidRPr="009F21BD">
              <w:rPr>
                <w:bCs/>
                <w:sz w:val="20"/>
              </w:rPr>
              <w:t>.3.</w:t>
            </w:r>
          </w:p>
        </w:tc>
        <w:tc>
          <w:tcPr>
            <w:tcW w:w="8267" w:type="dxa"/>
            <w:shd w:val="clear" w:color="auto" w:fill="auto"/>
          </w:tcPr>
          <w:p w14:paraId="397D3E19" w14:textId="77777777" w:rsidR="00F22D61" w:rsidRPr="009F21BD" w:rsidRDefault="00F22D61" w:rsidP="00C53CB9">
            <w:pPr>
              <w:rPr>
                <w:bCs/>
                <w:sz w:val="20"/>
              </w:rPr>
            </w:pPr>
            <w:r w:rsidRPr="009F21BD">
              <w:rPr>
                <w:bCs/>
                <w:sz w:val="20"/>
              </w:rPr>
              <w:t xml:space="preserve">     Miejscowość</w:t>
            </w:r>
          </w:p>
        </w:tc>
      </w:tr>
      <w:tr w:rsidR="00F22D61" w:rsidRPr="009F21BD" w14:paraId="3632C9A4" w14:textId="77777777" w:rsidTr="00C53CB9">
        <w:tc>
          <w:tcPr>
            <w:tcW w:w="959" w:type="dxa"/>
            <w:shd w:val="clear" w:color="auto" w:fill="auto"/>
          </w:tcPr>
          <w:p w14:paraId="4230DD6D" w14:textId="77777777" w:rsidR="00F22D61" w:rsidRPr="009F21BD" w:rsidRDefault="00F22D61" w:rsidP="00C53CB9">
            <w:pPr>
              <w:ind w:firstLine="80"/>
              <w:rPr>
                <w:bCs/>
                <w:sz w:val="20"/>
              </w:rPr>
            </w:pPr>
            <w:r>
              <w:rPr>
                <w:bCs/>
                <w:sz w:val="20"/>
              </w:rPr>
              <w:t xml:space="preserve">      5</w:t>
            </w:r>
            <w:r w:rsidRPr="009F21BD">
              <w:rPr>
                <w:bCs/>
                <w:sz w:val="20"/>
              </w:rPr>
              <w:t>.4.</w:t>
            </w:r>
          </w:p>
        </w:tc>
        <w:tc>
          <w:tcPr>
            <w:tcW w:w="8267" w:type="dxa"/>
            <w:shd w:val="clear" w:color="auto" w:fill="auto"/>
          </w:tcPr>
          <w:p w14:paraId="67AB6AF3" w14:textId="77777777" w:rsidR="00F22D61" w:rsidRPr="009F21BD" w:rsidRDefault="00F22D61" w:rsidP="00C53CB9">
            <w:pPr>
              <w:rPr>
                <w:bCs/>
                <w:sz w:val="20"/>
              </w:rPr>
            </w:pPr>
            <w:r w:rsidRPr="009F21BD">
              <w:rPr>
                <w:bCs/>
                <w:sz w:val="20"/>
              </w:rPr>
              <w:t xml:space="preserve">     ulica </w:t>
            </w:r>
          </w:p>
        </w:tc>
      </w:tr>
      <w:tr w:rsidR="00F22D61" w:rsidRPr="009F21BD" w14:paraId="5DAF43B7" w14:textId="77777777" w:rsidTr="00C53CB9">
        <w:tc>
          <w:tcPr>
            <w:tcW w:w="959" w:type="dxa"/>
            <w:shd w:val="clear" w:color="auto" w:fill="auto"/>
          </w:tcPr>
          <w:p w14:paraId="556E587E" w14:textId="77777777" w:rsidR="00F22D61" w:rsidRPr="009F21BD" w:rsidRDefault="00F22D61" w:rsidP="00C53CB9">
            <w:pPr>
              <w:ind w:firstLine="80"/>
              <w:rPr>
                <w:bCs/>
                <w:sz w:val="20"/>
              </w:rPr>
            </w:pPr>
            <w:r>
              <w:rPr>
                <w:bCs/>
                <w:sz w:val="20"/>
              </w:rPr>
              <w:t xml:space="preserve">      5</w:t>
            </w:r>
            <w:r w:rsidRPr="009F21BD">
              <w:rPr>
                <w:bCs/>
                <w:sz w:val="20"/>
              </w:rPr>
              <w:t>.5.</w:t>
            </w:r>
          </w:p>
        </w:tc>
        <w:tc>
          <w:tcPr>
            <w:tcW w:w="8267" w:type="dxa"/>
            <w:shd w:val="clear" w:color="auto" w:fill="auto"/>
          </w:tcPr>
          <w:p w14:paraId="0545B14B" w14:textId="77777777" w:rsidR="00F22D61" w:rsidRPr="009F21BD" w:rsidRDefault="00F22D61" w:rsidP="00C53CB9">
            <w:pPr>
              <w:rPr>
                <w:bCs/>
                <w:sz w:val="20"/>
              </w:rPr>
            </w:pPr>
            <w:r w:rsidRPr="009F21BD">
              <w:rPr>
                <w:bCs/>
                <w:sz w:val="20"/>
              </w:rPr>
              <w:t xml:space="preserve">     nr budynku</w:t>
            </w:r>
          </w:p>
        </w:tc>
      </w:tr>
      <w:tr w:rsidR="00F22D61" w:rsidRPr="009F21BD" w14:paraId="26260870" w14:textId="77777777" w:rsidTr="00C53CB9">
        <w:tc>
          <w:tcPr>
            <w:tcW w:w="959" w:type="dxa"/>
            <w:shd w:val="clear" w:color="auto" w:fill="auto"/>
          </w:tcPr>
          <w:p w14:paraId="27C5A989" w14:textId="77777777" w:rsidR="00F22D61" w:rsidRPr="009F21BD" w:rsidRDefault="00F22D61" w:rsidP="00C53CB9">
            <w:pPr>
              <w:ind w:firstLine="80"/>
              <w:rPr>
                <w:bCs/>
                <w:sz w:val="20"/>
              </w:rPr>
            </w:pPr>
            <w:r>
              <w:rPr>
                <w:bCs/>
                <w:sz w:val="20"/>
              </w:rPr>
              <w:t xml:space="preserve">      5</w:t>
            </w:r>
            <w:r w:rsidRPr="009F21BD">
              <w:rPr>
                <w:bCs/>
                <w:sz w:val="20"/>
              </w:rPr>
              <w:t>.6</w:t>
            </w:r>
          </w:p>
        </w:tc>
        <w:tc>
          <w:tcPr>
            <w:tcW w:w="8267" w:type="dxa"/>
            <w:shd w:val="clear" w:color="auto" w:fill="auto"/>
          </w:tcPr>
          <w:p w14:paraId="6505AF61" w14:textId="77777777" w:rsidR="00F22D61" w:rsidRPr="009F21BD" w:rsidRDefault="00F22D61" w:rsidP="00C53CB9">
            <w:pPr>
              <w:rPr>
                <w:bCs/>
                <w:sz w:val="20"/>
              </w:rPr>
            </w:pPr>
            <w:r w:rsidRPr="009F21BD">
              <w:rPr>
                <w:bCs/>
                <w:sz w:val="20"/>
              </w:rPr>
              <w:t xml:space="preserve">     nr lokalu</w:t>
            </w:r>
          </w:p>
        </w:tc>
      </w:tr>
      <w:tr w:rsidR="00F22D61" w:rsidRPr="009F21BD" w14:paraId="27AF6BAC" w14:textId="77777777" w:rsidTr="00C53CB9">
        <w:tc>
          <w:tcPr>
            <w:tcW w:w="959" w:type="dxa"/>
            <w:shd w:val="clear" w:color="auto" w:fill="auto"/>
          </w:tcPr>
          <w:p w14:paraId="1C1E6F41" w14:textId="77777777" w:rsidR="00F22D61" w:rsidRPr="009F21BD" w:rsidRDefault="00F22D61" w:rsidP="00C53CB9">
            <w:pPr>
              <w:ind w:firstLine="80"/>
              <w:rPr>
                <w:bCs/>
                <w:sz w:val="20"/>
              </w:rPr>
            </w:pPr>
            <w:r>
              <w:rPr>
                <w:bCs/>
                <w:sz w:val="20"/>
              </w:rPr>
              <w:t xml:space="preserve">      5</w:t>
            </w:r>
            <w:r w:rsidRPr="009F21BD">
              <w:rPr>
                <w:bCs/>
                <w:sz w:val="20"/>
              </w:rPr>
              <w:t>.7.</w:t>
            </w:r>
          </w:p>
        </w:tc>
        <w:tc>
          <w:tcPr>
            <w:tcW w:w="8267" w:type="dxa"/>
            <w:shd w:val="clear" w:color="auto" w:fill="auto"/>
          </w:tcPr>
          <w:p w14:paraId="569EDDCA" w14:textId="77777777" w:rsidR="00F22D61" w:rsidRPr="009F21BD" w:rsidRDefault="00F22D61" w:rsidP="00C53CB9">
            <w:pPr>
              <w:rPr>
                <w:bCs/>
                <w:sz w:val="20"/>
              </w:rPr>
            </w:pPr>
            <w:r w:rsidRPr="009F21BD">
              <w:rPr>
                <w:bCs/>
                <w:sz w:val="20"/>
              </w:rPr>
              <w:t xml:space="preserve">     NIP/PESEL/nr paszportu (przy czym nr paszportu dotyczy obcokrajowców)</w:t>
            </w:r>
          </w:p>
        </w:tc>
      </w:tr>
      <w:tr w:rsidR="00F22D61" w:rsidRPr="009F21BD" w14:paraId="50B8360A" w14:textId="77777777" w:rsidTr="00C53CB9">
        <w:tc>
          <w:tcPr>
            <w:tcW w:w="959" w:type="dxa"/>
            <w:shd w:val="clear" w:color="auto" w:fill="auto"/>
          </w:tcPr>
          <w:p w14:paraId="0FC25E6F" w14:textId="77777777" w:rsidR="00F22D61" w:rsidRPr="009F21BD" w:rsidRDefault="00F22D61" w:rsidP="00C53CB9">
            <w:pPr>
              <w:ind w:firstLine="80"/>
              <w:rPr>
                <w:bCs/>
                <w:sz w:val="20"/>
              </w:rPr>
            </w:pPr>
            <w:r>
              <w:rPr>
                <w:bCs/>
                <w:sz w:val="20"/>
              </w:rPr>
              <w:t>6</w:t>
            </w:r>
            <w:r w:rsidRPr="009F21BD">
              <w:rPr>
                <w:bCs/>
                <w:sz w:val="20"/>
              </w:rPr>
              <w:t>.</w:t>
            </w:r>
          </w:p>
        </w:tc>
        <w:tc>
          <w:tcPr>
            <w:tcW w:w="8267" w:type="dxa"/>
            <w:shd w:val="clear" w:color="auto" w:fill="auto"/>
          </w:tcPr>
          <w:p w14:paraId="2EAD7D9A" w14:textId="77777777" w:rsidR="00F22D61" w:rsidRPr="009F21BD" w:rsidRDefault="00F22D61" w:rsidP="00C53CB9">
            <w:pPr>
              <w:rPr>
                <w:b/>
                <w:bCs/>
                <w:sz w:val="20"/>
              </w:rPr>
            </w:pPr>
            <w:r w:rsidRPr="009F21BD">
              <w:rPr>
                <w:b/>
                <w:bCs/>
                <w:sz w:val="20"/>
              </w:rPr>
              <w:t>Dane punktu poboru</w:t>
            </w:r>
          </w:p>
        </w:tc>
      </w:tr>
      <w:tr w:rsidR="00F22D61" w:rsidRPr="009F21BD" w14:paraId="3FFA0CEB" w14:textId="77777777" w:rsidTr="00C53CB9">
        <w:tc>
          <w:tcPr>
            <w:tcW w:w="959" w:type="dxa"/>
            <w:shd w:val="clear" w:color="auto" w:fill="auto"/>
          </w:tcPr>
          <w:p w14:paraId="45FE0735" w14:textId="77777777" w:rsidR="00F22D61" w:rsidRPr="009F21BD" w:rsidRDefault="00F22D61" w:rsidP="00C53CB9">
            <w:pPr>
              <w:ind w:firstLine="80"/>
              <w:rPr>
                <w:bCs/>
                <w:sz w:val="20"/>
              </w:rPr>
            </w:pPr>
            <w:r>
              <w:rPr>
                <w:bCs/>
                <w:sz w:val="20"/>
              </w:rPr>
              <w:t xml:space="preserve">      6</w:t>
            </w:r>
            <w:r w:rsidRPr="009F21BD">
              <w:rPr>
                <w:bCs/>
                <w:sz w:val="20"/>
              </w:rPr>
              <w:t>.1.</w:t>
            </w:r>
          </w:p>
        </w:tc>
        <w:tc>
          <w:tcPr>
            <w:tcW w:w="8267" w:type="dxa"/>
            <w:shd w:val="clear" w:color="auto" w:fill="auto"/>
          </w:tcPr>
          <w:p w14:paraId="3D675379" w14:textId="77777777" w:rsidR="00F22D61" w:rsidRPr="009F21BD" w:rsidRDefault="00F22D61" w:rsidP="00C53CB9">
            <w:pPr>
              <w:rPr>
                <w:bCs/>
                <w:sz w:val="20"/>
              </w:rPr>
            </w:pPr>
            <w:r w:rsidRPr="009F21BD">
              <w:rPr>
                <w:bCs/>
                <w:sz w:val="20"/>
              </w:rPr>
              <w:t xml:space="preserve">     kod identyfikacyjny PPE albo w przypadku braku nr fabryczny licznika</w:t>
            </w:r>
          </w:p>
        </w:tc>
      </w:tr>
      <w:tr w:rsidR="00F22D61" w:rsidRPr="009F21BD" w14:paraId="7C57CE73" w14:textId="77777777" w:rsidTr="00C53CB9">
        <w:tc>
          <w:tcPr>
            <w:tcW w:w="959" w:type="dxa"/>
            <w:shd w:val="clear" w:color="auto" w:fill="auto"/>
          </w:tcPr>
          <w:p w14:paraId="76CE638B" w14:textId="77777777" w:rsidR="00F22D61" w:rsidRPr="009F21BD" w:rsidRDefault="00F22D61" w:rsidP="00C53CB9">
            <w:pPr>
              <w:ind w:firstLine="80"/>
              <w:rPr>
                <w:bCs/>
                <w:sz w:val="20"/>
              </w:rPr>
            </w:pPr>
            <w:r>
              <w:rPr>
                <w:bCs/>
                <w:sz w:val="20"/>
              </w:rPr>
              <w:t xml:space="preserve">      6</w:t>
            </w:r>
            <w:r w:rsidRPr="009F21BD">
              <w:rPr>
                <w:bCs/>
                <w:sz w:val="20"/>
              </w:rPr>
              <w:t>.2.</w:t>
            </w:r>
          </w:p>
        </w:tc>
        <w:tc>
          <w:tcPr>
            <w:tcW w:w="8267" w:type="dxa"/>
            <w:shd w:val="clear" w:color="auto" w:fill="auto"/>
          </w:tcPr>
          <w:p w14:paraId="66CDB2F8" w14:textId="77777777" w:rsidR="00F22D61" w:rsidRPr="009F21BD" w:rsidRDefault="00F22D61" w:rsidP="00C53CB9">
            <w:pPr>
              <w:rPr>
                <w:bCs/>
                <w:sz w:val="20"/>
              </w:rPr>
            </w:pPr>
            <w:r w:rsidRPr="009F21BD">
              <w:rPr>
                <w:bCs/>
                <w:sz w:val="20"/>
              </w:rPr>
              <w:t xml:space="preserve">     kod pocztowy </w:t>
            </w:r>
          </w:p>
        </w:tc>
      </w:tr>
      <w:tr w:rsidR="00F22D61" w:rsidRPr="009F21BD" w14:paraId="6B235144" w14:textId="77777777" w:rsidTr="00C53CB9">
        <w:tc>
          <w:tcPr>
            <w:tcW w:w="959" w:type="dxa"/>
            <w:shd w:val="clear" w:color="auto" w:fill="auto"/>
          </w:tcPr>
          <w:p w14:paraId="4F98035E" w14:textId="77777777" w:rsidR="00F22D61" w:rsidRPr="009F21BD" w:rsidRDefault="00F22D61" w:rsidP="00C53CB9">
            <w:pPr>
              <w:ind w:firstLine="80"/>
              <w:rPr>
                <w:bCs/>
                <w:sz w:val="20"/>
              </w:rPr>
            </w:pPr>
            <w:r>
              <w:rPr>
                <w:bCs/>
                <w:sz w:val="20"/>
              </w:rPr>
              <w:t xml:space="preserve">      6</w:t>
            </w:r>
            <w:r w:rsidRPr="009F21BD">
              <w:rPr>
                <w:bCs/>
                <w:sz w:val="20"/>
              </w:rPr>
              <w:t>.3.</w:t>
            </w:r>
          </w:p>
        </w:tc>
        <w:tc>
          <w:tcPr>
            <w:tcW w:w="8267" w:type="dxa"/>
            <w:shd w:val="clear" w:color="auto" w:fill="auto"/>
          </w:tcPr>
          <w:p w14:paraId="15C61514" w14:textId="77777777" w:rsidR="00F22D61" w:rsidRPr="009F21BD" w:rsidRDefault="00F22D61" w:rsidP="00C53CB9">
            <w:pPr>
              <w:rPr>
                <w:bCs/>
                <w:sz w:val="20"/>
              </w:rPr>
            </w:pPr>
            <w:r w:rsidRPr="009F21BD">
              <w:rPr>
                <w:bCs/>
                <w:sz w:val="20"/>
              </w:rPr>
              <w:t xml:space="preserve">     Miejscowość</w:t>
            </w:r>
          </w:p>
        </w:tc>
      </w:tr>
      <w:tr w:rsidR="00F22D61" w:rsidRPr="009F21BD" w14:paraId="0810D77F" w14:textId="77777777" w:rsidTr="00C53CB9">
        <w:tc>
          <w:tcPr>
            <w:tcW w:w="959" w:type="dxa"/>
            <w:shd w:val="clear" w:color="auto" w:fill="auto"/>
          </w:tcPr>
          <w:p w14:paraId="44F195F7" w14:textId="77777777" w:rsidR="00F22D61" w:rsidRPr="009F21BD" w:rsidRDefault="00F22D61" w:rsidP="00C53CB9">
            <w:pPr>
              <w:ind w:firstLine="80"/>
              <w:rPr>
                <w:bCs/>
                <w:sz w:val="20"/>
              </w:rPr>
            </w:pPr>
            <w:r>
              <w:rPr>
                <w:bCs/>
                <w:sz w:val="20"/>
              </w:rPr>
              <w:t xml:space="preserve">      6</w:t>
            </w:r>
            <w:r w:rsidRPr="009F21BD">
              <w:rPr>
                <w:bCs/>
                <w:sz w:val="20"/>
              </w:rPr>
              <w:t>.4.</w:t>
            </w:r>
          </w:p>
        </w:tc>
        <w:tc>
          <w:tcPr>
            <w:tcW w:w="8267" w:type="dxa"/>
            <w:shd w:val="clear" w:color="auto" w:fill="auto"/>
          </w:tcPr>
          <w:p w14:paraId="0312ECBE" w14:textId="77777777" w:rsidR="00F22D61" w:rsidRPr="009F21BD" w:rsidRDefault="00F22D61" w:rsidP="00C53CB9">
            <w:pPr>
              <w:rPr>
                <w:bCs/>
                <w:sz w:val="20"/>
              </w:rPr>
            </w:pPr>
            <w:r w:rsidRPr="009F21BD">
              <w:rPr>
                <w:bCs/>
                <w:sz w:val="20"/>
              </w:rPr>
              <w:t xml:space="preserve">     Ulica</w:t>
            </w:r>
          </w:p>
        </w:tc>
      </w:tr>
      <w:tr w:rsidR="00F22D61" w:rsidRPr="009F21BD" w14:paraId="6C6CC462" w14:textId="77777777" w:rsidTr="00C53CB9">
        <w:tc>
          <w:tcPr>
            <w:tcW w:w="959" w:type="dxa"/>
            <w:shd w:val="clear" w:color="auto" w:fill="auto"/>
          </w:tcPr>
          <w:p w14:paraId="0927C589" w14:textId="77777777" w:rsidR="00F22D61" w:rsidRPr="009F21BD" w:rsidRDefault="00F22D61" w:rsidP="00C53CB9">
            <w:pPr>
              <w:ind w:firstLine="80"/>
              <w:rPr>
                <w:bCs/>
                <w:sz w:val="20"/>
              </w:rPr>
            </w:pPr>
            <w:r>
              <w:rPr>
                <w:bCs/>
                <w:sz w:val="20"/>
              </w:rPr>
              <w:t xml:space="preserve">      6</w:t>
            </w:r>
            <w:r w:rsidRPr="009F21BD">
              <w:rPr>
                <w:bCs/>
                <w:sz w:val="20"/>
              </w:rPr>
              <w:t>.5.</w:t>
            </w:r>
          </w:p>
        </w:tc>
        <w:tc>
          <w:tcPr>
            <w:tcW w:w="8267" w:type="dxa"/>
            <w:shd w:val="clear" w:color="auto" w:fill="auto"/>
          </w:tcPr>
          <w:p w14:paraId="55D1CB30" w14:textId="77777777" w:rsidR="00F22D61" w:rsidRPr="009F21BD" w:rsidRDefault="00F22D61" w:rsidP="00C53CB9">
            <w:pPr>
              <w:rPr>
                <w:bCs/>
                <w:sz w:val="20"/>
              </w:rPr>
            </w:pPr>
            <w:r w:rsidRPr="009F21BD">
              <w:rPr>
                <w:bCs/>
                <w:sz w:val="20"/>
              </w:rPr>
              <w:t xml:space="preserve">     nr budynku</w:t>
            </w:r>
          </w:p>
        </w:tc>
      </w:tr>
      <w:tr w:rsidR="00F22D61" w:rsidRPr="009F21BD" w14:paraId="79581205" w14:textId="77777777" w:rsidTr="00C53CB9">
        <w:tc>
          <w:tcPr>
            <w:tcW w:w="959" w:type="dxa"/>
            <w:shd w:val="clear" w:color="auto" w:fill="auto"/>
          </w:tcPr>
          <w:p w14:paraId="23B6D5A5" w14:textId="77777777" w:rsidR="00F22D61" w:rsidRPr="009F21BD" w:rsidRDefault="00F22D61" w:rsidP="00C53CB9">
            <w:pPr>
              <w:rPr>
                <w:bCs/>
                <w:sz w:val="20"/>
              </w:rPr>
            </w:pPr>
            <w:r>
              <w:rPr>
                <w:bCs/>
                <w:sz w:val="20"/>
              </w:rPr>
              <w:t xml:space="preserve">       6.</w:t>
            </w:r>
            <w:r w:rsidRPr="009F21BD">
              <w:rPr>
                <w:bCs/>
                <w:sz w:val="20"/>
              </w:rPr>
              <w:t>6.</w:t>
            </w:r>
          </w:p>
        </w:tc>
        <w:tc>
          <w:tcPr>
            <w:tcW w:w="8267" w:type="dxa"/>
            <w:shd w:val="clear" w:color="auto" w:fill="auto"/>
          </w:tcPr>
          <w:p w14:paraId="382EE01A" w14:textId="77777777" w:rsidR="00F22D61" w:rsidRPr="009F21BD" w:rsidRDefault="00F22D61" w:rsidP="00C53CB9">
            <w:pPr>
              <w:rPr>
                <w:bCs/>
                <w:sz w:val="20"/>
              </w:rPr>
            </w:pPr>
            <w:r w:rsidRPr="009F21BD">
              <w:rPr>
                <w:bCs/>
                <w:sz w:val="20"/>
              </w:rPr>
              <w:t xml:space="preserve">     nr lokalu tego punktu poboru</w:t>
            </w:r>
          </w:p>
        </w:tc>
      </w:tr>
      <w:tr w:rsidR="00F22D61" w:rsidRPr="009F21BD" w14:paraId="7AC14C01" w14:textId="77777777" w:rsidTr="00C53CB9">
        <w:tc>
          <w:tcPr>
            <w:tcW w:w="959" w:type="dxa"/>
            <w:shd w:val="clear" w:color="auto" w:fill="auto"/>
          </w:tcPr>
          <w:p w14:paraId="42B83C15" w14:textId="77777777" w:rsidR="00F22D61" w:rsidRPr="009F21BD" w:rsidRDefault="00F22D61" w:rsidP="00C53CB9">
            <w:pPr>
              <w:rPr>
                <w:bCs/>
                <w:sz w:val="20"/>
              </w:rPr>
            </w:pPr>
            <w:r>
              <w:rPr>
                <w:bCs/>
                <w:sz w:val="20"/>
              </w:rPr>
              <w:t>7</w:t>
            </w:r>
            <w:r w:rsidRPr="009F21BD">
              <w:rPr>
                <w:bCs/>
                <w:sz w:val="20"/>
              </w:rPr>
              <w:t>.</w:t>
            </w:r>
          </w:p>
        </w:tc>
        <w:tc>
          <w:tcPr>
            <w:tcW w:w="8267" w:type="dxa"/>
            <w:shd w:val="clear" w:color="auto" w:fill="auto"/>
          </w:tcPr>
          <w:p w14:paraId="30E5CB9E" w14:textId="77777777" w:rsidR="00F22D61" w:rsidRPr="009F21BD" w:rsidRDefault="00F22D61" w:rsidP="00C53CB9">
            <w:pPr>
              <w:rPr>
                <w:bCs/>
                <w:sz w:val="20"/>
              </w:rPr>
            </w:pPr>
            <w:r w:rsidRPr="009F21BD">
              <w:rPr>
                <w:bCs/>
                <w:sz w:val="20"/>
              </w:rPr>
              <w:t>Okres obowiązywania umowy sprzedaży</w:t>
            </w:r>
          </w:p>
        </w:tc>
      </w:tr>
      <w:tr w:rsidR="00F22D61" w:rsidRPr="009F21BD" w14:paraId="79114246" w14:textId="77777777" w:rsidTr="00C53CB9">
        <w:tc>
          <w:tcPr>
            <w:tcW w:w="959" w:type="dxa"/>
            <w:shd w:val="clear" w:color="auto" w:fill="auto"/>
          </w:tcPr>
          <w:p w14:paraId="648DB9DF" w14:textId="77777777" w:rsidR="00F22D61" w:rsidRPr="009F21BD" w:rsidRDefault="00F22D61" w:rsidP="00C53CB9">
            <w:pPr>
              <w:rPr>
                <w:bCs/>
                <w:sz w:val="20"/>
              </w:rPr>
            </w:pPr>
            <w:r>
              <w:rPr>
                <w:bCs/>
                <w:sz w:val="20"/>
              </w:rPr>
              <w:t>8</w:t>
            </w:r>
            <w:r w:rsidRPr="009F21BD">
              <w:rPr>
                <w:bCs/>
                <w:sz w:val="20"/>
              </w:rPr>
              <w:t>.</w:t>
            </w:r>
          </w:p>
        </w:tc>
        <w:tc>
          <w:tcPr>
            <w:tcW w:w="8267" w:type="dxa"/>
            <w:shd w:val="clear" w:color="auto" w:fill="auto"/>
          </w:tcPr>
          <w:p w14:paraId="2C20956D" w14:textId="77777777" w:rsidR="00F22D61" w:rsidRPr="009F21BD" w:rsidRDefault="00F22D61" w:rsidP="00C53CB9">
            <w:pPr>
              <w:rPr>
                <w:bCs/>
                <w:sz w:val="20"/>
              </w:rPr>
            </w:pPr>
            <w:r w:rsidRPr="009F21BD">
              <w:rPr>
                <w:bCs/>
                <w:sz w:val="20"/>
              </w:rPr>
              <w:t>Planowana średnioroczna ilość energii elektrycznej objęta umową sprzedaży w podziale na poszczególne punkty PPE lub w przypadku umów zawartych na okres dłuższy niż rok planowana ilość energii elektrycznej objęta umową w MWh, z dokładnością do 0,001 MWh – w przypadku niepodania tej wartości zostanie ona określona przez OSDn i traktowana według takich samych zasad, jak podana przez URD i/lub Sprzedawcę. W takim przypadku OSDn nie ponosi żadnej odpowiedzialności za skutki określenia tej wartości.</w:t>
            </w:r>
          </w:p>
        </w:tc>
      </w:tr>
      <w:tr w:rsidR="00F22D61" w:rsidRPr="009F21BD" w14:paraId="5756F756" w14:textId="77777777" w:rsidTr="00C53CB9">
        <w:tc>
          <w:tcPr>
            <w:tcW w:w="959" w:type="dxa"/>
            <w:shd w:val="clear" w:color="auto" w:fill="auto"/>
          </w:tcPr>
          <w:p w14:paraId="262862CE" w14:textId="77777777" w:rsidR="00F22D61" w:rsidRPr="009F21BD" w:rsidRDefault="00F22D61" w:rsidP="00C53CB9">
            <w:pPr>
              <w:rPr>
                <w:bCs/>
                <w:sz w:val="20"/>
              </w:rPr>
            </w:pPr>
            <w:r>
              <w:rPr>
                <w:bCs/>
                <w:sz w:val="20"/>
              </w:rPr>
              <w:t>9</w:t>
            </w:r>
            <w:r w:rsidRPr="009F21BD">
              <w:rPr>
                <w:bCs/>
                <w:sz w:val="20"/>
              </w:rPr>
              <w:t>.</w:t>
            </w:r>
          </w:p>
        </w:tc>
        <w:tc>
          <w:tcPr>
            <w:tcW w:w="8267" w:type="dxa"/>
            <w:shd w:val="clear" w:color="auto" w:fill="auto"/>
          </w:tcPr>
          <w:p w14:paraId="7663378C" w14:textId="77777777" w:rsidR="00F22D61" w:rsidRPr="009F21BD" w:rsidRDefault="00F22D61" w:rsidP="00C53CB9">
            <w:pPr>
              <w:rPr>
                <w:bCs/>
                <w:sz w:val="20"/>
              </w:rPr>
            </w:pPr>
            <w:r w:rsidRPr="009F21BD">
              <w:rPr>
                <w:bCs/>
                <w:sz w:val="20"/>
              </w:rPr>
              <w:t>Kod MB, do którego ma być przypisany URD*</w:t>
            </w:r>
          </w:p>
        </w:tc>
      </w:tr>
      <w:tr w:rsidR="00F22D61" w:rsidRPr="009F21BD" w14:paraId="425DDD5C" w14:textId="77777777" w:rsidTr="00C53CB9">
        <w:tc>
          <w:tcPr>
            <w:tcW w:w="959" w:type="dxa"/>
            <w:shd w:val="clear" w:color="auto" w:fill="auto"/>
          </w:tcPr>
          <w:p w14:paraId="3E5B7349" w14:textId="77777777" w:rsidR="00F22D61" w:rsidRPr="009F21BD" w:rsidRDefault="00F22D61" w:rsidP="00C53CB9">
            <w:pPr>
              <w:rPr>
                <w:bCs/>
                <w:sz w:val="20"/>
              </w:rPr>
            </w:pPr>
            <w:r>
              <w:rPr>
                <w:bCs/>
                <w:sz w:val="20"/>
              </w:rPr>
              <w:t>10</w:t>
            </w:r>
            <w:r w:rsidRPr="009F21BD">
              <w:rPr>
                <w:bCs/>
                <w:sz w:val="20"/>
              </w:rPr>
              <w:t>.</w:t>
            </w:r>
          </w:p>
        </w:tc>
        <w:tc>
          <w:tcPr>
            <w:tcW w:w="8267" w:type="dxa"/>
            <w:shd w:val="clear" w:color="auto" w:fill="auto"/>
          </w:tcPr>
          <w:p w14:paraId="55629794" w14:textId="77777777" w:rsidR="00F22D61" w:rsidRPr="009F21BD" w:rsidRDefault="00F22D61" w:rsidP="00C53CB9">
            <w:pPr>
              <w:rPr>
                <w:bCs/>
                <w:sz w:val="20"/>
              </w:rPr>
            </w:pPr>
            <w:r w:rsidRPr="009F21BD">
              <w:rPr>
                <w:bCs/>
                <w:sz w:val="20"/>
              </w:rPr>
              <w:t>Oświadczenie URD, że wnioskuje o zawarcie/aktualizację umowy o świadczenie usług dystrybucji energii elektrycznej z OSDn (jeżeli procedura zmiany umowy jest prowadzona jednocześnie z procedurą zmiany sprzedawcy, w pozostałych przypadkach pole pozostaje niewypełnione)</w:t>
            </w:r>
          </w:p>
        </w:tc>
      </w:tr>
      <w:tr w:rsidR="00F22D61" w:rsidRPr="009F21BD" w14:paraId="1DEED270" w14:textId="77777777" w:rsidTr="00C53CB9">
        <w:tc>
          <w:tcPr>
            <w:tcW w:w="959" w:type="dxa"/>
            <w:shd w:val="clear" w:color="auto" w:fill="auto"/>
          </w:tcPr>
          <w:p w14:paraId="2601EF09" w14:textId="77777777" w:rsidR="00F22D61" w:rsidRPr="009F21BD" w:rsidRDefault="00F22D61" w:rsidP="00C53CB9">
            <w:pPr>
              <w:rPr>
                <w:bCs/>
                <w:sz w:val="20"/>
              </w:rPr>
            </w:pPr>
            <w:r>
              <w:rPr>
                <w:bCs/>
                <w:sz w:val="20"/>
              </w:rPr>
              <w:t>11</w:t>
            </w:r>
            <w:r w:rsidRPr="009F21BD">
              <w:rPr>
                <w:bCs/>
                <w:sz w:val="20"/>
              </w:rPr>
              <w:t>.</w:t>
            </w:r>
          </w:p>
        </w:tc>
        <w:tc>
          <w:tcPr>
            <w:tcW w:w="8267" w:type="dxa"/>
            <w:shd w:val="clear" w:color="auto" w:fill="auto"/>
          </w:tcPr>
          <w:p w14:paraId="333BF33A" w14:textId="77777777" w:rsidR="00F22D61" w:rsidRPr="009F21BD" w:rsidRDefault="00F22D61" w:rsidP="00C53CB9">
            <w:pPr>
              <w:rPr>
                <w:bCs/>
                <w:sz w:val="20"/>
              </w:rPr>
            </w:pPr>
            <w:r w:rsidRPr="009F21BD">
              <w:rPr>
                <w:bCs/>
                <w:sz w:val="20"/>
              </w:rPr>
              <w:t>Imię, nazwisko oraz podpis(-y) osób zgłaszających (tylko w wersji papierowej, wersja elektroniczna powinna umożliwiać jednoznaczną, bezpośrednią weryfikację zgłaszającego przy składaniu formularza)</w:t>
            </w:r>
          </w:p>
        </w:tc>
      </w:tr>
    </w:tbl>
    <w:p w14:paraId="6E0BC869" w14:textId="77777777" w:rsidR="00F22D61" w:rsidRPr="009F21BD" w:rsidRDefault="00F22D61" w:rsidP="00F22D61">
      <w:pPr>
        <w:rPr>
          <w:bCs/>
          <w:sz w:val="20"/>
        </w:rPr>
      </w:pPr>
      <w:r w:rsidRPr="009F21BD">
        <w:rPr>
          <w:bCs/>
        </w:rPr>
        <w:t>*</w:t>
      </w:r>
      <w:r w:rsidRPr="009F21BD">
        <w:rPr>
          <w:bCs/>
          <w:sz w:val="20"/>
        </w:rPr>
        <w:t>dany OSDn wskaże czy wypełnienie pozycji jest obowiązkowe (jeżeli wypełnienie nie jest obowiązkowe</w:t>
      </w:r>
      <w:r w:rsidRPr="009F21BD">
        <w:rPr>
          <w:bCs/>
          <w:sz w:val="20"/>
        </w:rPr>
        <w:br/>
        <w:t xml:space="preserve">           pole pozostaje niewypełnione)</w:t>
      </w:r>
    </w:p>
    <w:p w14:paraId="5514470D" w14:textId="77777777" w:rsidR="00F22D61" w:rsidRPr="009F21BD" w:rsidRDefault="00F22D61" w:rsidP="00F22D61">
      <w:pPr>
        <w:rPr>
          <w:bCs/>
          <w:sz w:val="20"/>
        </w:rPr>
      </w:pPr>
    </w:p>
    <w:p w14:paraId="05F68E93" w14:textId="77777777" w:rsidR="00F22D61" w:rsidRPr="009F21BD" w:rsidRDefault="00F22D61" w:rsidP="00F22D61">
      <w:pPr>
        <w:ind w:left="851" w:hanging="851"/>
        <w:rPr>
          <w:bCs/>
          <w:i/>
          <w:sz w:val="20"/>
        </w:rPr>
      </w:pPr>
      <w:r w:rsidRPr="009F21BD">
        <w:rPr>
          <w:bCs/>
          <w:i/>
          <w:sz w:val="20"/>
        </w:rPr>
        <w:t xml:space="preserve">UWAGA: </w:t>
      </w:r>
      <w:r w:rsidRPr="009F21BD">
        <w:rPr>
          <w:bCs/>
          <w:i/>
          <w:sz w:val="20"/>
        </w:rPr>
        <w:tab/>
        <w:t>przedsiębiorstwo energetyczne zajmujące się dystrybucją energii elektrycznej może nie wymagać podawania wszystkich danych zawartych w powyższym formularzu powiadomienia, przy zachowaniu numeracji punktów formularza.</w:t>
      </w:r>
    </w:p>
    <w:p w14:paraId="5EC85080" w14:textId="77777777" w:rsidR="00F22D61" w:rsidRDefault="00F22D61">
      <w:pPr>
        <w:spacing w:line="0" w:lineRule="atLeast"/>
        <w:ind w:left="7680"/>
        <w:rPr>
          <w:rFonts w:eastAsia="Times New Roman"/>
          <w:i/>
        </w:rPr>
      </w:pPr>
    </w:p>
    <w:p w14:paraId="45C53A0F" w14:textId="77777777" w:rsidR="00F22D61" w:rsidRDefault="00F22D61">
      <w:pPr>
        <w:spacing w:line="0" w:lineRule="atLeast"/>
        <w:ind w:left="7680"/>
        <w:rPr>
          <w:rFonts w:eastAsia="Times New Roman"/>
          <w:i/>
        </w:rPr>
      </w:pPr>
    </w:p>
    <w:p w14:paraId="3A511915" w14:textId="77777777" w:rsidR="00F22D61" w:rsidRDefault="00F22D61">
      <w:pPr>
        <w:spacing w:line="0" w:lineRule="atLeast"/>
        <w:ind w:left="7680"/>
        <w:rPr>
          <w:rFonts w:eastAsia="Times New Roman"/>
          <w:i/>
        </w:rPr>
      </w:pPr>
    </w:p>
    <w:p w14:paraId="543C06FB" w14:textId="77777777" w:rsidR="00F22D61" w:rsidRDefault="00F22D61">
      <w:pPr>
        <w:spacing w:line="0" w:lineRule="atLeast"/>
        <w:ind w:left="7680"/>
        <w:rPr>
          <w:rFonts w:eastAsia="Times New Roman"/>
          <w:i/>
        </w:rPr>
      </w:pPr>
    </w:p>
    <w:p w14:paraId="1DE4A88C" w14:textId="77777777" w:rsidR="00F22D61" w:rsidRDefault="00F22D61">
      <w:pPr>
        <w:spacing w:line="0" w:lineRule="atLeast"/>
        <w:ind w:left="7680"/>
        <w:rPr>
          <w:rFonts w:eastAsia="Times New Roman"/>
          <w:i/>
        </w:rPr>
      </w:pPr>
    </w:p>
    <w:p w14:paraId="6822C2C5" w14:textId="77777777" w:rsidR="00F22D61" w:rsidRDefault="00F22D61">
      <w:pPr>
        <w:spacing w:line="0" w:lineRule="atLeast"/>
        <w:ind w:left="7680"/>
        <w:rPr>
          <w:rFonts w:eastAsia="Times New Roman"/>
          <w:i/>
        </w:rPr>
      </w:pPr>
    </w:p>
    <w:p w14:paraId="1896FD73" w14:textId="77777777" w:rsidR="00572BA3" w:rsidRDefault="00572BA3">
      <w:pPr>
        <w:spacing w:line="200" w:lineRule="exact"/>
        <w:rPr>
          <w:rFonts w:eastAsia="Times New Roman"/>
        </w:rPr>
      </w:pPr>
    </w:p>
    <w:p w14:paraId="7385DE3F" w14:textId="77777777" w:rsidR="004D31AB" w:rsidRDefault="004D31AB" w:rsidP="004D31AB">
      <w:pPr>
        <w:pStyle w:val="Nagwek1"/>
        <w:jc w:val="both"/>
        <w:rPr>
          <w:b w:val="0"/>
          <w:i/>
          <w:sz w:val="24"/>
          <w:szCs w:val="24"/>
        </w:rPr>
      </w:pPr>
      <w:bookmarkStart w:id="151" w:name="_Toc532193606"/>
      <w:bookmarkStart w:id="152" w:name="_Toc141963934"/>
      <w:r w:rsidRPr="00856C06">
        <w:rPr>
          <w:sz w:val="28"/>
          <w:szCs w:val="28"/>
        </w:rPr>
        <w:t xml:space="preserve">Załącznik nr </w:t>
      </w:r>
      <w:r>
        <w:rPr>
          <w:sz w:val="28"/>
          <w:szCs w:val="28"/>
        </w:rPr>
        <w:t>3</w:t>
      </w:r>
      <w:r w:rsidRPr="00856C06">
        <w:rPr>
          <w:sz w:val="24"/>
          <w:szCs w:val="24"/>
        </w:rPr>
        <w:t xml:space="preserve"> </w:t>
      </w:r>
      <w:r w:rsidRPr="009C101D">
        <w:rPr>
          <w:b w:val="0"/>
          <w:i/>
          <w:sz w:val="24"/>
          <w:szCs w:val="24"/>
        </w:rPr>
        <w:t xml:space="preserve">- lista kodów, którymi </w:t>
      </w:r>
      <w:r>
        <w:rPr>
          <w:b w:val="0"/>
          <w:i/>
          <w:sz w:val="24"/>
          <w:szCs w:val="24"/>
        </w:rPr>
        <w:t>OSD</w:t>
      </w:r>
      <w:r w:rsidRPr="009C101D">
        <w:rPr>
          <w:b w:val="0"/>
          <w:i/>
          <w:sz w:val="24"/>
          <w:szCs w:val="24"/>
        </w:rPr>
        <w:t xml:space="preserve"> informuje sprzedawcę </w:t>
      </w:r>
      <w:r w:rsidRPr="009C101D">
        <w:rPr>
          <w:b w:val="0"/>
          <w:i/>
          <w:sz w:val="24"/>
          <w:szCs w:val="24"/>
        </w:rPr>
        <w:br/>
        <w:t>o wyniku przeprowadzonej weryfikacji zgłoszonych umów sprzedaży energii elektrycznej –</w:t>
      </w:r>
      <w:bookmarkEnd w:id="151"/>
      <w:bookmarkEnd w:id="152"/>
    </w:p>
    <w:p w14:paraId="71ABFCF0" w14:textId="77777777" w:rsidR="004D31AB" w:rsidRPr="009F21BD" w:rsidRDefault="004D31AB" w:rsidP="004D31AB"/>
    <w:p w14:paraId="6E136C4F" w14:textId="77777777" w:rsidR="004D31AB" w:rsidRPr="009F21BD" w:rsidRDefault="004D31AB" w:rsidP="004D31AB">
      <w:pPr>
        <w:pStyle w:val="styl0"/>
      </w:pPr>
    </w:p>
    <w:p w14:paraId="7A2F0CE7" w14:textId="77777777" w:rsidR="004D31AB" w:rsidRPr="009F21BD" w:rsidRDefault="004D31AB" w:rsidP="004D31AB">
      <w:pPr>
        <w:pStyle w:val="styl0"/>
      </w:pPr>
    </w:p>
    <w:p w14:paraId="7A0F0402" w14:textId="77777777" w:rsidR="004D31AB" w:rsidRPr="009F21BD" w:rsidRDefault="004D31AB" w:rsidP="004D31AB">
      <w:pPr>
        <w:pStyle w:val="styl0"/>
      </w:pPr>
    </w:p>
    <w:p w14:paraId="2D19B7F0" w14:textId="77777777" w:rsidR="004D31AB" w:rsidRPr="009F21BD" w:rsidRDefault="004D31AB" w:rsidP="004D31AB">
      <w:pPr>
        <w:pStyle w:val="styl0"/>
      </w:pPr>
    </w:p>
    <w:p w14:paraId="4EB24BBA" w14:textId="77777777" w:rsidR="004D31AB" w:rsidRPr="009F21BD" w:rsidRDefault="004D31AB" w:rsidP="004D31AB">
      <w:pPr>
        <w:pStyle w:val="styl0"/>
      </w:pPr>
    </w:p>
    <w:p w14:paraId="290FFABC" w14:textId="77777777" w:rsidR="004D31AB" w:rsidRPr="009F21BD" w:rsidRDefault="004D31AB" w:rsidP="004D31AB">
      <w:pPr>
        <w:pStyle w:val="styl0"/>
      </w:pPr>
    </w:p>
    <w:p w14:paraId="6512C1CE" w14:textId="77777777" w:rsidR="004D31AB" w:rsidRPr="009F21BD" w:rsidRDefault="004D31AB" w:rsidP="004D31AB">
      <w:pPr>
        <w:pStyle w:val="styl0"/>
      </w:pPr>
    </w:p>
    <w:p w14:paraId="1BA1EEEE" w14:textId="77777777" w:rsidR="004D31AB" w:rsidRPr="009F21BD" w:rsidRDefault="004D31AB" w:rsidP="004D31AB">
      <w:pPr>
        <w:pStyle w:val="styl0"/>
      </w:pPr>
    </w:p>
    <w:p w14:paraId="2E57D3F0" w14:textId="77777777" w:rsidR="004D31AB" w:rsidRPr="009F21BD" w:rsidRDefault="004D31AB" w:rsidP="004D31AB">
      <w:pPr>
        <w:pStyle w:val="styl0"/>
      </w:pPr>
    </w:p>
    <w:p w14:paraId="7A6A6FDB" w14:textId="77777777" w:rsidR="004D31AB" w:rsidRPr="009F21BD" w:rsidRDefault="004D31AB" w:rsidP="004D31AB">
      <w:pPr>
        <w:pStyle w:val="styl0"/>
      </w:pPr>
    </w:p>
    <w:p w14:paraId="6052244F" w14:textId="77777777" w:rsidR="004D31AB" w:rsidRPr="009F21BD" w:rsidRDefault="004D31AB" w:rsidP="004D31AB">
      <w:pPr>
        <w:pStyle w:val="styl0"/>
      </w:pPr>
    </w:p>
    <w:p w14:paraId="4A47DF5D" w14:textId="77777777" w:rsidR="004D31AB" w:rsidRPr="009F21BD" w:rsidRDefault="004D31AB" w:rsidP="004D31AB">
      <w:pPr>
        <w:pStyle w:val="styl0"/>
      </w:pPr>
    </w:p>
    <w:p w14:paraId="4250C582" w14:textId="77777777" w:rsidR="004D31AB" w:rsidRPr="009F21BD" w:rsidRDefault="004D31AB" w:rsidP="004D31AB">
      <w:pPr>
        <w:pStyle w:val="styl0"/>
      </w:pPr>
    </w:p>
    <w:p w14:paraId="2FB5D416" w14:textId="77777777" w:rsidR="004D31AB" w:rsidRPr="009F21BD" w:rsidRDefault="004D31AB" w:rsidP="004D31AB">
      <w:pPr>
        <w:pStyle w:val="styl0"/>
      </w:pPr>
    </w:p>
    <w:p w14:paraId="6D960AE2" w14:textId="77777777" w:rsidR="004D31AB" w:rsidRPr="009F21BD" w:rsidRDefault="004D31AB" w:rsidP="004D31AB">
      <w:pPr>
        <w:pStyle w:val="styl0"/>
      </w:pPr>
    </w:p>
    <w:p w14:paraId="302C7777" w14:textId="77777777" w:rsidR="004D31AB" w:rsidRPr="009F21BD" w:rsidRDefault="004D31AB" w:rsidP="004D31AB">
      <w:pPr>
        <w:jc w:val="center"/>
        <w:rPr>
          <w:b/>
          <w:bCs/>
          <w:sz w:val="28"/>
          <w:szCs w:val="28"/>
        </w:rPr>
      </w:pPr>
      <w:r w:rsidRPr="009F21BD">
        <w:rPr>
          <w:b/>
          <w:bCs/>
          <w:sz w:val="28"/>
          <w:szCs w:val="28"/>
        </w:rPr>
        <w:t xml:space="preserve">LISTA KODÓW, KTÓRYMI OSD INFORMUJE SPRZEDAWCĘ </w:t>
      </w:r>
      <w:r w:rsidRPr="009F21BD">
        <w:rPr>
          <w:b/>
          <w:bCs/>
          <w:sz w:val="28"/>
          <w:szCs w:val="28"/>
        </w:rPr>
        <w:br/>
        <w:t>O WYNIKU PRZEPROWADZONEJ WERYFIKACJI ZGŁOSZONYCH UMÓW SPRZEDAŻY ENERGII ELEKTRYCZNEJ</w:t>
      </w:r>
    </w:p>
    <w:p w14:paraId="34EFD158" w14:textId="77777777" w:rsidR="004D31AB" w:rsidRPr="009F21BD" w:rsidRDefault="004D31AB" w:rsidP="004D31AB">
      <w:pPr>
        <w:jc w:val="center"/>
        <w:rPr>
          <w:b/>
          <w:bCs/>
          <w:sz w:val="28"/>
          <w:szCs w:val="28"/>
        </w:rPr>
      </w:pPr>
    </w:p>
    <w:p w14:paraId="6F3EF0E3" w14:textId="77777777" w:rsidR="00572BA3" w:rsidRDefault="00572BA3" w:rsidP="004D31AB">
      <w:pPr>
        <w:spacing w:line="200" w:lineRule="exact"/>
        <w:jc w:val="center"/>
        <w:rPr>
          <w:rFonts w:eastAsia="Times New Roman"/>
        </w:rPr>
      </w:pPr>
    </w:p>
    <w:p w14:paraId="5CAC1F16" w14:textId="77777777" w:rsidR="00572BA3" w:rsidRDefault="00572BA3" w:rsidP="004D31AB">
      <w:pPr>
        <w:spacing w:line="200" w:lineRule="exact"/>
        <w:jc w:val="center"/>
        <w:rPr>
          <w:rFonts w:eastAsia="Times New Roman"/>
        </w:rPr>
      </w:pPr>
    </w:p>
    <w:p w14:paraId="52317B1D" w14:textId="77777777" w:rsidR="00572BA3" w:rsidRDefault="00572BA3" w:rsidP="004D31AB">
      <w:pPr>
        <w:spacing w:line="200" w:lineRule="exact"/>
        <w:jc w:val="center"/>
        <w:rPr>
          <w:rFonts w:eastAsia="Times New Roman"/>
        </w:rPr>
      </w:pPr>
    </w:p>
    <w:p w14:paraId="4F4CE57F" w14:textId="77777777" w:rsidR="00572BA3" w:rsidRDefault="00572BA3" w:rsidP="004D31AB">
      <w:pPr>
        <w:spacing w:line="200" w:lineRule="exact"/>
        <w:jc w:val="center"/>
        <w:rPr>
          <w:rFonts w:eastAsia="Times New Roman"/>
        </w:rPr>
      </w:pPr>
    </w:p>
    <w:p w14:paraId="540D0A6F" w14:textId="77777777" w:rsidR="00572BA3" w:rsidRDefault="00572BA3" w:rsidP="004D31AB">
      <w:pPr>
        <w:spacing w:line="200" w:lineRule="exact"/>
        <w:jc w:val="center"/>
        <w:rPr>
          <w:rFonts w:eastAsia="Times New Roman"/>
        </w:rPr>
      </w:pPr>
    </w:p>
    <w:p w14:paraId="1356213D" w14:textId="77777777" w:rsidR="00572BA3" w:rsidRDefault="00572BA3">
      <w:pPr>
        <w:spacing w:line="200" w:lineRule="exact"/>
        <w:rPr>
          <w:rFonts w:eastAsia="Times New Roman"/>
        </w:rPr>
      </w:pPr>
    </w:p>
    <w:p w14:paraId="6A45DDA0" w14:textId="77777777" w:rsidR="00572BA3" w:rsidRDefault="00572BA3">
      <w:pPr>
        <w:spacing w:line="200" w:lineRule="exact"/>
        <w:rPr>
          <w:rFonts w:eastAsia="Times New Roman"/>
        </w:rPr>
      </w:pPr>
    </w:p>
    <w:p w14:paraId="1554335F" w14:textId="77777777" w:rsidR="00572BA3" w:rsidRDefault="00572BA3">
      <w:pPr>
        <w:spacing w:line="200" w:lineRule="exact"/>
        <w:rPr>
          <w:rFonts w:eastAsia="Times New Roman"/>
        </w:rPr>
      </w:pPr>
    </w:p>
    <w:p w14:paraId="5A437ABC" w14:textId="77777777" w:rsidR="00572BA3" w:rsidRDefault="00572BA3">
      <w:pPr>
        <w:spacing w:line="200" w:lineRule="exact"/>
        <w:rPr>
          <w:rFonts w:eastAsia="Times New Roman"/>
        </w:rPr>
      </w:pPr>
    </w:p>
    <w:p w14:paraId="69C8531D" w14:textId="77777777" w:rsidR="00572BA3" w:rsidRDefault="00572BA3">
      <w:pPr>
        <w:spacing w:line="200" w:lineRule="exact"/>
        <w:rPr>
          <w:rFonts w:eastAsia="Times New Roman"/>
        </w:rPr>
      </w:pPr>
    </w:p>
    <w:p w14:paraId="4529710D" w14:textId="77777777" w:rsidR="00572BA3" w:rsidRDefault="00572BA3">
      <w:pPr>
        <w:spacing w:line="200" w:lineRule="exact"/>
        <w:rPr>
          <w:rFonts w:eastAsia="Times New Roman"/>
        </w:rPr>
      </w:pPr>
    </w:p>
    <w:p w14:paraId="61E2E0AE" w14:textId="77777777" w:rsidR="00572BA3" w:rsidRDefault="00572BA3">
      <w:pPr>
        <w:spacing w:line="200" w:lineRule="exact"/>
        <w:rPr>
          <w:rFonts w:eastAsia="Times New Roman"/>
        </w:rPr>
      </w:pPr>
    </w:p>
    <w:p w14:paraId="57D24EB2" w14:textId="77777777" w:rsidR="00572BA3" w:rsidRDefault="00572BA3">
      <w:pPr>
        <w:spacing w:line="200" w:lineRule="exact"/>
        <w:rPr>
          <w:rFonts w:eastAsia="Times New Roman"/>
        </w:rPr>
      </w:pPr>
    </w:p>
    <w:p w14:paraId="3A21FA8D" w14:textId="77777777" w:rsidR="00572BA3" w:rsidRDefault="00572BA3">
      <w:pPr>
        <w:spacing w:line="200" w:lineRule="exact"/>
        <w:rPr>
          <w:rFonts w:eastAsia="Times New Roman"/>
        </w:rPr>
      </w:pPr>
    </w:p>
    <w:p w14:paraId="4495BEAD" w14:textId="77777777" w:rsidR="00572BA3" w:rsidRDefault="00572BA3">
      <w:pPr>
        <w:spacing w:line="200" w:lineRule="exact"/>
        <w:rPr>
          <w:rFonts w:eastAsia="Times New Roman"/>
        </w:rPr>
      </w:pPr>
    </w:p>
    <w:p w14:paraId="3FC0C951" w14:textId="77777777" w:rsidR="00572BA3" w:rsidRDefault="00572BA3">
      <w:pPr>
        <w:spacing w:line="200" w:lineRule="exact"/>
        <w:rPr>
          <w:rFonts w:eastAsia="Times New Roman"/>
        </w:rPr>
      </w:pPr>
    </w:p>
    <w:p w14:paraId="61F7F36D" w14:textId="77777777" w:rsidR="00572BA3" w:rsidRDefault="00572BA3">
      <w:pPr>
        <w:spacing w:line="200" w:lineRule="exact"/>
        <w:rPr>
          <w:rFonts w:eastAsia="Times New Roman"/>
        </w:rPr>
      </w:pPr>
    </w:p>
    <w:p w14:paraId="004295FC" w14:textId="77777777" w:rsidR="00572BA3" w:rsidRDefault="00572BA3">
      <w:pPr>
        <w:spacing w:line="200" w:lineRule="exact"/>
        <w:rPr>
          <w:rFonts w:eastAsia="Times New Roman"/>
        </w:rPr>
      </w:pPr>
    </w:p>
    <w:p w14:paraId="1580A1EB" w14:textId="77777777" w:rsidR="00572BA3" w:rsidRDefault="00572BA3">
      <w:pPr>
        <w:spacing w:line="200" w:lineRule="exact"/>
        <w:rPr>
          <w:rFonts w:eastAsia="Times New Roman"/>
        </w:rPr>
      </w:pPr>
    </w:p>
    <w:p w14:paraId="02D05EC9" w14:textId="77777777" w:rsidR="00572BA3" w:rsidRDefault="00572BA3">
      <w:pPr>
        <w:spacing w:line="200" w:lineRule="exact"/>
        <w:rPr>
          <w:rFonts w:eastAsia="Times New Roman"/>
        </w:rPr>
      </w:pPr>
    </w:p>
    <w:p w14:paraId="0ED0FF86" w14:textId="77777777" w:rsidR="00572BA3" w:rsidRDefault="00572BA3">
      <w:pPr>
        <w:spacing w:line="200" w:lineRule="exact"/>
        <w:rPr>
          <w:rFonts w:eastAsia="Times New Roman"/>
        </w:rPr>
      </w:pPr>
    </w:p>
    <w:p w14:paraId="02E76DB1" w14:textId="77777777" w:rsidR="00572BA3" w:rsidRDefault="00572BA3">
      <w:pPr>
        <w:spacing w:line="200" w:lineRule="exact"/>
        <w:rPr>
          <w:rFonts w:eastAsia="Times New Roman"/>
        </w:rPr>
      </w:pPr>
    </w:p>
    <w:p w14:paraId="0367C9D8" w14:textId="77777777" w:rsidR="00572BA3" w:rsidRDefault="00572BA3">
      <w:pPr>
        <w:spacing w:line="200" w:lineRule="exact"/>
        <w:rPr>
          <w:rFonts w:eastAsia="Times New Roman"/>
        </w:rPr>
      </w:pPr>
    </w:p>
    <w:p w14:paraId="3FB72564" w14:textId="77777777" w:rsidR="00572BA3" w:rsidRDefault="00572BA3">
      <w:pPr>
        <w:spacing w:line="223" w:lineRule="exact"/>
        <w:rPr>
          <w:rFonts w:eastAsia="Times New Roman"/>
        </w:rPr>
      </w:pPr>
    </w:p>
    <w:p w14:paraId="702239A6" w14:textId="77777777" w:rsidR="00572BA3" w:rsidRDefault="00572BA3">
      <w:pPr>
        <w:rPr>
          <w:rFonts w:eastAsia="Times New Roman"/>
        </w:rPr>
      </w:pPr>
    </w:p>
    <w:p w14:paraId="6C0A919C" w14:textId="77777777" w:rsidR="00A13E61" w:rsidRDefault="00A13E61">
      <w:pPr>
        <w:rPr>
          <w:rFonts w:eastAsia="Times New Roman"/>
        </w:rPr>
      </w:pPr>
    </w:p>
    <w:p w14:paraId="6C80F4B2" w14:textId="77777777" w:rsidR="00A13E61" w:rsidRDefault="00A13E61">
      <w:pPr>
        <w:rPr>
          <w:rFonts w:eastAsia="Times New Roman"/>
        </w:rPr>
      </w:pPr>
    </w:p>
    <w:p w14:paraId="2A384794" w14:textId="77777777" w:rsidR="00A13E61" w:rsidRDefault="00A13E61">
      <w:pPr>
        <w:rPr>
          <w:rFonts w:eastAsia="Times New Roman"/>
        </w:rPr>
      </w:pPr>
    </w:p>
    <w:p w14:paraId="4C1EB66E" w14:textId="77777777" w:rsidR="00A13E61" w:rsidRDefault="00A13E61">
      <w:pPr>
        <w:rPr>
          <w:rFonts w:eastAsia="Times New Roman"/>
        </w:rPr>
      </w:pPr>
    </w:p>
    <w:p w14:paraId="5149869B" w14:textId="77777777" w:rsidR="00A13E61" w:rsidRDefault="00A13E61">
      <w:pPr>
        <w:rPr>
          <w:rFonts w:eastAsia="Times New Roman"/>
        </w:rPr>
      </w:pPr>
    </w:p>
    <w:p w14:paraId="0CBDD0B0" w14:textId="77777777" w:rsidR="00A13E61" w:rsidRDefault="00A13E61">
      <w:pPr>
        <w:rPr>
          <w:rFonts w:eastAsia="Times New Roman"/>
        </w:rPr>
      </w:pPr>
    </w:p>
    <w:p w14:paraId="68FBA463" w14:textId="77777777" w:rsidR="00A13E61" w:rsidRDefault="00A13E61">
      <w:pPr>
        <w:rPr>
          <w:rFonts w:eastAsia="Times New Roman"/>
        </w:rPr>
      </w:pPr>
    </w:p>
    <w:p w14:paraId="18DE4980" w14:textId="77777777" w:rsidR="00A13E61" w:rsidRDefault="00A13E61">
      <w:pPr>
        <w:rPr>
          <w:rFonts w:eastAsia="Times New Roman"/>
        </w:rPr>
      </w:pPr>
    </w:p>
    <w:p w14:paraId="22B67DAE" w14:textId="77777777" w:rsidR="00A13E61" w:rsidRPr="009F21BD" w:rsidRDefault="00A13E61" w:rsidP="00A13E61"/>
    <w:tbl>
      <w:tblPr>
        <w:tblpPr w:leftFromText="141" w:rightFromText="141" w:vertAnchor="page" w:horzAnchor="margin" w:tblpY="258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81"/>
        <w:gridCol w:w="4983"/>
      </w:tblGrid>
      <w:tr w:rsidR="00A13E61" w:rsidRPr="009F21BD" w14:paraId="17060F81" w14:textId="77777777" w:rsidTr="00C53CB9">
        <w:trPr>
          <w:trHeight w:val="98"/>
        </w:trPr>
        <w:tc>
          <w:tcPr>
            <w:tcW w:w="4481" w:type="dxa"/>
            <w:shd w:val="clear" w:color="auto" w:fill="auto"/>
          </w:tcPr>
          <w:p w14:paraId="4E004F4E" w14:textId="77777777" w:rsidR="00A13E61" w:rsidRPr="009F21BD" w:rsidRDefault="00A13E61" w:rsidP="00C53CB9">
            <w:pPr>
              <w:autoSpaceDE w:val="0"/>
              <w:autoSpaceDN w:val="0"/>
              <w:adjustRightInd w:val="0"/>
              <w:rPr>
                <w:b/>
                <w:bCs/>
                <w:sz w:val="22"/>
                <w:szCs w:val="22"/>
              </w:rPr>
            </w:pPr>
          </w:p>
          <w:p w14:paraId="7CEF4E08" w14:textId="77777777" w:rsidR="00A13E61" w:rsidRPr="009F21BD" w:rsidRDefault="00A13E61" w:rsidP="00C53CB9">
            <w:pPr>
              <w:autoSpaceDE w:val="0"/>
              <w:autoSpaceDN w:val="0"/>
              <w:adjustRightInd w:val="0"/>
              <w:jc w:val="center"/>
              <w:rPr>
                <w:sz w:val="22"/>
                <w:szCs w:val="22"/>
              </w:rPr>
            </w:pPr>
            <w:r w:rsidRPr="009F21BD">
              <w:rPr>
                <w:b/>
                <w:bCs/>
                <w:sz w:val="22"/>
                <w:szCs w:val="22"/>
              </w:rPr>
              <w:t>Nr kodu</w:t>
            </w:r>
          </w:p>
        </w:tc>
        <w:tc>
          <w:tcPr>
            <w:tcW w:w="4983" w:type="dxa"/>
            <w:shd w:val="clear" w:color="auto" w:fill="auto"/>
          </w:tcPr>
          <w:p w14:paraId="03917BED" w14:textId="77777777" w:rsidR="00A13E61" w:rsidRPr="009F21BD" w:rsidRDefault="00A13E61" w:rsidP="00C53CB9">
            <w:pPr>
              <w:autoSpaceDE w:val="0"/>
              <w:autoSpaceDN w:val="0"/>
              <w:adjustRightInd w:val="0"/>
              <w:rPr>
                <w:b/>
                <w:bCs/>
                <w:sz w:val="22"/>
                <w:szCs w:val="22"/>
              </w:rPr>
            </w:pPr>
          </w:p>
          <w:p w14:paraId="7F4BDFAD" w14:textId="77777777" w:rsidR="00A13E61" w:rsidRPr="009F21BD" w:rsidRDefault="00A13E61" w:rsidP="00C53CB9">
            <w:pPr>
              <w:autoSpaceDE w:val="0"/>
              <w:autoSpaceDN w:val="0"/>
              <w:adjustRightInd w:val="0"/>
              <w:rPr>
                <w:b/>
                <w:bCs/>
                <w:sz w:val="22"/>
                <w:szCs w:val="22"/>
              </w:rPr>
            </w:pPr>
            <w:r w:rsidRPr="009F21BD">
              <w:rPr>
                <w:b/>
                <w:bCs/>
                <w:sz w:val="22"/>
                <w:szCs w:val="22"/>
              </w:rPr>
              <w:t xml:space="preserve">Objaśnienie </w:t>
            </w:r>
          </w:p>
          <w:p w14:paraId="1CD0F2FA" w14:textId="77777777" w:rsidR="00A13E61" w:rsidRPr="009F21BD" w:rsidRDefault="00A13E61" w:rsidP="00C53CB9">
            <w:pPr>
              <w:autoSpaceDE w:val="0"/>
              <w:autoSpaceDN w:val="0"/>
              <w:adjustRightInd w:val="0"/>
              <w:rPr>
                <w:sz w:val="22"/>
                <w:szCs w:val="22"/>
              </w:rPr>
            </w:pPr>
          </w:p>
        </w:tc>
      </w:tr>
      <w:tr w:rsidR="00A13E61" w:rsidRPr="009F21BD" w14:paraId="00B6F41D" w14:textId="77777777" w:rsidTr="00C53CB9">
        <w:trPr>
          <w:trHeight w:val="100"/>
        </w:trPr>
        <w:tc>
          <w:tcPr>
            <w:tcW w:w="4481" w:type="dxa"/>
            <w:shd w:val="clear" w:color="auto" w:fill="auto"/>
            <w:vAlign w:val="center"/>
          </w:tcPr>
          <w:p w14:paraId="5E8D818E" w14:textId="77777777" w:rsidR="00A13E61" w:rsidRPr="009F21BD" w:rsidRDefault="00A13E61" w:rsidP="00C53CB9">
            <w:pPr>
              <w:autoSpaceDE w:val="0"/>
              <w:autoSpaceDN w:val="0"/>
              <w:adjustRightInd w:val="0"/>
              <w:jc w:val="center"/>
              <w:rPr>
                <w:sz w:val="22"/>
                <w:szCs w:val="22"/>
              </w:rPr>
            </w:pPr>
            <w:r w:rsidRPr="009F21BD">
              <w:rPr>
                <w:sz w:val="22"/>
                <w:szCs w:val="22"/>
              </w:rPr>
              <w:t>W-00</w:t>
            </w:r>
          </w:p>
        </w:tc>
        <w:tc>
          <w:tcPr>
            <w:tcW w:w="4983" w:type="dxa"/>
            <w:shd w:val="clear" w:color="auto" w:fill="auto"/>
          </w:tcPr>
          <w:p w14:paraId="75B01F8A" w14:textId="77777777" w:rsidR="00A13E61" w:rsidRPr="009F21BD" w:rsidRDefault="00A13E61" w:rsidP="00C53CB9">
            <w:pPr>
              <w:autoSpaceDE w:val="0"/>
              <w:autoSpaceDN w:val="0"/>
              <w:adjustRightInd w:val="0"/>
              <w:rPr>
                <w:sz w:val="22"/>
                <w:szCs w:val="22"/>
              </w:rPr>
            </w:pPr>
            <w:r w:rsidRPr="009F21BD">
              <w:rPr>
                <w:sz w:val="22"/>
                <w:szCs w:val="22"/>
              </w:rPr>
              <w:t xml:space="preserve">Weryfikacja pozytywna </w:t>
            </w:r>
          </w:p>
        </w:tc>
      </w:tr>
      <w:tr w:rsidR="00A13E61" w:rsidRPr="009F21BD" w14:paraId="3234C548" w14:textId="77777777" w:rsidTr="00C53CB9">
        <w:trPr>
          <w:trHeight w:val="258"/>
        </w:trPr>
        <w:tc>
          <w:tcPr>
            <w:tcW w:w="4481" w:type="dxa"/>
            <w:shd w:val="clear" w:color="auto" w:fill="auto"/>
            <w:vAlign w:val="center"/>
          </w:tcPr>
          <w:p w14:paraId="05BF9D22" w14:textId="77777777" w:rsidR="00A13E61" w:rsidRPr="009F21BD" w:rsidRDefault="00A13E61" w:rsidP="00C53CB9">
            <w:pPr>
              <w:autoSpaceDE w:val="0"/>
              <w:autoSpaceDN w:val="0"/>
              <w:adjustRightInd w:val="0"/>
              <w:jc w:val="center"/>
              <w:rPr>
                <w:sz w:val="22"/>
                <w:szCs w:val="22"/>
              </w:rPr>
            </w:pPr>
            <w:r w:rsidRPr="009F21BD">
              <w:rPr>
                <w:sz w:val="22"/>
                <w:szCs w:val="22"/>
              </w:rPr>
              <w:t>W-01</w:t>
            </w:r>
          </w:p>
        </w:tc>
        <w:tc>
          <w:tcPr>
            <w:tcW w:w="4983" w:type="dxa"/>
            <w:shd w:val="clear" w:color="auto" w:fill="auto"/>
          </w:tcPr>
          <w:p w14:paraId="22FBD55B" w14:textId="77777777" w:rsidR="00A13E61" w:rsidRPr="009F21BD" w:rsidRDefault="00A13E61" w:rsidP="00C53CB9">
            <w:pPr>
              <w:autoSpaceDE w:val="0"/>
              <w:autoSpaceDN w:val="0"/>
              <w:adjustRightInd w:val="0"/>
              <w:rPr>
                <w:sz w:val="22"/>
                <w:szCs w:val="22"/>
              </w:rPr>
            </w:pPr>
            <w:r w:rsidRPr="009F21BD">
              <w:rPr>
                <w:sz w:val="22"/>
                <w:szCs w:val="22"/>
              </w:rPr>
              <w:t xml:space="preserve">Weryfikacja negatywna – brak kompletnego wypełnienia formularza powiadomienia, </w:t>
            </w:r>
            <w:r w:rsidRPr="009F21BD">
              <w:rPr>
                <w:sz w:val="22"/>
                <w:szCs w:val="22"/>
              </w:rPr>
              <w:br/>
              <w:t xml:space="preserve">o którym mowa </w:t>
            </w:r>
            <w:r w:rsidRPr="00ED6662">
              <w:rPr>
                <w:color w:val="000000"/>
                <w:sz w:val="22"/>
                <w:szCs w:val="22"/>
              </w:rPr>
              <w:t xml:space="preserve">w pkt. </w:t>
            </w:r>
            <w:r w:rsidR="00CA21BA" w:rsidRPr="00ED6662">
              <w:rPr>
                <w:color w:val="000000"/>
                <w:sz w:val="22"/>
                <w:szCs w:val="22"/>
              </w:rPr>
              <w:t>D</w:t>
            </w:r>
            <w:r w:rsidRPr="00ED6662">
              <w:rPr>
                <w:color w:val="000000"/>
                <w:sz w:val="22"/>
                <w:szCs w:val="22"/>
              </w:rPr>
              <w:t>.2.</w:t>
            </w:r>
            <w:r w:rsidR="006D52A1" w:rsidRPr="00ED6662">
              <w:rPr>
                <w:color w:val="000000"/>
                <w:sz w:val="22"/>
                <w:szCs w:val="22"/>
              </w:rPr>
              <w:t>1.</w:t>
            </w:r>
            <w:r w:rsidRPr="009F21BD">
              <w:rPr>
                <w:sz w:val="22"/>
                <w:szCs w:val="22"/>
              </w:rPr>
              <w:t xml:space="preserve"> IRiESD-Bilansowanie </w:t>
            </w:r>
          </w:p>
        </w:tc>
      </w:tr>
      <w:tr w:rsidR="00A13E61" w:rsidRPr="009F21BD" w14:paraId="52D45D9E" w14:textId="77777777" w:rsidTr="00C53CB9">
        <w:trPr>
          <w:trHeight w:val="100"/>
        </w:trPr>
        <w:tc>
          <w:tcPr>
            <w:tcW w:w="4481" w:type="dxa"/>
            <w:shd w:val="clear" w:color="auto" w:fill="auto"/>
            <w:vAlign w:val="center"/>
          </w:tcPr>
          <w:p w14:paraId="2D811EB5" w14:textId="77777777" w:rsidR="00A13E61" w:rsidRPr="009F21BD" w:rsidRDefault="00A13E61" w:rsidP="00C53CB9">
            <w:pPr>
              <w:autoSpaceDE w:val="0"/>
              <w:autoSpaceDN w:val="0"/>
              <w:adjustRightInd w:val="0"/>
              <w:jc w:val="center"/>
              <w:rPr>
                <w:sz w:val="22"/>
                <w:szCs w:val="22"/>
              </w:rPr>
            </w:pPr>
            <w:r w:rsidRPr="009F21BD">
              <w:rPr>
                <w:sz w:val="22"/>
                <w:szCs w:val="22"/>
              </w:rPr>
              <w:t>W-02 (x)</w:t>
            </w:r>
          </w:p>
        </w:tc>
        <w:tc>
          <w:tcPr>
            <w:tcW w:w="4983" w:type="dxa"/>
            <w:shd w:val="clear" w:color="auto" w:fill="auto"/>
          </w:tcPr>
          <w:p w14:paraId="4D83C2C8" w14:textId="77777777" w:rsidR="00A13E61" w:rsidRPr="009F21BD" w:rsidRDefault="00A13E61" w:rsidP="00C53CB9">
            <w:pPr>
              <w:autoSpaceDE w:val="0"/>
              <w:autoSpaceDN w:val="0"/>
              <w:adjustRightInd w:val="0"/>
              <w:rPr>
                <w:sz w:val="22"/>
                <w:szCs w:val="22"/>
              </w:rPr>
            </w:pPr>
            <w:r w:rsidRPr="009F21BD">
              <w:rPr>
                <w:sz w:val="22"/>
                <w:szCs w:val="22"/>
              </w:rPr>
              <w:t xml:space="preserve">Weryfikacja negatywna – błąd w formularzu powiadamiania w pozycji „x” </w:t>
            </w:r>
          </w:p>
        </w:tc>
      </w:tr>
      <w:tr w:rsidR="00A13E61" w:rsidRPr="009F21BD" w14:paraId="4B3D5378" w14:textId="77777777" w:rsidTr="00C53CB9">
        <w:trPr>
          <w:trHeight w:val="227"/>
        </w:trPr>
        <w:tc>
          <w:tcPr>
            <w:tcW w:w="4481" w:type="dxa"/>
            <w:shd w:val="clear" w:color="auto" w:fill="auto"/>
            <w:vAlign w:val="center"/>
          </w:tcPr>
          <w:p w14:paraId="38184839" w14:textId="77777777" w:rsidR="00A13E61" w:rsidRPr="009F21BD" w:rsidRDefault="00A13E61" w:rsidP="00C53CB9">
            <w:pPr>
              <w:autoSpaceDE w:val="0"/>
              <w:autoSpaceDN w:val="0"/>
              <w:adjustRightInd w:val="0"/>
              <w:jc w:val="center"/>
              <w:rPr>
                <w:sz w:val="22"/>
                <w:szCs w:val="22"/>
              </w:rPr>
            </w:pPr>
            <w:r w:rsidRPr="009F21BD">
              <w:rPr>
                <w:sz w:val="22"/>
                <w:szCs w:val="22"/>
              </w:rPr>
              <w:t>W-03</w:t>
            </w:r>
          </w:p>
        </w:tc>
        <w:tc>
          <w:tcPr>
            <w:tcW w:w="4983" w:type="dxa"/>
            <w:shd w:val="clear" w:color="auto" w:fill="auto"/>
          </w:tcPr>
          <w:p w14:paraId="169773AC" w14:textId="77777777" w:rsidR="00A13E61" w:rsidRPr="009F21BD" w:rsidRDefault="00A13E61" w:rsidP="00C53CB9">
            <w:pPr>
              <w:autoSpaceDE w:val="0"/>
              <w:autoSpaceDN w:val="0"/>
              <w:adjustRightInd w:val="0"/>
              <w:rPr>
                <w:sz w:val="22"/>
                <w:szCs w:val="22"/>
              </w:rPr>
            </w:pPr>
            <w:r w:rsidRPr="009F21BD">
              <w:rPr>
                <w:sz w:val="22"/>
                <w:szCs w:val="22"/>
              </w:rPr>
              <w:t xml:space="preserve">Weryfikacja negatywna – brak umowy </w:t>
            </w:r>
            <w:r w:rsidRPr="009F21BD">
              <w:rPr>
                <w:sz w:val="22"/>
                <w:szCs w:val="22"/>
              </w:rPr>
              <w:br/>
              <w:t xml:space="preserve">o świadczenie usług dystrybucji pomiędzy OSD, a URD </w:t>
            </w:r>
          </w:p>
        </w:tc>
      </w:tr>
      <w:tr w:rsidR="00A13E61" w:rsidRPr="009F21BD" w14:paraId="6A83127C" w14:textId="77777777" w:rsidTr="00C53CB9">
        <w:trPr>
          <w:trHeight w:val="227"/>
        </w:trPr>
        <w:tc>
          <w:tcPr>
            <w:tcW w:w="4481" w:type="dxa"/>
            <w:shd w:val="clear" w:color="auto" w:fill="auto"/>
            <w:vAlign w:val="center"/>
          </w:tcPr>
          <w:p w14:paraId="0AB7EF19" w14:textId="77777777" w:rsidR="00A13E61" w:rsidRPr="009F21BD" w:rsidRDefault="00A13E61" w:rsidP="00C53CB9">
            <w:pPr>
              <w:autoSpaceDE w:val="0"/>
              <w:autoSpaceDN w:val="0"/>
              <w:adjustRightInd w:val="0"/>
              <w:jc w:val="center"/>
              <w:rPr>
                <w:sz w:val="22"/>
                <w:szCs w:val="22"/>
              </w:rPr>
            </w:pPr>
            <w:r w:rsidRPr="009F21BD">
              <w:rPr>
                <w:sz w:val="22"/>
                <w:szCs w:val="22"/>
              </w:rPr>
              <w:t>W-04</w:t>
            </w:r>
          </w:p>
        </w:tc>
        <w:tc>
          <w:tcPr>
            <w:tcW w:w="4983" w:type="dxa"/>
            <w:shd w:val="clear" w:color="auto" w:fill="auto"/>
          </w:tcPr>
          <w:p w14:paraId="4D5C5704" w14:textId="77777777" w:rsidR="00A13E61" w:rsidRPr="009F21BD" w:rsidRDefault="00A13E61" w:rsidP="00C53CB9">
            <w:pPr>
              <w:autoSpaceDE w:val="0"/>
              <w:autoSpaceDN w:val="0"/>
              <w:adjustRightInd w:val="0"/>
              <w:rPr>
                <w:sz w:val="22"/>
                <w:szCs w:val="22"/>
              </w:rPr>
            </w:pPr>
            <w:r w:rsidRPr="009F21BD">
              <w:rPr>
                <w:sz w:val="22"/>
                <w:szCs w:val="22"/>
              </w:rPr>
              <w:t xml:space="preserve">Weryfikacja negatywna – brak umowy dystrybucji pomiędzy OSD, a POB sprzedawcy </w:t>
            </w:r>
          </w:p>
        </w:tc>
      </w:tr>
      <w:tr w:rsidR="00A13E61" w:rsidRPr="009F21BD" w14:paraId="5269A66B" w14:textId="77777777" w:rsidTr="00C53CB9">
        <w:trPr>
          <w:trHeight w:val="227"/>
        </w:trPr>
        <w:tc>
          <w:tcPr>
            <w:tcW w:w="4481" w:type="dxa"/>
            <w:shd w:val="clear" w:color="auto" w:fill="auto"/>
            <w:vAlign w:val="center"/>
          </w:tcPr>
          <w:p w14:paraId="41691DAD" w14:textId="77777777" w:rsidR="00A13E61" w:rsidRPr="009F21BD" w:rsidRDefault="00A13E61" w:rsidP="00C53CB9">
            <w:pPr>
              <w:autoSpaceDE w:val="0"/>
              <w:autoSpaceDN w:val="0"/>
              <w:adjustRightInd w:val="0"/>
              <w:jc w:val="center"/>
              <w:rPr>
                <w:sz w:val="22"/>
                <w:szCs w:val="22"/>
              </w:rPr>
            </w:pPr>
            <w:r w:rsidRPr="009F21BD">
              <w:rPr>
                <w:sz w:val="22"/>
                <w:szCs w:val="22"/>
              </w:rPr>
              <w:t>W-05</w:t>
            </w:r>
          </w:p>
        </w:tc>
        <w:tc>
          <w:tcPr>
            <w:tcW w:w="4983" w:type="dxa"/>
            <w:shd w:val="clear" w:color="auto" w:fill="auto"/>
          </w:tcPr>
          <w:p w14:paraId="78A44EA2" w14:textId="77777777" w:rsidR="00A13E61" w:rsidRPr="009F21BD" w:rsidRDefault="00A13E61" w:rsidP="00C53CB9">
            <w:pPr>
              <w:autoSpaceDE w:val="0"/>
              <w:autoSpaceDN w:val="0"/>
              <w:adjustRightInd w:val="0"/>
              <w:rPr>
                <w:sz w:val="22"/>
                <w:szCs w:val="22"/>
              </w:rPr>
            </w:pPr>
            <w:r w:rsidRPr="009F21BD">
              <w:rPr>
                <w:sz w:val="22"/>
                <w:szCs w:val="22"/>
              </w:rPr>
              <w:t xml:space="preserve">Weryfikacja negatywna – zmiana wybranego sprzedawcy dla danego PPE już występuje </w:t>
            </w:r>
            <w:r w:rsidRPr="009F21BD">
              <w:rPr>
                <w:sz w:val="22"/>
                <w:szCs w:val="22"/>
              </w:rPr>
              <w:br/>
              <w:t xml:space="preserve">w zgłaszanym okresie </w:t>
            </w:r>
          </w:p>
        </w:tc>
      </w:tr>
      <w:tr w:rsidR="00A13E61" w:rsidRPr="009F21BD" w14:paraId="2BBD6639" w14:textId="77777777" w:rsidTr="00C53CB9">
        <w:trPr>
          <w:trHeight w:val="227"/>
        </w:trPr>
        <w:tc>
          <w:tcPr>
            <w:tcW w:w="4481" w:type="dxa"/>
            <w:shd w:val="clear" w:color="auto" w:fill="auto"/>
            <w:vAlign w:val="center"/>
          </w:tcPr>
          <w:p w14:paraId="3A224398" w14:textId="77777777" w:rsidR="00A13E61" w:rsidRPr="009F21BD" w:rsidRDefault="00A13E61" w:rsidP="00C53CB9">
            <w:pPr>
              <w:autoSpaceDE w:val="0"/>
              <w:autoSpaceDN w:val="0"/>
              <w:adjustRightInd w:val="0"/>
              <w:jc w:val="center"/>
              <w:rPr>
                <w:sz w:val="22"/>
                <w:szCs w:val="22"/>
              </w:rPr>
            </w:pPr>
            <w:r w:rsidRPr="009F21BD">
              <w:rPr>
                <w:sz w:val="22"/>
                <w:szCs w:val="22"/>
              </w:rPr>
              <w:t>W-06</w:t>
            </w:r>
          </w:p>
        </w:tc>
        <w:tc>
          <w:tcPr>
            <w:tcW w:w="4983" w:type="dxa"/>
            <w:shd w:val="clear" w:color="auto" w:fill="auto"/>
          </w:tcPr>
          <w:p w14:paraId="4F87E733" w14:textId="77777777" w:rsidR="00A13E61" w:rsidRPr="009F21BD" w:rsidRDefault="00A13E61" w:rsidP="00C53CB9">
            <w:pPr>
              <w:autoSpaceDE w:val="0"/>
              <w:autoSpaceDN w:val="0"/>
              <w:adjustRightInd w:val="0"/>
              <w:rPr>
                <w:sz w:val="22"/>
                <w:szCs w:val="22"/>
              </w:rPr>
            </w:pPr>
            <w:r w:rsidRPr="009F21BD">
              <w:rPr>
                <w:sz w:val="22"/>
                <w:szCs w:val="22"/>
              </w:rPr>
              <w:t xml:space="preserve">Weryfikacja negatywna – brak GUD pomiędzy OSD, a danym Sprzedawcą </w:t>
            </w:r>
          </w:p>
        </w:tc>
      </w:tr>
      <w:tr w:rsidR="00A13E61" w:rsidRPr="009F21BD" w14:paraId="612691EB" w14:textId="77777777" w:rsidTr="00C53CB9">
        <w:trPr>
          <w:trHeight w:val="227"/>
        </w:trPr>
        <w:tc>
          <w:tcPr>
            <w:tcW w:w="4481" w:type="dxa"/>
            <w:shd w:val="clear" w:color="auto" w:fill="auto"/>
            <w:vAlign w:val="center"/>
          </w:tcPr>
          <w:p w14:paraId="1C075241" w14:textId="77777777" w:rsidR="00A13E61" w:rsidRPr="009F21BD" w:rsidRDefault="00A13E61" w:rsidP="00C53CB9">
            <w:pPr>
              <w:autoSpaceDE w:val="0"/>
              <w:autoSpaceDN w:val="0"/>
              <w:adjustRightInd w:val="0"/>
              <w:jc w:val="center"/>
              <w:rPr>
                <w:sz w:val="22"/>
                <w:szCs w:val="22"/>
              </w:rPr>
            </w:pPr>
            <w:r w:rsidRPr="009F21BD">
              <w:rPr>
                <w:sz w:val="22"/>
                <w:szCs w:val="22"/>
              </w:rPr>
              <w:t>W-07</w:t>
            </w:r>
          </w:p>
        </w:tc>
        <w:tc>
          <w:tcPr>
            <w:tcW w:w="4983" w:type="dxa"/>
            <w:shd w:val="clear" w:color="auto" w:fill="auto"/>
          </w:tcPr>
          <w:p w14:paraId="5FEB4E45" w14:textId="77777777" w:rsidR="00A13E61" w:rsidRPr="009F21BD" w:rsidRDefault="00A13E61" w:rsidP="00C53CB9">
            <w:pPr>
              <w:autoSpaceDE w:val="0"/>
              <w:autoSpaceDN w:val="0"/>
              <w:adjustRightInd w:val="0"/>
              <w:rPr>
                <w:sz w:val="22"/>
                <w:szCs w:val="22"/>
              </w:rPr>
            </w:pPr>
            <w:r w:rsidRPr="009F21BD">
              <w:rPr>
                <w:sz w:val="22"/>
                <w:szCs w:val="22"/>
              </w:rPr>
              <w:t xml:space="preserve">Weryfikacja pozytywna – konieczność dostosowania układów pomiarowo-rozliczeniowych przez URDo lub URDw </w:t>
            </w:r>
          </w:p>
        </w:tc>
      </w:tr>
      <w:tr w:rsidR="00A13E61" w:rsidRPr="009F21BD" w14:paraId="4B5D2BF0" w14:textId="77777777" w:rsidTr="00C53CB9">
        <w:trPr>
          <w:trHeight w:val="100"/>
        </w:trPr>
        <w:tc>
          <w:tcPr>
            <w:tcW w:w="4481" w:type="dxa"/>
            <w:shd w:val="clear" w:color="auto" w:fill="auto"/>
            <w:vAlign w:val="center"/>
          </w:tcPr>
          <w:p w14:paraId="1FB8D0F2" w14:textId="77777777" w:rsidR="00A13E61" w:rsidRPr="009F21BD" w:rsidRDefault="00A13E61" w:rsidP="00C53CB9">
            <w:pPr>
              <w:autoSpaceDE w:val="0"/>
              <w:autoSpaceDN w:val="0"/>
              <w:adjustRightInd w:val="0"/>
              <w:jc w:val="center"/>
              <w:rPr>
                <w:sz w:val="22"/>
                <w:szCs w:val="22"/>
              </w:rPr>
            </w:pPr>
            <w:r w:rsidRPr="009F21BD">
              <w:rPr>
                <w:sz w:val="22"/>
                <w:szCs w:val="22"/>
              </w:rPr>
              <w:t>W-08</w:t>
            </w:r>
          </w:p>
        </w:tc>
        <w:tc>
          <w:tcPr>
            <w:tcW w:w="4983" w:type="dxa"/>
            <w:shd w:val="clear" w:color="auto" w:fill="auto"/>
          </w:tcPr>
          <w:p w14:paraId="10348EF6" w14:textId="77777777" w:rsidR="00A13E61" w:rsidRPr="009F21BD" w:rsidRDefault="00A13E61" w:rsidP="00C53CB9">
            <w:pPr>
              <w:autoSpaceDE w:val="0"/>
              <w:autoSpaceDN w:val="0"/>
              <w:adjustRightInd w:val="0"/>
              <w:rPr>
                <w:sz w:val="22"/>
                <w:szCs w:val="22"/>
              </w:rPr>
            </w:pPr>
            <w:r w:rsidRPr="009F21BD">
              <w:rPr>
                <w:sz w:val="22"/>
                <w:szCs w:val="22"/>
              </w:rPr>
              <w:t xml:space="preserve">Weryfikacje negatywna – brak lub błędne wskazanie POB lub MB </w:t>
            </w:r>
          </w:p>
        </w:tc>
      </w:tr>
      <w:tr w:rsidR="00A13E61" w:rsidRPr="009F21BD" w14:paraId="19A50B9C" w14:textId="77777777" w:rsidTr="00C53CB9">
        <w:trPr>
          <w:trHeight w:val="226"/>
        </w:trPr>
        <w:tc>
          <w:tcPr>
            <w:tcW w:w="4481" w:type="dxa"/>
            <w:shd w:val="clear" w:color="auto" w:fill="auto"/>
            <w:vAlign w:val="center"/>
          </w:tcPr>
          <w:p w14:paraId="506B7559" w14:textId="77777777" w:rsidR="00A13E61" w:rsidRPr="009F21BD" w:rsidRDefault="00A13E61" w:rsidP="00C53CB9">
            <w:pPr>
              <w:autoSpaceDE w:val="0"/>
              <w:autoSpaceDN w:val="0"/>
              <w:adjustRightInd w:val="0"/>
              <w:jc w:val="center"/>
              <w:rPr>
                <w:sz w:val="22"/>
                <w:szCs w:val="22"/>
              </w:rPr>
            </w:pPr>
            <w:r w:rsidRPr="009F21BD">
              <w:rPr>
                <w:sz w:val="22"/>
                <w:szCs w:val="22"/>
              </w:rPr>
              <w:t>W-09</w:t>
            </w:r>
          </w:p>
        </w:tc>
        <w:tc>
          <w:tcPr>
            <w:tcW w:w="4983" w:type="dxa"/>
            <w:shd w:val="clear" w:color="auto" w:fill="auto"/>
          </w:tcPr>
          <w:p w14:paraId="4581A508" w14:textId="77777777" w:rsidR="00A13E61" w:rsidRPr="009F21BD" w:rsidRDefault="00A13E61" w:rsidP="00C53CB9">
            <w:pPr>
              <w:autoSpaceDE w:val="0"/>
              <w:autoSpaceDN w:val="0"/>
              <w:adjustRightInd w:val="0"/>
              <w:rPr>
                <w:sz w:val="22"/>
                <w:szCs w:val="22"/>
              </w:rPr>
            </w:pPr>
            <w:r w:rsidRPr="009F21BD">
              <w:rPr>
                <w:sz w:val="22"/>
                <w:szCs w:val="22"/>
              </w:rPr>
              <w:t xml:space="preserve">Weryfikacja negatywna - zgłoszenie umowy kompleksowej dotyczy PPE, dla którego nie jest możliwa realizacja umowy kompleksowej </w:t>
            </w:r>
          </w:p>
        </w:tc>
      </w:tr>
      <w:tr w:rsidR="00A13E61" w:rsidRPr="009F21BD" w14:paraId="37365DFE" w14:textId="77777777" w:rsidTr="00C53CB9">
        <w:trPr>
          <w:trHeight w:val="226"/>
        </w:trPr>
        <w:tc>
          <w:tcPr>
            <w:tcW w:w="4481" w:type="dxa"/>
            <w:shd w:val="clear" w:color="auto" w:fill="auto"/>
            <w:vAlign w:val="center"/>
          </w:tcPr>
          <w:p w14:paraId="6BBB2222" w14:textId="77777777" w:rsidR="00A13E61" w:rsidRPr="009F21BD" w:rsidRDefault="00A13E61" w:rsidP="00C53CB9">
            <w:pPr>
              <w:autoSpaceDE w:val="0"/>
              <w:autoSpaceDN w:val="0"/>
              <w:adjustRightInd w:val="0"/>
              <w:jc w:val="center"/>
              <w:rPr>
                <w:sz w:val="23"/>
                <w:szCs w:val="23"/>
              </w:rPr>
            </w:pPr>
            <w:r w:rsidRPr="009F21BD">
              <w:rPr>
                <w:sz w:val="23"/>
                <w:szCs w:val="23"/>
              </w:rPr>
              <w:t>W-10</w:t>
            </w:r>
          </w:p>
        </w:tc>
        <w:tc>
          <w:tcPr>
            <w:tcW w:w="4983" w:type="dxa"/>
            <w:shd w:val="clear" w:color="auto" w:fill="auto"/>
          </w:tcPr>
          <w:p w14:paraId="0519509E" w14:textId="77777777" w:rsidR="00A13E61" w:rsidRPr="009F21BD" w:rsidRDefault="00A13E61" w:rsidP="00C53CB9">
            <w:pPr>
              <w:autoSpaceDE w:val="0"/>
              <w:autoSpaceDN w:val="0"/>
              <w:adjustRightInd w:val="0"/>
              <w:rPr>
                <w:sz w:val="22"/>
                <w:szCs w:val="22"/>
              </w:rPr>
            </w:pPr>
            <w:r w:rsidRPr="009F21BD">
              <w:rPr>
                <w:sz w:val="22"/>
                <w:szCs w:val="22"/>
              </w:rPr>
              <w:t xml:space="preserve">Weryfikacja negatywna – inne (kod ten będzie uzupełniany o przyczynę weryfikacji negatywnej) </w:t>
            </w:r>
          </w:p>
        </w:tc>
      </w:tr>
    </w:tbl>
    <w:p w14:paraId="3BC0B3A3" w14:textId="77777777" w:rsidR="00A13E61" w:rsidRDefault="00A13E61" w:rsidP="00A13E61">
      <w:pPr>
        <w:rPr>
          <w:b/>
          <w:bCs/>
        </w:rPr>
      </w:pPr>
      <w:r w:rsidRPr="009F21BD">
        <w:rPr>
          <w:b/>
          <w:bCs/>
        </w:rPr>
        <w:t xml:space="preserve">Lista kodów, którymi OSD informuje Sprzedawcę o wyniku przeprowadzonej weryfikacji zgłoszonych umów sprzedaży energii elektrycznej </w:t>
      </w:r>
    </w:p>
    <w:p w14:paraId="6AB8504D" w14:textId="77777777" w:rsidR="00A13E61" w:rsidRDefault="00A13E61" w:rsidP="00A13E61"/>
    <w:p w14:paraId="3BED7CE1" w14:textId="77777777" w:rsidR="00A13E61" w:rsidRDefault="00A13E61" w:rsidP="00A13E61"/>
    <w:p w14:paraId="20DC9497" w14:textId="77777777" w:rsidR="001F51D6" w:rsidRDefault="001F51D6" w:rsidP="00A13E61"/>
    <w:p w14:paraId="493D17F5" w14:textId="77777777" w:rsidR="001F51D6" w:rsidRDefault="001F51D6" w:rsidP="00A13E61"/>
    <w:p w14:paraId="47CCE732" w14:textId="77777777" w:rsidR="001F51D6" w:rsidRDefault="001F51D6" w:rsidP="00A13E61"/>
    <w:p w14:paraId="1ACE5729" w14:textId="77777777" w:rsidR="001F51D6" w:rsidRDefault="001F51D6" w:rsidP="00A13E61"/>
    <w:p w14:paraId="78F28C3E" w14:textId="77777777" w:rsidR="001F51D6" w:rsidRDefault="001F51D6" w:rsidP="00A13E61"/>
    <w:p w14:paraId="0BFB2A40" w14:textId="77777777" w:rsidR="001F51D6" w:rsidRDefault="001F51D6" w:rsidP="00A13E61"/>
    <w:p w14:paraId="3D909950" w14:textId="77777777" w:rsidR="001F51D6" w:rsidRDefault="001F51D6" w:rsidP="00A13E61"/>
    <w:p w14:paraId="6F567783" w14:textId="77777777" w:rsidR="001F51D6" w:rsidRDefault="001F51D6" w:rsidP="00A13E61"/>
    <w:p w14:paraId="6333DA8B" w14:textId="77777777" w:rsidR="001F51D6" w:rsidRDefault="001F51D6" w:rsidP="00A13E61"/>
    <w:p w14:paraId="5753ED5F" w14:textId="77777777" w:rsidR="001F51D6" w:rsidRDefault="001F51D6" w:rsidP="00A13E61"/>
    <w:p w14:paraId="49C63E69" w14:textId="77777777" w:rsidR="001F51D6" w:rsidRDefault="001F51D6" w:rsidP="00A13E61"/>
    <w:p w14:paraId="5555275F" w14:textId="77777777" w:rsidR="001F51D6" w:rsidRDefault="001F51D6" w:rsidP="00A13E61"/>
    <w:p w14:paraId="3ED45090" w14:textId="77777777" w:rsidR="001F51D6" w:rsidRDefault="001F51D6" w:rsidP="00A13E61"/>
    <w:p w14:paraId="7223711C" w14:textId="77777777" w:rsidR="001F51D6" w:rsidRDefault="001F51D6" w:rsidP="00A13E61"/>
    <w:p w14:paraId="54B74657" w14:textId="77777777" w:rsidR="001F51D6" w:rsidRDefault="001F51D6" w:rsidP="00A13E61"/>
    <w:p w14:paraId="16126B86" w14:textId="77777777" w:rsidR="001F51D6" w:rsidRDefault="001F51D6" w:rsidP="00A13E61"/>
    <w:p w14:paraId="5BB3A714" w14:textId="77777777" w:rsidR="001F51D6" w:rsidRDefault="001F51D6" w:rsidP="00A13E61"/>
    <w:p w14:paraId="161D9B56" w14:textId="77777777" w:rsidR="001F51D6" w:rsidRDefault="001F51D6" w:rsidP="00A13E61"/>
    <w:p w14:paraId="277A7C9A" w14:textId="5B9CB43C" w:rsidR="00A72E84" w:rsidRPr="0023786E" w:rsidRDefault="00A72E84" w:rsidP="00A72E84">
      <w:pPr>
        <w:pStyle w:val="Nagwek1"/>
        <w:jc w:val="both"/>
      </w:pPr>
      <w:bookmarkStart w:id="153" w:name="_Toc141963935"/>
      <w:bookmarkStart w:id="154" w:name="_Hlk113956398"/>
      <w:r w:rsidRPr="0023786E">
        <w:rPr>
          <w:w w:val="105"/>
        </w:rPr>
        <w:t>Załącznik</w:t>
      </w:r>
      <w:r w:rsidRPr="0023786E">
        <w:rPr>
          <w:spacing w:val="-1"/>
          <w:w w:val="105"/>
        </w:rPr>
        <w:t xml:space="preserve"> </w:t>
      </w:r>
      <w:r w:rsidRPr="0023786E">
        <w:rPr>
          <w:w w:val="105"/>
        </w:rPr>
        <w:t>nr</w:t>
      </w:r>
      <w:r w:rsidRPr="0023786E">
        <w:rPr>
          <w:spacing w:val="-20"/>
          <w:w w:val="105"/>
        </w:rPr>
        <w:t xml:space="preserve"> </w:t>
      </w:r>
      <w:r w:rsidR="0023786E" w:rsidRPr="0023786E">
        <w:rPr>
          <w:spacing w:val="-20"/>
          <w:w w:val="105"/>
        </w:rPr>
        <w:t>4</w:t>
      </w:r>
      <w:r w:rsidRPr="0023786E">
        <w:rPr>
          <w:spacing w:val="-22"/>
          <w:w w:val="105"/>
        </w:rPr>
        <w:t xml:space="preserve"> </w:t>
      </w:r>
      <w:r w:rsidR="000C062A" w:rsidRPr="0023786E">
        <w:rPr>
          <w:spacing w:val="-22"/>
          <w:w w:val="105"/>
        </w:rPr>
        <w:t xml:space="preserve">- </w:t>
      </w:r>
      <w:r w:rsidR="000C062A" w:rsidRPr="0023786E">
        <w:rPr>
          <w:b w:val="0"/>
          <w:bCs w:val="0"/>
          <w:w w:val="105"/>
        </w:rPr>
        <w:t>Istotne</w:t>
      </w:r>
      <w:r w:rsidR="000C062A" w:rsidRPr="0023786E">
        <w:rPr>
          <w:b w:val="0"/>
          <w:bCs w:val="0"/>
          <w:spacing w:val="-7"/>
          <w:w w:val="105"/>
        </w:rPr>
        <w:t xml:space="preserve"> </w:t>
      </w:r>
      <w:r w:rsidR="000C062A" w:rsidRPr="0023786E">
        <w:rPr>
          <w:b w:val="0"/>
          <w:bCs w:val="0"/>
          <w:w w:val="105"/>
        </w:rPr>
        <w:t>postanowienia</w:t>
      </w:r>
      <w:r w:rsidR="000C062A" w:rsidRPr="0023786E">
        <w:rPr>
          <w:b w:val="0"/>
          <w:bCs w:val="0"/>
          <w:spacing w:val="6"/>
          <w:w w:val="105"/>
        </w:rPr>
        <w:t xml:space="preserve"> </w:t>
      </w:r>
      <w:r w:rsidR="000C062A" w:rsidRPr="0023786E">
        <w:rPr>
          <w:b w:val="0"/>
          <w:bCs w:val="0"/>
          <w:w w:val="105"/>
        </w:rPr>
        <w:t>umów</w:t>
      </w:r>
      <w:r w:rsidR="000C062A" w:rsidRPr="0023786E">
        <w:rPr>
          <w:b w:val="0"/>
          <w:bCs w:val="0"/>
          <w:spacing w:val="-11"/>
          <w:w w:val="105"/>
        </w:rPr>
        <w:t xml:space="preserve"> </w:t>
      </w:r>
      <w:r w:rsidR="000C062A" w:rsidRPr="0023786E">
        <w:rPr>
          <w:b w:val="0"/>
          <w:bCs w:val="0"/>
          <w:w w:val="105"/>
        </w:rPr>
        <w:t>o</w:t>
      </w:r>
      <w:r w:rsidR="000C062A" w:rsidRPr="0023786E">
        <w:rPr>
          <w:b w:val="0"/>
          <w:bCs w:val="0"/>
          <w:spacing w:val="-16"/>
          <w:w w:val="105"/>
        </w:rPr>
        <w:t xml:space="preserve"> </w:t>
      </w:r>
      <w:r w:rsidR="000C062A" w:rsidRPr="0023786E">
        <w:rPr>
          <w:b w:val="0"/>
          <w:bCs w:val="0"/>
          <w:w w:val="105"/>
        </w:rPr>
        <w:t>świadczenie usług dystrybucji zawieranych ze sprzedawcami</w:t>
      </w:r>
      <w:bookmarkEnd w:id="153"/>
    </w:p>
    <w:p w14:paraId="3C2ED06D" w14:textId="77777777" w:rsidR="00A72E84" w:rsidRDefault="00A72E84" w:rsidP="00A72E84">
      <w:pPr>
        <w:pStyle w:val="Tekstpodstawowy"/>
        <w:spacing w:before="9"/>
        <w:rPr>
          <w:i/>
        </w:rPr>
      </w:pPr>
    </w:p>
    <w:p w14:paraId="42AEFF6D" w14:textId="77777777" w:rsidR="000C062A" w:rsidRDefault="000C062A" w:rsidP="00A72E84">
      <w:pPr>
        <w:spacing w:before="1" w:line="268" w:lineRule="auto"/>
        <w:ind w:left="1833" w:right="706" w:hanging="1124"/>
        <w:jc w:val="both"/>
        <w:rPr>
          <w:rFonts w:cs="Times New Roman"/>
          <w:b/>
          <w:color w:val="000000"/>
          <w:w w:val="105"/>
          <w:szCs w:val="24"/>
        </w:rPr>
      </w:pPr>
    </w:p>
    <w:p w14:paraId="19C51411" w14:textId="77777777" w:rsidR="000C062A" w:rsidRDefault="000C062A" w:rsidP="00A72E84">
      <w:pPr>
        <w:spacing w:before="1" w:line="268" w:lineRule="auto"/>
        <w:ind w:left="1833" w:right="706" w:hanging="1124"/>
        <w:jc w:val="both"/>
        <w:rPr>
          <w:rFonts w:cs="Times New Roman"/>
          <w:b/>
          <w:color w:val="000000"/>
          <w:w w:val="105"/>
          <w:szCs w:val="24"/>
        </w:rPr>
      </w:pPr>
    </w:p>
    <w:p w14:paraId="6AFEBBC3" w14:textId="4E89DBE1" w:rsidR="00A72E84" w:rsidRDefault="00A72E84" w:rsidP="00A72E84">
      <w:pPr>
        <w:spacing w:before="1" w:line="268" w:lineRule="auto"/>
        <w:ind w:left="1833" w:right="706" w:hanging="1124"/>
        <w:jc w:val="both"/>
        <w:rPr>
          <w:rFonts w:cs="Times New Roman"/>
          <w:b/>
          <w:color w:val="000000"/>
          <w:szCs w:val="24"/>
        </w:rPr>
      </w:pPr>
      <w:r>
        <w:rPr>
          <w:rFonts w:cs="Times New Roman"/>
          <w:b/>
          <w:color w:val="000000"/>
          <w:w w:val="105"/>
          <w:szCs w:val="24"/>
        </w:rPr>
        <w:t>ISTOTNE POSTANOWIENIA UMÓW O ŚWIADCZENIE USŁUG DYSTRYBUCJI ZAWIERANYCH ZE SPRZEDAWCAMI</w:t>
      </w:r>
    </w:p>
    <w:p w14:paraId="5444473E" w14:textId="77777777" w:rsidR="00A72E84" w:rsidRDefault="00A72E84" w:rsidP="00A72E84">
      <w:pPr>
        <w:pStyle w:val="Tekstpodstawowy"/>
        <w:spacing w:before="10"/>
        <w:rPr>
          <w:b/>
        </w:rPr>
      </w:pPr>
    </w:p>
    <w:bookmarkEnd w:id="154"/>
    <w:p w14:paraId="5E40D723" w14:textId="77777777" w:rsidR="00051FAD" w:rsidRPr="003A2B98" w:rsidRDefault="00051FAD" w:rsidP="00051FAD">
      <w:pPr>
        <w:spacing w:before="91"/>
        <w:ind w:right="2"/>
        <w:rPr>
          <w:rFonts w:cs="Times New Roman"/>
          <w:color w:val="000000"/>
          <w:szCs w:val="24"/>
        </w:rPr>
      </w:pPr>
      <w:r w:rsidRPr="003A2B98">
        <w:rPr>
          <w:rFonts w:cs="Times New Roman"/>
          <w:color w:val="000000"/>
          <w:w w:val="105"/>
          <w:szCs w:val="24"/>
        </w:rPr>
        <w:t>GUD-K zawiera następujące istotne postanowienia:</w:t>
      </w:r>
    </w:p>
    <w:p w14:paraId="788A47A2" w14:textId="77777777" w:rsidR="00051FAD" w:rsidRPr="003A2B98" w:rsidRDefault="00051FAD">
      <w:pPr>
        <w:pStyle w:val="Akapitzlist"/>
        <w:widowControl w:val="0"/>
        <w:numPr>
          <w:ilvl w:val="0"/>
          <w:numId w:val="302"/>
        </w:numPr>
        <w:autoSpaceDE w:val="0"/>
        <w:autoSpaceDN w:val="0"/>
        <w:spacing w:before="180"/>
        <w:ind w:left="284" w:right="2" w:hanging="284"/>
        <w:jc w:val="left"/>
        <w:rPr>
          <w:rFonts w:cs="Times New Roman"/>
          <w:color w:val="000000"/>
          <w:szCs w:val="24"/>
        </w:rPr>
      </w:pPr>
      <w:r w:rsidRPr="003A2B98">
        <w:rPr>
          <w:rFonts w:cs="Times New Roman"/>
          <w:color w:val="000000"/>
          <w:w w:val="105"/>
          <w:szCs w:val="24"/>
        </w:rPr>
        <w:t>Postanowienia</w:t>
      </w:r>
      <w:r w:rsidRPr="003A2B98">
        <w:rPr>
          <w:rFonts w:cs="Times New Roman"/>
          <w:color w:val="000000"/>
          <w:spacing w:val="26"/>
          <w:w w:val="105"/>
          <w:szCs w:val="24"/>
        </w:rPr>
        <w:t xml:space="preserve"> </w:t>
      </w:r>
      <w:r w:rsidRPr="003A2B98">
        <w:rPr>
          <w:rFonts w:cs="Times New Roman"/>
          <w:color w:val="000000"/>
          <w:w w:val="105"/>
          <w:szCs w:val="24"/>
        </w:rPr>
        <w:t>wstępne:</w:t>
      </w:r>
    </w:p>
    <w:p w14:paraId="6BEAFD99" w14:textId="77777777" w:rsidR="00051FAD" w:rsidRPr="003A2B98" w:rsidRDefault="00051FAD">
      <w:pPr>
        <w:pStyle w:val="Akapitzlist"/>
        <w:widowControl w:val="0"/>
        <w:numPr>
          <w:ilvl w:val="1"/>
          <w:numId w:val="302"/>
        </w:numPr>
        <w:autoSpaceDE w:val="0"/>
        <w:autoSpaceDN w:val="0"/>
        <w:spacing w:before="9" w:line="249" w:lineRule="auto"/>
        <w:ind w:left="567" w:right="2" w:hanging="283"/>
        <w:jc w:val="both"/>
        <w:rPr>
          <w:rFonts w:cs="Times New Roman"/>
          <w:color w:val="000000"/>
          <w:szCs w:val="24"/>
        </w:rPr>
      </w:pPr>
      <w:r w:rsidRPr="003A2B98">
        <w:rPr>
          <w:rFonts w:cs="Times New Roman"/>
          <w:color w:val="000000"/>
          <w:w w:val="105"/>
          <w:szCs w:val="24"/>
        </w:rPr>
        <w:t>OSDn i sprzedawca przyjmują, że podstawę do ustalenia i realizacji warunków GUD-K stanowią w</w:t>
      </w:r>
      <w:r w:rsidRPr="003A2B98">
        <w:rPr>
          <w:rFonts w:cs="Times New Roman"/>
          <w:color w:val="000000"/>
          <w:spacing w:val="-3"/>
          <w:w w:val="105"/>
          <w:szCs w:val="24"/>
        </w:rPr>
        <w:t xml:space="preserve"> </w:t>
      </w:r>
      <w:r w:rsidRPr="003A2B98">
        <w:rPr>
          <w:rFonts w:cs="Times New Roman"/>
          <w:color w:val="000000"/>
          <w:w w:val="105"/>
          <w:szCs w:val="24"/>
        </w:rPr>
        <w:t>szczególności:</w:t>
      </w:r>
    </w:p>
    <w:p w14:paraId="310FB837" w14:textId="77777777" w:rsidR="00051FAD" w:rsidRPr="003A2B98" w:rsidRDefault="00051FAD">
      <w:pPr>
        <w:pStyle w:val="Akapitzlist"/>
        <w:widowControl w:val="0"/>
        <w:numPr>
          <w:ilvl w:val="2"/>
          <w:numId w:val="302"/>
        </w:numPr>
        <w:autoSpaceDE w:val="0"/>
        <w:autoSpaceDN w:val="0"/>
        <w:spacing w:before="2"/>
        <w:ind w:left="993" w:right="2" w:hanging="426"/>
        <w:rPr>
          <w:rFonts w:cs="Times New Roman"/>
          <w:color w:val="000000"/>
          <w:szCs w:val="24"/>
        </w:rPr>
      </w:pPr>
      <w:r w:rsidRPr="003A2B98">
        <w:rPr>
          <w:rFonts w:cs="Times New Roman"/>
          <w:color w:val="000000"/>
          <w:szCs w:val="24"/>
        </w:rPr>
        <w:t>ustawa Prawo energetyczne</w:t>
      </w:r>
      <w:r w:rsidRPr="003A2B98">
        <w:rPr>
          <w:rFonts w:cs="Times New Roman"/>
          <w:color w:val="000000"/>
          <w:spacing w:val="6"/>
          <w:szCs w:val="24"/>
        </w:rPr>
        <w:t xml:space="preserve"> </w:t>
      </w:r>
      <w:r w:rsidRPr="003A2B98">
        <w:rPr>
          <w:rFonts w:cs="Times New Roman"/>
          <w:color w:val="000000"/>
          <w:szCs w:val="24"/>
        </w:rPr>
        <w:t>(Ustawa),</w:t>
      </w:r>
    </w:p>
    <w:p w14:paraId="431AE388" w14:textId="77777777" w:rsidR="00051FAD" w:rsidRPr="003A2B98" w:rsidRDefault="00051FAD">
      <w:pPr>
        <w:pStyle w:val="Akapitzlist"/>
        <w:widowControl w:val="0"/>
        <w:numPr>
          <w:ilvl w:val="2"/>
          <w:numId w:val="302"/>
        </w:numPr>
        <w:autoSpaceDE w:val="0"/>
        <w:autoSpaceDN w:val="0"/>
        <w:spacing w:before="12"/>
        <w:ind w:left="993" w:right="2" w:hanging="426"/>
        <w:rPr>
          <w:rFonts w:cs="Times New Roman"/>
          <w:color w:val="000000"/>
          <w:szCs w:val="24"/>
        </w:rPr>
      </w:pPr>
      <w:r w:rsidRPr="003A2B98">
        <w:rPr>
          <w:rFonts w:cs="Times New Roman"/>
          <w:color w:val="000000"/>
          <w:w w:val="105"/>
          <w:szCs w:val="24"/>
        </w:rPr>
        <w:t>ustawa</w:t>
      </w:r>
      <w:r w:rsidRPr="003A2B98">
        <w:rPr>
          <w:rFonts w:cs="Times New Roman"/>
          <w:color w:val="000000"/>
          <w:spacing w:val="7"/>
          <w:w w:val="105"/>
          <w:szCs w:val="24"/>
        </w:rPr>
        <w:t xml:space="preserve"> </w:t>
      </w:r>
      <w:r w:rsidRPr="003A2B98">
        <w:rPr>
          <w:rFonts w:cs="Times New Roman"/>
          <w:color w:val="000000"/>
          <w:w w:val="105"/>
          <w:szCs w:val="24"/>
        </w:rPr>
        <w:t>OZE,</w:t>
      </w:r>
    </w:p>
    <w:p w14:paraId="7997B22B" w14:textId="77777777" w:rsidR="00051FAD" w:rsidRPr="003A2B98" w:rsidRDefault="00051FAD">
      <w:pPr>
        <w:pStyle w:val="Akapitzlist"/>
        <w:widowControl w:val="0"/>
        <w:numPr>
          <w:ilvl w:val="2"/>
          <w:numId w:val="302"/>
        </w:numPr>
        <w:autoSpaceDE w:val="0"/>
        <w:autoSpaceDN w:val="0"/>
        <w:spacing w:before="16"/>
        <w:ind w:left="993" w:right="2" w:hanging="426"/>
        <w:rPr>
          <w:rFonts w:cs="Times New Roman"/>
          <w:color w:val="000000"/>
          <w:szCs w:val="24"/>
        </w:rPr>
      </w:pPr>
      <w:r w:rsidRPr="003A2B98">
        <w:rPr>
          <w:rFonts w:cs="Times New Roman"/>
          <w:color w:val="000000"/>
          <w:w w:val="105"/>
          <w:szCs w:val="24"/>
        </w:rPr>
        <w:t>IRiESD,</w:t>
      </w:r>
    </w:p>
    <w:p w14:paraId="4B9B0CB0" w14:textId="77777777" w:rsidR="00051FAD" w:rsidRPr="003A2B98" w:rsidRDefault="00051FAD">
      <w:pPr>
        <w:pStyle w:val="Akapitzlist"/>
        <w:widowControl w:val="0"/>
        <w:numPr>
          <w:ilvl w:val="2"/>
          <w:numId w:val="302"/>
        </w:numPr>
        <w:autoSpaceDE w:val="0"/>
        <w:autoSpaceDN w:val="0"/>
        <w:spacing w:before="11"/>
        <w:ind w:left="993" w:right="2" w:hanging="426"/>
        <w:rPr>
          <w:rFonts w:cs="Times New Roman"/>
          <w:color w:val="000000"/>
          <w:szCs w:val="24"/>
        </w:rPr>
      </w:pPr>
      <w:r w:rsidRPr="003A2B98">
        <w:rPr>
          <w:rFonts w:cs="Times New Roman"/>
          <w:color w:val="000000"/>
          <w:szCs w:val="24"/>
        </w:rPr>
        <w:t>WDB,</w:t>
      </w:r>
    </w:p>
    <w:p w14:paraId="16429987" w14:textId="77777777" w:rsidR="00051FAD" w:rsidRPr="003A2B98" w:rsidRDefault="00051FAD">
      <w:pPr>
        <w:pStyle w:val="Akapitzlist"/>
        <w:widowControl w:val="0"/>
        <w:numPr>
          <w:ilvl w:val="2"/>
          <w:numId w:val="302"/>
        </w:numPr>
        <w:autoSpaceDE w:val="0"/>
        <w:autoSpaceDN w:val="0"/>
        <w:spacing w:before="12"/>
        <w:ind w:left="993" w:right="2" w:hanging="426"/>
        <w:rPr>
          <w:rFonts w:cs="Times New Roman"/>
          <w:color w:val="000000"/>
          <w:szCs w:val="24"/>
        </w:rPr>
      </w:pPr>
      <w:r w:rsidRPr="003A2B98">
        <w:rPr>
          <w:rFonts w:cs="Times New Roman"/>
          <w:color w:val="000000"/>
          <w:w w:val="105"/>
          <w:szCs w:val="24"/>
        </w:rPr>
        <w:t>Taryfa OSDn.</w:t>
      </w:r>
    </w:p>
    <w:p w14:paraId="14087E80" w14:textId="3FABC3C8" w:rsidR="00051FAD" w:rsidRPr="0093754C" w:rsidRDefault="00051FAD">
      <w:pPr>
        <w:widowControl w:val="0"/>
        <w:numPr>
          <w:ilvl w:val="1"/>
          <w:numId w:val="302"/>
        </w:numPr>
        <w:autoSpaceDE w:val="0"/>
        <w:autoSpaceDN w:val="0"/>
        <w:spacing w:before="4"/>
        <w:ind w:left="567" w:right="2" w:hanging="283"/>
        <w:jc w:val="both"/>
        <w:rPr>
          <w:rFonts w:cs="Times New Roman"/>
          <w:color w:val="000000"/>
          <w:szCs w:val="24"/>
        </w:rPr>
      </w:pPr>
      <w:r w:rsidRPr="0093754C">
        <w:rPr>
          <w:rFonts w:cs="Times New Roman"/>
          <w:szCs w:val="24"/>
        </w:rPr>
        <w:t xml:space="preserve">IRiESD zatwierdzona przez Zarząd </w:t>
      </w:r>
      <w:r w:rsidR="00D57274">
        <w:rPr>
          <w:i/>
          <w:iCs/>
        </w:rPr>
        <w:t>ERG S.A.</w:t>
      </w:r>
      <w:r w:rsidR="00EE4966" w:rsidRPr="00A12506">
        <w:rPr>
          <w:rFonts w:cs="Times New Roman"/>
          <w:i/>
          <w:szCs w:val="24"/>
        </w:rPr>
        <w:t xml:space="preserve"> </w:t>
      </w:r>
      <w:r w:rsidRPr="009E56A4">
        <w:rPr>
          <w:rFonts w:cs="Times New Roman"/>
          <w:iCs/>
          <w:szCs w:val="24"/>
        </w:rPr>
        <w:t xml:space="preserve">stanowi </w:t>
      </w:r>
      <w:r w:rsidRPr="0093754C">
        <w:rPr>
          <w:rFonts w:cs="Times New Roman"/>
          <w:szCs w:val="24"/>
        </w:rPr>
        <w:t xml:space="preserve">część GUD-K. Dokonane po wejściu w życie GUD-K zmiany IRiESD lub WDB zatwierdzone przez Prezesa URE, obowiązują OSDn i Sprzedawcę bez konieczności sporządzania aneksu do GUD-K. W przypadku niezgodności zapisów GUD-K i IRiESD, obowiązują zapisy IRiESD. Nie wyklucza to prawa do rozwiązania GUD-K, zgodnie z GUD-K. </w:t>
      </w:r>
    </w:p>
    <w:p w14:paraId="24E9BFA8" w14:textId="77777777" w:rsidR="00051FAD" w:rsidRPr="003A2B98" w:rsidRDefault="00051FAD">
      <w:pPr>
        <w:pStyle w:val="Akapitzlist"/>
        <w:widowControl w:val="0"/>
        <w:numPr>
          <w:ilvl w:val="1"/>
          <w:numId w:val="302"/>
        </w:numPr>
        <w:autoSpaceDE w:val="0"/>
        <w:autoSpaceDN w:val="0"/>
        <w:spacing w:before="4"/>
        <w:ind w:left="567" w:right="2" w:hanging="283"/>
        <w:jc w:val="both"/>
        <w:rPr>
          <w:rFonts w:cs="Times New Roman"/>
          <w:color w:val="000000"/>
          <w:szCs w:val="24"/>
        </w:rPr>
      </w:pPr>
      <w:r w:rsidRPr="00ED32E8">
        <w:rPr>
          <w:rFonts w:cs="Times New Roman"/>
          <w:color w:val="000000"/>
          <w:szCs w:val="24"/>
        </w:rPr>
        <w:t>Warunkiem</w:t>
      </w:r>
      <w:r w:rsidRPr="003A2B98">
        <w:rPr>
          <w:rFonts w:cs="Times New Roman"/>
          <w:color w:val="000000"/>
          <w:szCs w:val="24"/>
        </w:rPr>
        <w:t xml:space="preserve"> realizacji zobowiązań OSDn wobec </w:t>
      </w:r>
      <w:r>
        <w:rPr>
          <w:rFonts w:cs="Times New Roman"/>
          <w:color w:val="000000"/>
          <w:szCs w:val="24"/>
        </w:rPr>
        <w:t>S</w:t>
      </w:r>
      <w:r w:rsidRPr="003A2B98">
        <w:rPr>
          <w:rFonts w:cs="Times New Roman"/>
          <w:color w:val="000000"/>
          <w:szCs w:val="24"/>
        </w:rPr>
        <w:t xml:space="preserve">przedawcy wynikających </w:t>
      </w:r>
      <w:r w:rsidRPr="003A2B98">
        <w:rPr>
          <w:rFonts w:cs="Times New Roman"/>
          <w:color w:val="000000"/>
          <w:szCs w:val="24"/>
        </w:rPr>
        <w:br/>
        <w:t>z GUD-K jest jednoczesne obowiązywanie</w:t>
      </w:r>
      <w:r w:rsidRPr="003A2B98">
        <w:rPr>
          <w:rFonts w:cs="Times New Roman"/>
          <w:color w:val="000000"/>
          <w:spacing w:val="15"/>
          <w:szCs w:val="24"/>
        </w:rPr>
        <w:t xml:space="preserve"> </w:t>
      </w:r>
      <w:r w:rsidRPr="003A2B98">
        <w:rPr>
          <w:rFonts w:cs="Times New Roman"/>
          <w:color w:val="000000"/>
          <w:szCs w:val="24"/>
        </w:rPr>
        <w:t>umów:</w:t>
      </w:r>
    </w:p>
    <w:p w14:paraId="366A4AA0" w14:textId="77777777" w:rsidR="00051FAD" w:rsidRPr="003A2B98" w:rsidRDefault="00051FAD">
      <w:pPr>
        <w:pStyle w:val="Akapitzlist"/>
        <w:widowControl w:val="0"/>
        <w:numPr>
          <w:ilvl w:val="2"/>
          <w:numId w:val="302"/>
        </w:numPr>
        <w:autoSpaceDE w:val="0"/>
        <w:autoSpaceDN w:val="0"/>
        <w:spacing w:before="8" w:line="235" w:lineRule="auto"/>
        <w:ind w:left="851" w:right="2" w:hanging="284"/>
        <w:jc w:val="both"/>
        <w:rPr>
          <w:rFonts w:cs="Times New Roman"/>
          <w:color w:val="000000"/>
          <w:szCs w:val="24"/>
        </w:rPr>
      </w:pPr>
      <w:r w:rsidRPr="003A2B98">
        <w:rPr>
          <w:rFonts w:cs="Times New Roman"/>
          <w:color w:val="000000"/>
          <w:szCs w:val="24"/>
        </w:rPr>
        <w:t>o świadczenie usług przesyłania energii elektrycznej zawartej pomiędzy OSDn a</w:t>
      </w:r>
      <w:r w:rsidRPr="003A2B98">
        <w:rPr>
          <w:rFonts w:cs="Times New Roman"/>
          <w:color w:val="000000"/>
          <w:spacing w:val="-11"/>
          <w:szCs w:val="24"/>
        </w:rPr>
        <w:t xml:space="preserve"> </w:t>
      </w:r>
      <w:r w:rsidRPr="003A2B98">
        <w:rPr>
          <w:rFonts w:cs="Times New Roman"/>
          <w:color w:val="000000"/>
          <w:szCs w:val="24"/>
        </w:rPr>
        <w:t>OSP;</w:t>
      </w:r>
    </w:p>
    <w:p w14:paraId="26BDB79D" w14:textId="77777777" w:rsidR="00051FAD" w:rsidRPr="003A2B98" w:rsidRDefault="00051FAD">
      <w:pPr>
        <w:pStyle w:val="Akapitzlist"/>
        <w:widowControl w:val="0"/>
        <w:numPr>
          <w:ilvl w:val="2"/>
          <w:numId w:val="302"/>
        </w:numPr>
        <w:autoSpaceDE w:val="0"/>
        <w:autoSpaceDN w:val="0"/>
        <w:spacing w:before="2"/>
        <w:ind w:left="851" w:right="2" w:hanging="284"/>
        <w:jc w:val="both"/>
        <w:rPr>
          <w:rFonts w:cs="Times New Roman"/>
          <w:color w:val="000000"/>
          <w:szCs w:val="24"/>
        </w:rPr>
      </w:pPr>
      <w:r w:rsidRPr="003A2B98">
        <w:rPr>
          <w:rFonts w:cs="Times New Roman"/>
          <w:color w:val="000000"/>
          <w:szCs w:val="24"/>
        </w:rPr>
        <w:t>kompleksowych zawartych pomiędzy</w:t>
      </w:r>
      <w:r>
        <w:rPr>
          <w:rFonts w:cs="Times New Roman"/>
          <w:color w:val="000000"/>
          <w:szCs w:val="24"/>
        </w:rPr>
        <w:t xml:space="preserve"> S</w:t>
      </w:r>
      <w:r w:rsidRPr="003A2B98">
        <w:rPr>
          <w:rFonts w:cs="Times New Roman"/>
          <w:color w:val="000000"/>
          <w:szCs w:val="24"/>
        </w:rPr>
        <w:t>przedawcą a</w:t>
      </w:r>
      <w:r w:rsidRPr="003A2B98">
        <w:rPr>
          <w:rFonts w:cs="Times New Roman"/>
          <w:color w:val="000000"/>
          <w:spacing w:val="-38"/>
          <w:szCs w:val="24"/>
        </w:rPr>
        <w:t xml:space="preserve"> </w:t>
      </w:r>
      <w:r w:rsidRPr="003A2B98">
        <w:rPr>
          <w:rFonts w:cs="Times New Roman"/>
          <w:color w:val="000000"/>
          <w:szCs w:val="24"/>
        </w:rPr>
        <w:t>URD;</w:t>
      </w:r>
    </w:p>
    <w:p w14:paraId="5739D38E" w14:textId="77777777" w:rsidR="00051FAD" w:rsidRPr="003A2B98" w:rsidRDefault="00051FAD">
      <w:pPr>
        <w:pStyle w:val="Akapitzlist"/>
        <w:widowControl w:val="0"/>
        <w:numPr>
          <w:ilvl w:val="2"/>
          <w:numId w:val="302"/>
        </w:numPr>
        <w:autoSpaceDE w:val="0"/>
        <w:autoSpaceDN w:val="0"/>
        <w:spacing w:before="2"/>
        <w:ind w:left="851" w:right="2" w:hanging="284"/>
        <w:jc w:val="both"/>
        <w:rPr>
          <w:rFonts w:cs="Times New Roman"/>
          <w:color w:val="000000"/>
          <w:szCs w:val="24"/>
        </w:rPr>
      </w:pPr>
      <w:r w:rsidRPr="003A2B98">
        <w:rPr>
          <w:rFonts w:cs="Times New Roman"/>
          <w:color w:val="000000"/>
          <w:szCs w:val="24"/>
        </w:rPr>
        <w:t>o świadczenie usług dystrybucji zawartej pomiędzy OSDn a OSDp;</w:t>
      </w:r>
    </w:p>
    <w:p w14:paraId="6075E066" w14:textId="77777777" w:rsidR="00051FAD" w:rsidRPr="003A2B98" w:rsidRDefault="00051FAD">
      <w:pPr>
        <w:pStyle w:val="Akapitzlist"/>
        <w:widowControl w:val="0"/>
        <w:numPr>
          <w:ilvl w:val="2"/>
          <w:numId w:val="302"/>
        </w:numPr>
        <w:autoSpaceDE w:val="0"/>
        <w:autoSpaceDN w:val="0"/>
        <w:spacing w:before="4"/>
        <w:ind w:left="851" w:right="2" w:hanging="284"/>
        <w:jc w:val="both"/>
        <w:rPr>
          <w:rFonts w:cs="Times New Roman"/>
          <w:color w:val="000000"/>
          <w:szCs w:val="24"/>
        </w:rPr>
      </w:pPr>
      <w:r w:rsidRPr="003A2B98">
        <w:rPr>
          <w:rFonts w:cs="Times New Roman"/>
          <w:color w:val="000000"/>
          <w:szCs w:val="24"/>
        </w:rPr>
        <w:t xml:space="preserve">o świadczenie usług dystrybucji zawartej pomiędzy OSD a POB wskazanym przez </w:t>
      </w:r>
      <w:r>
        <w:rPr>
          <w:rFonts w:cs="Times New Roman"/>
          <w:color w:val="000000"/>
          <w:szCs w:val="24"/>
        </w:rPr>
        <w:t>S</w:t>
      </w:r>
      <w:r w:rsidRPr="003A2B98">
        <w:rPr>
          <w:rFonts w:cs="Times New Roman"/>
          <w:color w:val="000000"/>
          <w:szCs w:val="24"/>
        </w:rPr>
        <w:t xml:space="preserve">przedawcę - przez wskazanie POB rozumie się również oznaczenie samego </w:t>
      </w:r>
      <w:r>
        <w:rPr>
          <w:rFonts w:cs="Times New Roman"/>
          <w:color w:val="000000"/>
          <w:szCs w:val="24"/>
        </w:rPr>
        <w:t>S</w:t>
      </w:r>
      <w:r w:rsidRPr="003A2B98">
        <w:rPr>
          <w:rFonts w:cs="Times New Roman"/>
          <w:color w:val="000000"/>
          <w:szCs w:val="24"/>
        </w:rPr>
        <w:t>przedawcy jako podmiotu odpowiedzialnego za bilansowanie</w:t>
      </w:r>
      <w:r w:rsidRPr="003A2B98">
        <w:rPr>
          <w:rFonts w:cs="Times New Roman"/>
          <w:color w:val="000000"/>
          <w:spacing w:val="21"/>
          <w:szCs w:val="24"/>
        </w:rPr>
        <w:t xml:space="preserve"> </w:t>
      </w:r>
      <w:r w:rsidRPr="003A2B98">
        <w:rPr>
          <w:rFonts w:cs="Times New Roman"/>
          <w:color w:val="000000"/>
          <w:szCs w:val="24"/>
        </w:rPr>
        <w:t>handlowe;</w:t>
      </w:r>
    </w:p>
    <w:p w14:paraId="252EA5E3" w14:textId="77777777" w:rsidR="00051FAD" w:rsidRPr="003A2B98" w:rsidRDefault="00051FAD">
      <w:pPr>
        <w:pStyle w:val="Akapitzlist"/>
        <w:widowControl w:val="0"/>
        <w:numPr>
          <w:ilvl w:val="2"/>
          <w:numId w:val="302"/>
        </w:numPr>
        <w:autoSpaceDE w:val="0"/>
        <w:autoSpaceDN w:val="0"/>
        <w:ind w:left="851" w:right="2" w:hanging="284"/>
        <w:jc w:val="both"/>
        <w:rPr>
          <w:rFonts w:cs="Times New Roman"/>
          <w:color w:val="000000"/>
          <w:szCs w:val="24"/>
        </w:rPr>
      </w:pPr>
      <w:r w:rsidRPr="003A2B98">
        <w:rPr>
          <w:rFonts w:cs="Times New Roman"/>
          <w:color w:val="000000"/>
          <w:szCs w:val="24"/>
        </w:rPr>
        <w:t>o świadczenie usług przesyłania energii elektrycznej zawartej pomiędzy wskazanym przez sprzedawcę POB a</w:t>
      </w:r>
      <w:r w:rsidRPr="003A2B98">
        <w:rPr>
          <w:rFonts w:cs="Times New Roman"/>
          <w:color w:val="000000"/>
          <w:spacing w:val="-4"/>
          <w:szCs w:val="24"/>
        </w:rPr>
        <w:t xml:space="preserve"> </w:t>
      </w:r>
      <w:r w:rsidRPr="003A2B98">
        <w:rPr>
          <w:rFonts w:cs="Times New Roman"/>
          <w:color w:val="000000"/>
          <w:szCs w:val="24"/>
        </w:rPr>
        <w:t>OSP.</w:t>
      </w:r>
    </w:p>
    <w:p w14:paraId="099EC079" w14:textId="77777777" w:rsidR="00051FAD" w:rsidRPr="003A2B98" w:rsidRDefault="00051FAD">
      <w:pPr>
        <w:pStyle w:val="Akapitzlist"/>
        <w:widowControl w:val="0"/>
        <w:numPr>
          <w:ilvl w:val="1"/>
          <w:numId w:val="302"/>
        </w:numPr>
        <w:autoSpaceDE w:val="0"/>
        <w:autoSpaceDN w:val="0"/>
        <w:spacing w:before="4"/>
        <w:ind w:left="567" w:right="2" w:hanging="283"/>
        <w:jc w:val="both"/>
        <w:rPr>
          <w:rFonts w:cs="Times New Roman"/>
          <w:color w:val="000000"/>
          <w:szCs w:val="24"/>
        </w:rPr>
      </w:pPr>
      <w:r w:rsidRPr="003A2B98">
        <w:rPr>
          <w:rFonts w:cs="Times New Roman"/>
          <w:color w:val="000000"/>
          <w:szCs w:val="24"/>
        </w:rPr>
        <w:t>OSDn wstrzymuje</w:t>
      </w:r>
      <w:r w:rsidRPr="003A2B98">
        <w:rPr>
          <w:rFonts w:cs="Times New Roman"/>
          <w:color w:val="000000"/>
          <w:spacing w:val="-2"/>
          <w:szCs w:val="24"/>
        </w:rPr>
        <w:t xml:space="preserve"> </w:t>
      </w:r>
      <w:r w:rsidRPr="003A2B98">
        <w:rPr>
          <w:rFonts w:cs="Times New Roman"/>
          <w:color w:val="000000"/>
          <w:szCs w:val="24"/>
        </w:rPr>
        <w:t>realizację</w:t>
      </w:r>
      <w:r w:rsidRPr="003A2B98">
        <w:rPr>
          <w:rFonts w:cs="Times New Roman"/>
          <w:color w:val="000000"/>
          <w:spacing w:val="-13"/>
          <w:szCs w:val="24"/>
        </w:rPr>
        <w:t xml:space="preserve"> </w:t>
      </w:r>
      <w:r w:rsidRPr="003A2B98">
        <w:rPr>
          <w:rFonts w:cs="Times New Roman"/>
          <w:color w:val="000000"/>
          <w:szCs w:val="24"/>
        </w:rPr>
        <w:t>GUD-K</w:t>
      </w:r>
      <w:r w:rsidRPr="003A2B98">
        <w:rPr>
          <w:rFonts w:cs="Times New Roman"/>
          <w:color w:val="000000"/>
          <w:spacing w:val="-3"/>
          <w:szCs w:val="24"/>
        </w:rPr>
        <w:t xml:space="preserve"> </w:t>
      </w:r>
      <w:r w:rsidRPr="003A2B98">
        <w:rPr>
          <w:rFonts w:cs="Times New Roman"/>
          <w:color w:val="000000"/>
          <w:szCs w:val="24"/>
        </w:rPr>
        <w:t>w</w:t>
      </w:r>
      <w:r w:rsidRPr="003A2B98">
        <w:rPr>
          <w:rFonts w:cs="Times New Roman"/>
          <w:color w:val="000000"/>
          <w:spacing w:val="-21"/>
          <w:szCs w:val="24"/>
        </w:rPr>
        <w:t xml:space="preserve"> </w:t>
      </w:r>
      <w:r w:rsidRPr="003A2B98">
        <w:rPr>
          <w:rFonts w:cs="Times New Roman"/>
          <w:color w:val="000000"/>
          <w:szCs w:val="24"/>
        </w:rPr>
        <w:t>całości</w:t>
      </w:r>
      <w:r w:rsidRPr="003A2B98">
        <w:rPr>
          <w:rFonts w:cs="Times New Roman"/>
          <w:color w:val="000000"/>
          <w:spacing w:val="-4"/>
          <w:szCs w:val="24"/>
        </w:rPr>
        <w:t xml:space="preserve"> </w:t>
      </w:r>
      <w:r w:rsidRPr="003A2B98">
        <w:rPr>
          <w:rFonts w:cs="Times New Roman"/>
          <w:color w:val="000000"/>
          <w:szCs w:val="24"/>
        </w:rPr>
        <w:t>lub</w:t>
      </w:r>
      <w:r w:rsidRPr="003A2B98">
        <w:rPr>
          <w:rFonts w:cs="Times New Roman"/>
          <w:color w:val="000000"/>
          <w:spacing w:val="-15"/>
          <w:szCs w:val="24"/>
        </w:rPr>
        <w:t xml:space="preserve"> </w:t>
      </w:r>
      <w:r w:rsidRPr="003A2B98">
        <w:rPr>
          <w:rFonts w:cs="Times New Roman"/>
          <w:color w:val="000000"/>
          <w:szCs w:val="24"/>
        </w:rPr>
        <w:t>w</w:t>
      </w:r>
      <w:r w:rsidRPr="003A2B98">
        <w:rPr>
          <w:rFonts w:cs="Times New Roman"/>
          <w:color w:val="000000"/>
          <w:spacing w:val="-20"/>
          <w:szCs w:val="24"/>
        </w:rPr>
        <w:t xml:space="preserve"> </w:t>
      </w:r>
      <w:r w:rsidRPr="003A2B98">
        <w:rPr>
          <w:rFonts w:cs="Times New Roman"/>
          <w:color w:val="000000"/>
          <w:szCs w:val="24"/>
        </w:rPr>
        <w:t>części,</w:t>
      </w:r>
      <w:r w:rsidRPr="003A2B98">
        <w:rPr>
          <w:rFonts w:cs="Times New Roman"/>
          <w:color w:val="000000"/>
          <w:spacing w:val="-10"/>
          <w:szCs w:val="24"/>
        </w:rPr>
        <w:t xml:space="preserve"> </w:t>
      </w:r>
      <w:r w:rsidRPr="003A2B98">
        <w:rPr>
          <w:rFonts w:cs="Times New Roman"/>
          <w:color w:val="000000"/>
          <w:szCs w:val="24"/>
        </w:rPr>
        <w:t xml:space="preserve">jeżeli którakolwiek </w:t>
      </w:r>
      <w:r w:rsidRPr="003A2B98">
        <w:rPr>
          <w:rFonts w:cs="Times New Roman"/>
          <w:color w:val="000000"/>
          <w:szCs w:val="24"/>
        </w:rPr>
        <w:br/>
        <w:t xml:space="preserve">z </w:t>
      </w:r>
      <w:r w:rsidRPr="003A2B98">
        <w:rPr>
          <w:rFonts w:cs="Times New Roman"/>
          <w:color w:val="000000"/>
          <w:spacing w:val="4"/>
          <w:szCs w:val="24"/>
        </w:rPr>
        <w:t xml:space="preserve">umów, </w:t>
      </w:r>
      <w:r w:rsidRPr="003A2B98">
        <w:rPr>
          <w:rFonts w:cs="Times New Roman"/>
          <w:color w:val="000000"/>
          <w:szCs w:val="24"/>
        </w:rPr>
        <w:t xml:space="preserve">o których mowa w pkt 3, nie obowiązuje lub nie jest </w:t>
      </w:r>
      <w:r w:rsidRPr="003A2B98">
        <w:rPr>
          <w:rFonts w:cs="Times New Roman"/>
          <w:color w:val="000000"/>
          <w:spacing w:val="-4"/>
          <w:szCs w:val="24"/>
        </w:rPr>
        <w:t xml:space="preserve">realizowana, </w:t>
      </w:r>
      <w:r w:rsidRPr="003A2B98">
        <w:rPr>
          <w:rFonts w:cs="Times New Roman"/>
          <w:color w:val="000000"/>
          <w:spacing w:val="-4"/>
          <w:szCs w:val="24"/>
        </w:rPr>
        <w:br/>
      </w:r>
      <w:r w:rsidRPr="003A2B98">
        <w:rPr>
          <w:rFonts w:cs="Times New Roman"/>
          <w:color w:val="000000"/>
          <w:szCs w:val="24"/>
        </w:rPr>
        <w:t>w zakresie w jakim nie będzie możliwa realizacja GUD-K bez obowiązywania lub realizacji danej</w:t>
      </w:r>
      <w:r w:rsidRPr="003A2B98">
        <w:rPr>
          <w:rFonts w:cs="Times New Roman"/>
          <w:color w:val="000000"/>
          <w:spacing w:val="40"/>
          <w:szCs w:val="24"/>
        </w:rPr>
        <w:t xml:space="preserve"> </w:t>
      </w:r>
      <w:r w:rsidRPr="003A2B98">
        <w:rPr>
          <w:rFonts w:cs="Times New Roman"/>
          <w:color w:val="000000"/>
          <w:szCs w:val="24"/>
        </w:rPr>
        <w:t>umowy.</w:t>
      </w:r>
    </w:p>
    <w:p w14:paraId="2A4A8E9E" w14:textId="77777777" w:rsidR="00051FAD" w:rsidRPr="003A2B98" w:rsidRDefault="00051FAD">
      <w:pPr>
        <w:pStyle w:val="Akapitzlist"/>
        <w:widowControl w:val="0"/>
        <w:numPr>
          <w:ilvl w:val="0"/>
          <w:numId w:val="302"/>
        </w:numPr>
        <w:autoSpaceDE w:val="0"/>
        <w:autoSpaceDN w:val="0"/>
        <w:spacing w:line="264" w:lineRule="exact"/>
        <w:ind w:left="284" w:right="2" w:hanging="284"/>
        <w:jc w:val="left"/>
        <w:rPr>
          <w:rFonts w:cs="Times New Roman"/>
          <w:color w:val="000000"/>
          <w:szCs w:val="24"/>
        </w:rPr>
      </w:pPr>
      <w:r w:rsidRPr="003A2B98">
        <w:rPr>
          <w:rFonts w:cs="Times New Roman"/>
          <w:color w:val="000000"/>
          <w:szCs w:val="24"/>
        </w:rPr>
        <w:t>Przedmiot</w:t>
      </w:r>
      <w:r w:rsidRPr="003A2B98">
        <w:rPr>
          <w:rFonts w:cs="Times New Roman"/>
          <w:color w:val="000000"/>
          <w:spacing w:val="18"/>
          <w:szCs w:val="24"/>
        </w:rPr>
        <w:t xml:space="preserve"> </w:t>
      </w:r>
      <w:r w:rsidRPr="003A2B98">
        <w:rPr>
          <w:rFonts w:cs="Times New Roman"/>
          <w:color w:val="000000"/>
          <w:szCs w:val="24"/>
        </w:rPr>
        <w:t>GUD-K:</w:t>
      </w:r>
    </w:p>
    <w:p w14:paraId="094E00C5" w14:textId="77777777" w:rsidR="00051FAD" w:rsidRPr="003A2B98" w:rsidRDefault="00051FAD">
      <w:pPr>
        <w:pStyle w:val="Akapitzlist"/>
        <w:widowControl w:val="0"/>
        <w:numPr>
          <w:ilvl w:val="1"/>
          <w:numId w:val="302"/>
        </w:numPr>
        <w:autoSpaceDE w:val="0"/>
        <w:autoSpaceDN w:val="0"/>
        <w:ind w:left="567" w:right="2" w:hanging="283"/>
        <w:jc w:val="both"/>
        <w:rPr>
          <w:rFonts w:cs="Times New Roman"/>
          <w:color w:val="000000"/>
          <w:szCs w:val="24"/>
        </w:rPr>
      </w:pPr>
      <w:r w:rsidRPr="003A2B98">
        <w:rPr>
          <w:rFonts w:cs="Times New Roman"/>
          <w:color w:val="000000"/>
          <w:szCs w:val="24"/>
        </w:rPr>
        <w:t xml:space="preserve">Na mocy GUD-K OSDn zobowiązuje się wobec </w:t>
      </w:r>
      <w:r>
        <w:rPr>
          <w:rFonts w:cs="Times New Roman"/>
          <w:color w:val="000000"/>
          <w:szCs w:val="24"/>
        </w:rPr>
        <w:t>S</w:t>
      </w:r>
      <w:r w:rsidRPr="003A2B98">
        <w:rPr>
          <w:rFonts w:cs="Times New Roman"/>
          <w:color w:val="000000"/>
          <w:szCs w:val="24"/>
        </w:rPr>
        <w:t xml:space="preserve">przedawcy do świadczenia usług dystrybucji na rzecz URD, którym </w:t>
      </w:r>
      <w:r>
        <w:rPr>
          <w:rFonts w:cs="Times New Roman"/>
          <w:color w:val="000000"/>
          <w:szCs w:val="24"/>
        </w:rPr>
        <w:t>S</w:t>
      </w:r>
      <w:r w:rsidRPr="003A2B98">
        <w:rPr>
          <w:rFonts w:cs="Times New Roman"/>
          <w:color w:val="000000"/>
          <w:szCs w:val="24"/>
        </w:rPr>
        <w:t>przedawca świadczy usługę kompleksową na podstawie umowy kompleksowej,</w:t>
      </w:r>
    </w:p>
    <w:p w14:paraId="10802FFB" w14:textId="539023E1" w:rsidR="00051FAD" w:rsidRPr="003A2B98" w:rsidRDefault="00051FAD">
      <w:pPr>
        <w:pStyle w:val="Akapitzlist"/>
        <w:widowControl w:val="0"/>
        <w:numPr>
          <w:ilvl w:val="1"/>
          <w:numId w:val="302"/>
        </w:numPr>
        <w:autoSpaceDE w:val="0"/>
        <w:autoSpaceDN w:val="0"/>
        <w:spacing w:line="242" w:lineRule="auto"/>
        <w:ind w:left="567" w:right="2" w:hanging="283"/>
        <w:jc w:val="both"/>
        <w:rPr>
          <w:rFonts w:cs="Times New Roman"/>
          <w:color w:val="000000"/>
          <w:szCs w:val="24"/>
        </w:rPr>
      </w:pPr>
      <w:r w:rsidRPr="003A2B98">
        <w:rPr>
          <w:rFonts w:cs="Times New Roman"/>
          <w:color w:val="000000"/>
          <w:szCs w:val="24"/>
        </w:rPr>
        <w:t xml:space="preserve">GUD-K wraz z IRiESD i OSDn określa szczegółowe warunki świadczenia przez OSDn usług dystrybucji oraz zasady współpracy OSDn i sprzedawcy w tym zakresie, </w:t>
      </w:r>
      <w:r>
        <w:rPr>
          <w:rFonts w:cs="Times New Roman"/>
          <w:color w:val="000000"/>
          <w:szCs w:val="24"/>
        </w:rPr>
        <w:br/>
      </w:r>
      <w:r w:rsidRPr="003A2B98">
        <w:rPr>
          <w:rFonts w:cs="Times New Roman"/>
          <w:color w:val="000000"/>
          <w:szCs w:val="24"/>
        </w:rPr>
        <w:t>w</w:t>
      </w:r>
      <w:r w:rsidRPr="003A2B98">
        <w:rPr>
          <w:rFonts w:cs="Times New Roman"/>
          <w:color w:val="000000"/>
          <w:spacing w:val="-18"/>
          <w:szCs w:val="24"/>
        </w:rPr>
        <w:t xml:space="preserve"> </w:t>
      </w:r>
      <w:r w:rsidRPr="003A2B98">
        <w:rPr>
          <w:rFonts w:cs="Times New Roman"/>
          <w:color w:val="000000"/>
          <w:szCs w:val="24"/>
        </w:rPr>
        <w:t>szczególności:</w:t>
      </w:r>
    </w:p>
    <w:p w14:paraId="20BD5C52" w14:textId="77777777" w:rsidR="00051FAD" w:rsidRPr="003A2B98" w:rsidRDefault="00051FAD">
      <w:pPr>
        <w:pStyle w:val="Akapitzlist"/>
        <w:widowControl w:val="0"/>
        <w:numPr>
          <w:ilvl w:val="2"/>
          <w:numId w:val="302"/>
        </w:numPr>
        <w:autoSpaceDE w:val="0"/>
        <w:autoSpaceDN w:val="0"/>
        <w:ind w:left="851" w:right="2" w:hanging="284"/>
        <w:jc w:val="both"/>
        <w:rPr>
          <w:rFonts w:cs="Times New Roman"/>
          <w:color w:val="000000"/>
          <w:szCs w:val="24"/>
        </w:rPr>
      </w:pPr>
      <w:r w:rsidRPr="003A2B98">
        <w:rPr>
          <w:rFonts w:cs="Times New Roman"/>
          <w:color w:val="000000"/>
          <w:szCs w:val="24"/>
        </w:rPr>
        <w:t>zasady i terminy zgłaszania przez sprzedawcę do OSDn umów</w:t>
      </w:r>
      <w:r w:rsidRPr="003A2B98">
        <w:rPr>
          <w:rFonts w:cs="Times New Roman"/>
          <w:color w:val="000000"/>
          <w:spacing w:val="5"/>
          <w:szCs w:val="24"/>
        </w:rPr>
        <w:t xml:space="preserve"> </w:t>
      </w:r>
      <w:r w:rsidRPr="003A2B98">
        <w:rPr>
          <w:rFonts w:cs="Times New Roman"/>
          <w:color w:val="000000"/>
          <w:szCs w:val="24"/>
        </w:rPr>
        <w:t>kompleksowych;</w:t>
      </w:r>
    </w:p>
    <w:p w14:paraId="1B8B68BE" w14:textId="77777777" w:rsidR="00051FAD" w:rsidRPr="003A2B98" w:rsidRDefault="00051FAD">
      <w:pPr>
        <w:pStyle w:val="Akapitzlist"/>
        <w:widowControl w:val="0"/>
        <w:numPr>
          <w:ilvl w:val="2"/>
          <w:numId w:val="302"/>
        </w:numPr>
        <w:autoSpaceDE w:val="0"/>
        <w:autoSpaceDN w:val="0"/>
        <w:ind w:left="851" w:right="2" w:hanging="284"/>
        <w:jc w:val="both"/>
        <w:rPr>
          <w:rFonts w:cs="Times New Roman"/>
          <w:color w:val="000000"/>
          <w:szCs w:val="24"/>
        </w:rPr>
      </w:pPr>
      <w:r w:rsidRPr="003A2B98">
        <w:rPr>
          <w:rFonts w:cs="Times New Roman"/>
          <w:color w:val="000000"/>
          <w:szCs w:val="24"/>
        </w:rPr>
        <w:t>zasady</w:t>
      </w:r>
      <w:r>
        <w:rPr>
          <w:rFonts w:cs="Times New Roman"/>
          <w:color w:val="000000"/>
          <w:szCs w:val="24"/>
        </w:rPr>
        <w:t xml:space="preserve"> </w:t>
      </w:r>
      <w:r w:rsidRPr="003A2B98">
        <w:rPr>
          <w:rFonts w:cs="Times New Roman"/>
          <w:color w:val="000000"/>
          <w:szCs w:val="24"/>
        </w:rPr>
        <w:t>obejmowania</w:t>
      </w:r>
      <w:r>
        <w:rPr>
          <w:rFonts w:cs="Times New Roman"/>
          <w:color w:val="000000"/>
          <w:szCs w:val="24"/>
        </w:rPr>
        <w:t xml:space="preserve"> </w:t>
      </w:r>
      <w:r w:rsidRPr="003A2B98">
        <w:rPr>
          <w:rFonts w:cs="Times New Roman"/>
          <w:color w:val="000000"/>
          <w:szCs w:val="24"/>
        </w:rPr>
        <w:t>postanowieniami</w:t>
      </w:r>
      <w:r>
        <w:rPr>
          <w:rFonts w:cs="Times New Roman"/>
          <w:color w:val="000000"/>
          <w:szCs w:val="24"/>
        </w:rPr>
        <w:t xml:space="preserve"> </w:t>
      </w:r>
      <w:r w:rsidRPr="003A2B98">
        <w:rPr>
          <w:rFonts w:cs="Times New Roman"/>
          <w:color w:val="000000"/>
          <w:szCs w:val="24"/>
        </w:rPr>
        <w:t>GUD-K</w:t>
      </w:r>
      <w:r>
        <w:rPr>
          <w:rFonts w:cs="Times New Roman"/>
          <w:color w:val="000000"/>
          <w:szCs w:val="24"/>
        </w:rPr>
        <w:t xml:space="preserve"> </w:t>
      </w:r>
      <w:r w:rsidRPr="003A2B98">
        <w:rPr>
          <w:rFonts w:cs="Times New Roman"/>
          <w:color w:val="000000"/>
          <w:szCs w:val="24"/>
        </w:rPr>
        <w:t xml:space="preserve">kolejnych </w:t>
      </w:r>
      <w:r w:rsidRPr="003A2B98">
        <w:rPr>
          <w:rFonts w:cs="Times New Roman"/>
          <w:color w:val="000000"/>
          <w:spacing w:val="-6"/>
          <w:w w:val="95"/>
          <w:szCs w:val="24"/>
        </w:rPr>
        <w:t xml:space="preserve">URD </w:t>
      </w:r>
      <w:r w:rsidRPr="003A2B98">
        <w:rPr>
          <w:rFonts w:cs="Times New Roman"/>
          <w:color w:val="000000"/>
          <w:szCs w:val="24"/>
        </w:rPr>
        <w:t>i</w:t>
      </w:r>
      <w:r>
        <w:rPr>
          <w:rFonts w:cs="Times New Roman"/>
          <w:color w:val="000000"/>
          <w:szCs w:val="24"/>
        </w:rPr>
        <w:t xml:space="preserve"> </w:t>
      </w:r>
      <w:r w:rsidRPr="003A2B98">
        <w:rPr>
          <w:rFonts w:cs="Times New Roman"/>
          <w:color w:val="000000"/>
          <w:szCs w:val="24"/>
        </w:rPr>
        <w:t xml:space="preserve">zobowiązania OSDn </w:t>
      </w:r>
      <w:r>
        <w:rPr>
          <w:rFonts w:cs="Times New Roman"/>
          <w:color w:val="000000"/>
          <w:szCs w:val="24"/>
        </w:rPr>
        <w:br/>
      </w:r>
      <w:r w:rsidRPr="003A2B98">
        <w:rPr>
          <w:rFonts w:cs="Times New Roman"/>
          <w:color w:val="000000"/>
          <w:szCs w:val="24"/>
        </w:rPr>
        <w:t>i sprzedawcy w tym</w:t>
      </w:r>
      <w:r w:rsidRPr="003A2B98">
        <w:rPr>
          <w:rFonts w:cs="Times New Roman"/>
          <w:color w:val="000000"/>
          <w:spacing w:val="10"/>
          <w:szCs w:val="24"/>
        </w:rPr>
        <w:t xml:space="preserve"> </w:t>
      </w:r>
      <w:r w:rsidRPr="003A2B98">
        <w:rPr>
          <w:rFonts w:cs="Times New Roman"/>
          <w:color w:val="000000"/>
          <w:szCs w:val="24"/>
        </w:rPr>
        <w:t>zakresie;</w:t>
      </w:r>
    </w:p>
    <w:p w14:paraId="4E3E0848" w14:textId="77777777" w:rsidR="00051FAD" w:rsidRPr="003A2B98" w:rsidRDefault="00051FAD">
      <w:pPr>
        <w:pStyle w:val="Akapitzlist"/>
        <w:widowControl w:val="0"/>
        <w:numPr>
          <w:ilvl w:val="2"/>
          <w:numId w:val="302"/>
        </w:numPr>
        <w:autoSpaceDE w:val="0"/>
        <w:autoSpaceDN w:val="0"/>
        <w:spacing w:line="235" w:lineRule="auto"/>
        <w:ind w:left="851" w:right="2" w:hanging="284"/>
        <w:jc w:val="both"/>
        <w:rPr>
          <w:rFonts w:cs="Times New Roman"/>
          <w:color w:val="000000"/>
          <w:szCs w:val="24"/>
        </w:rPr>
      </w:pPr>
      <w:r w:rsidRPr="003A2B98">
        <w:rPr>
          <w:rFonts w:cs="Times New Roman"/>
          <w:color w:val="000000"/>
          <w:szCs w:val="24"/>
        </w:rPr>
        <w:t xml:space="preserve">zasady wyłączania z zakresu GUD-K tych </w:t>
      </w:r>
      <w:r w:rsidRPr="003A2B98">
        <w:rPr>
          <w:rFonts w:cs="Times New Roman"/>
          <w:color w:val="000000"/>
          <w:spacing w:val="3"/>
          <w:szCs w:val="24"/>
        </w:rPr>
        <w:t xml:space="preserve">URD, </w:t>
      </w:r>
      <w:r w:rsidRPr="003A2B98">
        <w:rPr>
          <w:rFonts w:cs="Times New Roman"/>
          <w:color w:val="000000"/>
          <w:szCs w:val="24"/>
        </w:rPr>
        <w:t>z którymi zawarte umowy kompleksowe wygasły lub zostały</w:t>
      </w:r>
      <w:r w:rsidRPr="003A2B98">
        <w:rPr>
          <w:rFonts w:cs="Times New Roman"/>
          <w:color w:val="000000"/>
          <w:spacing w:val="4"/>
          <w:szCs w:val="24"/>
        </w:rPr>
        <w:t xml:space="preserve"> </w:t>
      </w:r>
      <w:r w:rsidRPr="003A2B98">
        <w:rPr>
          <w:rFonts w:cs="Times New Roman"/>
          <w:color w:val="000000"/>
          <w:szCs w:val="24"/>
        </w:rPr>
        <w:t>rozwiązane;</w:t>
      </w:r>
    </w:p>
    <w:p w14:paraId="3CD08208" w14:textId="77777777" w:rsidR="00051FAD" w:rsidRPr="003A2B98" w:rsidRDefault="00051FAD">
      <w:pPr>
        <w:pStyle w:val="Akapitzlist"/>
        <w:widowControl w:val="0"/>
        <w:numPr>
          <w:ilvl w:val="2"/>
          <w:numId w:val="302"/>
        </w:numPr>
        <w:autoSpaceDE w:val="0"/>
        <w:autoSpaceDN w:val="0"/>
        <w:spacing w:before="6"/>
        <w:ind w:left="851" w:right="2" w:hanging="284"/>
        <w:jc w:val="both"/>
        <w:rPr>
          <w:rFonts w:cs="Times New Roman"/>
          <w:color w:val="000000"/>
          <w:szCs w:val="24"/>
        </w:rPr>
      </w:pPr>
      <w:r w:rsidRPr="003A2B98">
        <w:rPr>
          <w:rFonts w:cs="Times New Roman"/>
          <w:color w:val="000000"/>
          <w:szCs w:val="24"/>
        </w:rPr>
        <w:t>wskazanie POB oraz zasady i warunki jego zmiany, w tym umocowanie wskazanego przez sprzedawcę</w:t>
      </w:r>
      <w:r w:rsidRPr="003A2B98">
        <w:rPr>
          <w:rFonts w:cs="Times New Roman"/>
          <w:color w:val="000000"/>
          <w:spacing w:val="-18"/>
          <w:szCs w:val="24"/>
        </w:rPr>
        <w:t xml:space="preserve"> </w:t>
      </w:r>
      <w:r w:rsidRPr="003A2B98">
        <w:rPr>
          <w:rFonts w:cs="Times New Roman"/>
          <w:color w:val="000000"/>
          <w:szCs w:val="24"/>
        </w:rPr>
        <w:t>POB;</w:t>
      </w:r>
    </w:p>
    <w:p w14:paraId="26193883" w14:textId="77777777" w:rsidR="00051FAD" w:rsidRPr="003A2B98" w:rsidRDefault="00051FAD">
      <w:pPr>
        <w:pStyle w:val="Akapitzlist"/>
        <w:widowControl w:val="0"/>
        <w:numPr>
          <w:ilvl w:val="2"/>
          <w:numId w:val="302"/>
        </w:numPr>
        <w:autoSpaceDE w:val="0"/>
        <w:autoSpaceDN w:val="0"/>
        <w:ind w:left="851" w:right="2" w:hanging="284"/>
        <w:jc w:val="both"/>
        <w:rPr>
          <w:rFonts w:cs="Times New Roman"/>
          <w:color w:val="000000"/>
          <w:szCs w:val="24"/>
        </w:rPr>
      </w:pPr>
      <w:r w:rsidRPr="003A2B98">
        <w:rPr>
          <w:rFonts w:cs="Times New Roman"/>
          <w:color w:val="000000"/>
          <w:szCs w:val="24"/>
        </w:rPr>
        <w:t>zasady</w:t>
      </w:r>
      <w:r w:rsidRPr="003A2B98">
        <w:rPr>
          <w:rFonts w:cs="Times New Roman"/>
          <w:color w:val="000000"/>
          <w:spacing w:val="-16"/>
          <w:szCs w:val="24"/>
        </w:rPr>
        <w:t xml:space="preserve"> </w:t>
      </w:r>
      <w:r w:rsidRPr="003A2B98">
        <w:rPr>
          <w:rFonts w:cs="Times New Roman"/>
          <w:color w:val="000000"/>
          <w:szCs w:val="24"/>
        </w:rPr>
        <w:t>i</w:t>
      </w:r>
      <w:r w:rsidRPr="003A2B98">
        <w:rPr>
          <w:rFonts w:cs="Times New Roman"/>
          <w:color w:val="000000"/>
          <w:spacing w:val="-22"/>
          <w:szCs w:val="24"/>
        </w:rPr>
        <w:t xml:space="preserve"> </w:t>
      </w:r>
      <w:r w:rsidRPr="003A2B98">
        <w:rPr>
          <w:rFonts w:cs="Times New Roman"/>
          <w:color w:val="000000"/>
          <w:szCs w:val="24"/>
        </w:rPr>
        <w:t>terminy</w:t>
      </w:r>
      <w:r w:rsidRPr="003A2B98">
        <w:rPr>
          <w:rFonts w:cs="Times New Roman"/>
          <w:color w:val="000000"/>
          <w:spacing w:val="-6"/>
          <w:szCs w:val="24"/>
        </w:rPr>
        <w:t xml:space="preserve"> </w:t>
      </w:r>
      <w:r w:rsidRPr="003A2B98">
        <w:rPr>
          <w:rFonts w:cs="Times New Roman"/>
          <w:color w:val="000000"/>
          <w:szCs w:val="24"/>
        </w:rPr>
        <w:t>przekazywania</w:t>
      </w:r>
      <w:r w:rsidRPr="003A2B98">
        <w:rPr>
          <w:rFonts w:cs="Times New Roman"/>
          <w:color w:val="000000"/>
          <w:spacing w:val="-5"/>
          <w:szCs w:val="24"/>
        </w:rPr>
        <w:t xml:space="preserve"> </w:t>
      </w:r>
      <w:r w:rsidRPr="003A2B98">
        <w:rPr>
          <w:rFonts w:cs="Times New Roman"/>
          <w:color w:val="000000"/>
          <w:szCs w:val="24"/>
        </w:rPr>
        <w:t>informacji</w:t>
      </w:r>
      <w:r w:rsidRPr="003A2B98">
        <w:rPr>
          <w:rFonts w:cs="Times New Roman"/>
          <w:color w:val="000000"/>
          <w:spacing w:val="-6"/>
          <w:szCs w:val="24"/>
        </w:rPr>
        <w:t xml:space="preserve"> </w:t>
      </w:r>
      <w:r w:rsidRPr="003A2B98">
        <w:rPr>
          <w:rFonts w:cs="Times New Roman"/>
          <w:color w:val="000000"/>
          <w:szCs w:val="24"/>
        </w:rPr>
        <w:t>dotyczących</w:t>
      </w:r>
      <w:r w:rsidRPr="003A2B98">
        <w:rPr>
          <w:rFonts w:cs="Times New Roman"/>
          <w:color w:val="000000"/>
          <w:spacing w:val="-8"/>
          <w:szCs w:val="24"/>
        </w:rPr>
        <w:t xml:space="preserve"> </w:t>
      </w:r>
      <w:r w:rsidRPr="003A2B98">
        <w:rPr>
          <w:rFonts w:cs="Times New Roman"/>
          <w:color w:val="000000"/>
          <w:szCs w:val="24"/>
        </w:rPr>
        <w:t>rozwiązywania</w:t>
      </w:r>
      <w:r w:rsidRPr="003A2B98">
        <w:rPr>
          <w:rFonts w:cs="Times New Roman"/>
          <w:color w:val="000000"/>
          <w:spacing w:val="-3"/>
          <w:szCs w:val="24"/>
        </w:rPr>
        <w:t xml:space="preserve"> </w:t>
      </w:r>
      <w:r w:rsidRPr="003A2B98">
        <w:rPr>
          <w:rFonts w:cs="Times New Roman"/>
          <w:color w:val="000000"/>
          <w:szCs w:val="24"/>
        </w:rPr>
        <w:t>umów kompleksowych;</w:t>
      </w:r>
    </w:p>
    <w:p w14:paraId="3099B7A2" w14:textId="77777777" w:rsidR="00051FAD" w:rsidRPr="003A2B98" w:rsidRDefault="00051FAD">
      <w:pPr>
        <w:pStyle w:val="Akapitzlist"/>
        <w:widowControl w:val="0"/>
        <w:numPr>
          <w:ilvl w:val="2"/>
          <w:numId w:val="302"/>
        </w:numPr>
        <w:autoSpaceDE w:val="0"/>
        <w:autoSpaceDN w:val="0"/>
        <w:ind w:left="851" w:right="2" w:hanging="284"/>
        <w:jc w:val="both"/>
        <w:rPr>
          <w:rFonts w:cs="Times New Roman"/>
          <w:color w:val="000000"/>
          <w:szCs w:val="24"/>
        </w:rPr>
      </w:pPr>
      <w:r w:rsidRPr="003A2B98">
        <w:rPr>
          <w:rFonts w:cs="Times New Roman"/>
          <w:color w:val="000000"/>
          <w:szCs w:val="24"/>
        </w:rPr>
        <w:t>zasady wstrzymywania i wznawiania dostarczania energii elektrycznej URD przez OSDn;</w:t>
      </w:r>
    </w:p>
    <w:p w14:paraId="1426849E" w14:textId="77777777" w:rsidR="00051FAD" w:rsidRPr="003A2B98" w:rsidRDefault="00051FAD">
      <w:pPr>
        <w:pStyle w:val="Akapitzlist"/>
        <w:widowControl w:val="0"/>
        <w:numPr>
          <w:ilvl w:val="2"/>
          <w:numId w:val="302"/>
        </w:numPr>
        <w:autoSpaceDE w:val="0"/>
        <w:autoSpaceDN w:val="0"/>
        <w:ind w:left="851" w:right="2" w:hanging="284"/>
        <w:jc w:val="both"/>
        <w:rPr>
          <w:rFonts w:cs="Times New Roman"/>
          <w:color w:val="000000"/>
          <w:szCs w:val="24"/>
        </w:rPr>
      </w:pPr>
      <w:r w:rsidRPr="003A2B98">
        <w:rPr>
          <w:rFonts w:cs="Times New Roman"/>
          <w:color w:val="000000"/>
          <w:szCs w:val="24"/>
        </w:rPr>
        <w:t>zakres, zasady i terminy udostępniania danych dotyczących URD, w tym danych pomiarowych oraz innych niezbędnych do dokonania przez sprzedawcę rozliczeń za usługę</w:t>
      </w:r>
      <w:r w:rsidRPr="003A2B98">
        <w:rPr>
          <w:rFonts w:cs="Times New Roman"/>
          <w:color w:val="000000"/>
          <w:spacing w:val="-12"/>
          <w:szCs w:val="24"/>
        </w:rPr>
        <w:t xml:space="preserve"> </w:t>
      </w:r>
      <w:r w:rsidRPr="003A2B98">
        <w:rPr>
          <w:rFonts w:cs="Times New Roman"/>
          <w:color w:val="000000"/>
          <w:szCs w:val="24"/>
        </w:rPr>
        <w:t>kompleksową;</w:t>
      </w:r>
    </w:p>
    <w:p w14:paraId="24BA4ECF" w14:textId="77777777" w:rsidR="00051FAD" w:rsidRPr="003A2B98" w:rsidRDefault="00051FAD">
      <w:pPr>
        <w:pStyle w:val="Akapitzlist"/>
        <w:widowControl w:val="0"/>
        <w:numPr>
          <w:ilvl w:val="2"/>
          <w:numId w:val="302"/>
        </w:numPr>
        <w:autoSpaceDE w:val="0"/>
        <w:autoSpaceDN w:val="0"/>
        <w:spacing w:before="3"/>
        <w:ind w:left="851" w:right="2" w:hanging="284"/>
        <w:jc w:val="both"/>
        <w:rPr>
          <w:rFonts w:cs="Times New Roman"/>
          <w:color w:val="000000"/>
          <w:szCs w:val="24"/>
        </w:rPr>
      </w:pPr>
      <w:r w:rsidRPr="003A2B98">
        <w:rPr>
          <w:rFonts w:cs="Times New Roman"/>
          <w:color w:val="000000"/>
          <w:szCs w:val="24"/>
        </w:rPr>
        <w:t>zasady</w:t>
      </w:r>
      <w:r w:rsidRPr="003A2B98">
        <w:rPr>
          <w:rFonts w:cs="Times New Roman"/>
          <w:color w:val="000000"/>
          <w:spacing w:val="-4"/>
          <w:szCs w:val="24"/>
        </w:rPr>
        <w:t xml:space="preserve"> </w:t>
      </w:r>
      <w:r w:rsidRPr="003A2B98">
        <w:rPr>
          <w:rFonts w:cs="Times New Roman"/>
          <w:color w:val="000000"/>
          <w:szCs w:val="24"/>
        </w:rPr>
        <w:t>udzielania</w:t>
      </w:r>
      <w:r w:rsidRPr="003A2B98">
        <w:rPr>
          <w:rFonts w:cs="Times New Roman"/>
          <w:color w:val="000000"/>
          <w:spacing w:val="-1"/>
          <w:szCs w:val="24"/>
        </w:rPr>
        <w:t xml:space="preserve"> </w:t>
      </w:r>
      <w:r w:rsidRPr="003A2B98">
        <w:rPr>
          <w:rFonts w:cs="Times New Roman"/>
          <w:color w:val="000000"/>
          <w:szCs w:val="24"/>
        </w:rPr>
        <w:t>bonifikat,</w:t>
      </w:r>
      <w:r w:rsidRPr="003A2B98">
        <w:rPr>
          <w:rFonts w:cs="Times New Roman"/>
          <w:color w:val="000000"/>
          <w:spacing w:val="-17"/>
          <w:szCs w:val="24"/>
        </w:rPr>
        <w:t xml:space="preserve"> </w:t>
      </w:r>
      <w:r w:rsidRPr="003A2B98">
        <w:rPr>
          <w:rFonts w:cs="Times New Roman"/>
          <w:color w:val="000000"/>
          <w:szCs w:val="24"/>
        </w:rPr>
        <w:t>rozpatrywania reklamacji</w:t>
      </w:r>
      <w:r w:rsidRPr="003A2B98">
        <w:rPr>
          <w:rFonts w:cs="Times New Roman"/>
          <w:color w:val="000000"/>
          <w:spacing w:val="-6"/>
          <w:szCs w:val="24"/>
        </w:rPr>
        <w:t xml:space="preserve"> </w:t>
      </w:r>
      <w:r w:rsidRPr="003A2B98">
        <w:rPr>
          <w:rFonts w:cs="Times New Roman"/>
          <w:color w:val="000000"/>
          <w:szCs w:val="24"/>
        </w:rPr>
        <w:t>i</w:t>
      </w:r>
      <w:r w:rsidRPr="003A2B98">
        <w:rPr>
          <w:rFonts w:cs="Times New Roman"/>
          <w:color w:val="000000"/>
          <w:spacing w:val="-11"/>
          <w:szCs w:val="24"/>
        </w:rPr>
        <w:t xml:space="preserve"> </w:t>
      </w:r>
      <w:r w:rsidRPr="003A2B98">
        <w:rPr>
          <w:rFonts w:cs="Times New Roman"/>
          <w:color w:val="000000"/>
          <w:szCs w:val="24"/>
        </w:rPr>
        <w:t>wypłaty</w:t>
      </w:r>
      <w:r w:rsidRPr="003A2B98">
        <w:rPr>
          <w:rFonts w:cs="Times New Roman"/>
          <w:color w:val="000000"/>
          <w:spacing w:val="-8"/>
          <w:szCs w:val="24"/>
        </w:rPr>
        <w:t xml:space="preserve"> </w:t>
      </w:r>
      <w:r w:rsidRPr="003A2B98">
        <w:rPr>
          <w:rFonts w:cs="Times New Roman"/>
          <w:color w:val="000000"/>
          <w:spacing w:val="-5"/>
          <w:szCs w:val="24"/>
        </w:rPr>
        <w:t>odszkodowań;</w:t>
      </w:r>
    </w:p>
    <w:p w14:paraId="1A6E1186" w14:textId="77777777" w:rsidR="00051FAD" w:rsidRPr="003A2B98" w:rsidRDefault="00051FAD">
      <w:pPr>
        <w:pStyle w:val="Akapitzlist"/>
        <w:widowControl w:val="0"/>
        <w:numPr>
          <w:ilvl w:val="2"/>
          <w:numId w:val="302"/>
        </w:numPr>
        <w:autoSpaceDE w:val="0"/>
        <w:autoSpaceDN w:val="0"/>
        <w:ind w:left="851" w:right="2" w:hanging="284"/>
        <w:jc w:val="both"/>
        <w:rPr>
          <w:rFonts w:cs="Times New Roman"/>
          <w:color w:val="000000"/>
          <w:szCs w:val="24"/>
        </w:rPr>
      </w:pPr>
      <w:r w:rsidRPr="003A2B98">
        <w:rPr>
          <w:rFonts w:cs="Times New Roman"/>
          <w:color w:val="000000"/>
          <w:szCs w:val="24"/>
        </w:rPr>
        <w:t xml:space="preserve">obowiązki OSDn i sprzedawcy w zakresie obsługi </w:t>
      </w:r>
      <w:r w:rsidRPr="003A2B98">
        <w:rPr>
          <w:rFonts w:cs="Times New Roman"/>
          <w:color w:val="000000"/>
          <w:spacing w:val="4"/>
          <w:szCs w:val="24"/>
        </w:rPr>
        <w:t>URD;</w:t>
      </w:r>
    </w:p>
    <w:p w14:paraId="0BA30F9C" w14:textId="77777777" w:rsidR="00051FAD" w:rsidRPr="003A2B98" w:rsidRDefault="00051FAD">
      <w:pPr>
        <w:pStyle w:val="Tekstpodstawowy"/>
        <w:widowControl w:val="0"/>
        <w:numPr>
          <w:ilvl w:val="0"/>
          <w:numId w:val="318"/>
        </w:numPr>
        <w:tabs>
          <w:tab w:val="clear" w:pos="4536"/>
          <w:tab w:val="clear" w:pos="9072"/>
        </w:tabs>
        <w:autoSpaceDE w:val="0"/>
        <w:autoSpaceDN w:val="0"/>
        <w:spacing w:before="91" w:line="240" w:lineRule="auto"/>
        <w:ind w:left="993" w:right="2" w:hanging="142"/>
      </w:pPr>
      <w:r w:rsidRPr="003A2B98">
        <w:t>warunki i zasady prowadzenia rozliczeń pomiędzy OSDn i</w:t>
      </w:r>
      <w:r w:rsidRPr="003A2B98">
        <w:rPr>
          <w:spacing w:val="-4"/>
        </w:rPr>
        <w:t xml:space="preserve"> </w:t>
      </w:r>
      <w:r w:rsidRPr="003A2B98">
        <w:t>sprzedawcą;</w:t>
      </w:r>
    </w:p>
    <w:p w14:paraId="099A838E" w14:textId="77777777" w:rsidR="00051FAD" w:rsidRPr="003A2B98" w:rsidRDefault="00051FAD">
      <w:pPr>
        <w:pStyle w:val="Tekstpodstawowy"/>
        <w:widowControl w:val="0"/>
        <w:numPr>
          <w:ilvl w:val="0"/>
          <w:numId w:val="318"/>
        </w:numPr>
        <w:tabs>
          <w:tab w:val="clear" w:pos="4536"/>
          <w:tab w:val="clear" w:pos="9072"/>
        </w:tabs>
        <w:autoSpaceDE w:val="0"/>
        <w:autoSpaceDN w:val="0"/>
        <w:spacing w:before="4" w:line="240" w:lineRule="auto"/>
        <w:ind w:left="993" w:right="2" w:hanging="142"/>
      </w:pPr>
      <w:r w:rsidRPr="003A2B98">
        <w:t xml:space="preserve">osoby upoważnione do kontaktu oraz ich dane teleadresowe; </w:t>
      </w:r>
    </w:p>
    <w:p w14:paraId="07B594B0" w14:textId="77777777" w:rsidR="00051FAD" w:rsidRPr="003A2B98" w:rsidRDefault="00051FAD">
      <w:pPr>
        <w:pStyle w:val="Tekstpodstawowy"/>
        <w:widowControl w:val="0"/>
        <w:numPr>
          <w:ilvl w:val="0"/>
          <w:numId w:val="318"/>
        </w:numPr>
        <w:tabs>
          <w:tab w:val="clear" w:pos="4536"/>
          <w:tab w:val="clear" w:pos="9072"/>
        </w:tabs>
        <w:autoSpaceDE w:val="0"/>
        <w:autoSpaceDN w:val="0"/>
        <w:spacing w:before="4" w:line="264" w:lineRule="exact"/>
        <w:ind w:left="993" w:right="2" w:hanging="142"/>
      </w:pPr>
      <w:r w:rsidRPr="003A2B98">
        <w:t>zasady zabezpieczenia należytego wykonania</w:t>
      </w:r>
      <w:r w:rsidRPr="003A2B98">
        <w:rPr>
          <w:spacing w:val="36"/>
        </w:rPr>
        <w:t xml:space="preserve"> </w:t>
      </w:r>
      <w:r w:rsidRPr="003A2B98">
        <w:t>GUD-K;</w:t>
      </w:r>
    </w:p>
    <w:p w14:paraId="5C15DCF5" w14:textId="77777777" w:rsidR="00051FAD" w:rsidRPr="003A2B98" w:rsidRDefault="00051FAD">
      <w:pPr>
        <w:pStyle w:val="Tekstpodstawowy"/>
        <w:widowControl w:val="0"/>
        <w:numPr>
          <w:ilvl w:val="0"/>
          <w:numId w:val="318"/>
        </w:numPr>
        <w:tabs>
          <w:tab w:val="clear" w:pos="4536"/>
          <w:tab w:val="clear" w:pos="9072"/>
        </w:tabs>
        <w:autoSpaceDE w:val="0"/>
        <w:autoSpaceDN w:val="0"/>
        <w:spacing w:before="4" w:line="264" w:lineRule="exact"/>
        <w:ind w:left="993" w:right="2" w:hanging="142"/>
      </w:pPr>
      <w:r w:rsidRPr="003A2B98">
        <w:t>zasady i warunki sprzedaży rezerwowej.</w:t>
      </w:r>
    </w:p>
    <w:p w14:paraId="4DCA859C" w14:textId="77777777" w:rsidR="00051FAD" w:rsidRPr="003A2B98" w:rsidRDefault="00051FAD">
      <w:pPr>
        <w:pStyle w:val="Akapitzlist"/>
        <w:widowControl w:val="0"/>
        <w:numPr>
          <w:ilvl w:val="0"/>
          <w:numId w:val="302"/>
        </w:numPr>
        <w:autoSpaceDE w:val="0"/>
        <w:autoSpaceDN w:val="0"/>
        <w:ind w:left="426" w:right="2" w:hanging="426"/>
        <w:jc w:val="both"/>
        <w:rPr>
          <w:rFonts w:cs="Times New Roman"/>
          <w:color w:val="000000"/>
          <w:szCs w:val="24"/>
        </w:rPr>
      </w:pPr>
      <w:r w:rsidRPr="003A2B98">
        <w:rPr>
          <w:rFonts w:cs="Times New Roman"/>
          <w:color w:val="000000"/>
          <w:szCs w:val="24"/>
        </w:rPr>
        <w:t>OSDn zobowiązuje się w szczególności</w:t>
      </w:r>
      <w:r w:rsidRPr="003A2B98">
        <w:rPr>
          <w:rFonts w:cs="Times New Roman"/>
          <w:color w:val="000000"/>
          <w:spacing w:val="8"/>
          <w:szCs w:val="24"/>
        </w:rPr>
        <w:t xml:space="preserve"> </w:t>
      </w:r>
      <w:r w:rsidRPr="003A2B98">
        <w:rPr>
          <w:rFonts w:cs="Times New Roman"/>
          <w:color w:val="000000"/>
          <w:szCs w:val="24"/>
        </w:rPr>
        <w:t>do:</w:t>
      </w:r>
    </w:p>
    <w:p w14:paraId="6D748D02" w14:textId="77777777" w:rsidR="00051FAD" w:rsidRPr="003A2B98" w:rsidRDefault="00051FAD">
      <w:pPr>
        <w:pStyle w:val="Akapitzlist"/>
        <w:widowControl w:val="0"/>
        <w:numPr>
          <w:ilvl w:val="1"/>
          <w:numId w:val="302"/>
        </w:numPr>
        <w:autoSpaceDE w:val="0"/>
        <w:autoSpaceDN w:val="0"/>
        <w:ind w:left="567" w:right="2" w:hanging="283"/>
        <w:jc w:val="both"/>
        <w:rPr>
          <w:rFonts w:cs="Times New Roman"/>
          <w:color w:val="000000"/>
          <w:szCs w:val="24"/>
        </w:rPr>
      </w:pPr>
      <w:r w:rsidRPr="003A2B98">
        <w:rPr>
          <w:rFonts w:cs="Times New Roman"/>
          <w:color w:val="000000"/>
          <w:szCs w:val="24"/>
        </w:rPr>
        <w:t>przyjmowania</w:t>
      </w:r>
      <w:r w:rsidRPr="003A2B98">
        <w:rPr>
          <w:rFonts w:cs="Times New Roman"/>
          <w:color w:val="000000"/>
          <w:spacing w:val="-20"/>
          <w:szCs w:val="24"/>
        </w:rPr>
        <w:t xml:space="preserve"> </w:t>
      </w:r>
      <w:r w:rsidRPr="003A2B98">
        <w:rPr>
          <w:rFonts w:cs="Times New Roman"/>
          <w:color w:val="000000"/>
          <w:szCs w:val="24"/>
        </w:rPr>
        <w:t>od</w:t>
      </w:r>
      <w:r w:rsidRPr="003A2B98">
        <w:rPr>
          <w:rFonts w:cs="Times New Roman"/>
          <w:color w:val="000000"/>
          <w:spacing w:val="-24"/>
          <w:szCs w:val="24"/>
        </w:rPr>
        <w:t xml:space="preserve"> </w:t>
      </w:r>
      <w:r w:rsidRPr="003A2B98">
        <w:rPr>
          <w:rFonts w:cs="Times New Roman"/>
          <w:color w:val="000000"/>
          <w:szCs w:val="24"/>
        </w:rPr>
        <w:t>sprzedawcy</w:t>
      </w:r>
      <w:r w:rsidRPr="003A2B98">
        <w:rPr>
          <w:rFonts w:cs="Times New Roman"/>
          <w:color w:val="000000"/>
          <w:spacing w:val="-15"/>
          <w:szCs w:val="24"/>
        </w:rPr>
        <w:t xml:space="preserve"> </w:t>
      </w:r>
      <w:r w:rsidRPr="003A2B98">
        <w:rPr>
          <w:rFonts w:cs="Times New Roman"/>
          <w:color w:val="000000"/>
          <w:szCs w:val="24"/>
        </w:rPr>
        <w:t>powiadomień</w:t>
      </w:r>
      <w:r w:rsidRPr="003A2B98">
        <w:rPr>
          <w:rFonts w:cs="Times New Roman"/>
          <w:color w:val="000000"/>
          <w:spacing w:val="-12"/>
          <w:szCs w:val="24"/>
        </w:rPr>
        <w:t xml:space="preserve"> </w:t>
      </w:r>
      <w:r w:rsidRPr="003A2B98">
        <w:rPr>
          <w:rFonts w:cs="Times New Roman"/>
          <w:color w:val="000000"/>
          <w:szCs w:val="24"/>
        </w:rPr>
        <w:t>o</w:t>
      </w:r>
      <w:r w:rsidRPr="003A2B98">
        <w:rPr>
          <w:rFonts w:cs="Times New Roman"/>
          <w:color w:val="000000"/>
          <w:spacing w:val="-32"/>
          <w:szCs w:val="24"/>
        </w:rPr>
        <w:t xml:space="preserve"> </w:t>
      </w:r>
      <w:r w:rsidRPr="003A2B98">
        <w:rPr>
          <w:rFonts w:cs="Times New Roman"/>
          <w:color w:val="000000"/>
          <w:szCs w:val="24"/>
        </w:rPr>
        <w:t>zawartych</w:t>
      </w:r>
      <w:r w:rsidRPr="003A2B98">
        <w:rPr>
          <w:rFonts w:cs="Times New Roman"/>
          <w:color w:val="000000"/>
          <w:spacing w:val="-14"/>
          <w:szCs w:val="24"/>
        </w:rPr>
        <w:t xml:space="preserve"> </w:t>
      </w:r>
      <w:r w:rsidRPr="003A2B98">
        <w:rPr>
          <w:rFonts w:cs="Times New Roman"/>
          <w:color w:val="000000"/>
          <w:szCs w:val="24"/>
        </w:rPr>
        <w:t>umowach</w:t>
      </w:r>
      <w:r w:rsidRPr="003A2B98">
        <w:rPr>
          <w:rFonts w:cs="Times New Roman"/>
          <w:color w:val="000000"/>
          <w:spacing w:val="-14"/>
          <w:szCs w:val="24"/>
        </w:rPr>
        <w:t xml:space="preserve"> </w:t>
      </w:r>
      <w:r w:rsidRPr="003A2B98">
        <w:rPr>
          <w:rFonts w:cs="Times New Roman"/>
          <w:color w:val="000000"/>
          <w:szCs w:val="24"/>
        </w:rPr>
        <w:t>kompleksowych oraz weryfikacji tych powiadomień zgodnie z</w:t>
      </w:r>
      <w:r w:rsidRPr="003A2B98">
        <w:rPr>
          <w:rFonts w:cs="Times New Roman"/>
          <w:color w:val="000000"/>
          <w:spacing w:val="-1"/>
          <w:szCs w:val="24"/>
        </w:rPr>
        <w:t xml:space="preserve"> </w:t>
      </w:r>
      <w:r w:rsidRPr="003A2B98">
        <w:rPr>
          <w:rFonts w:cs="Times New Roman"/>
          <w:color w:val="000000"/>
          <w:szCs w:val="24"/>
        </w:rPr>
        <w:t>IRiESD;</w:t>
      </w:r>
    </w:p>
    <w:p w14:paraId="2B526FAD" w14:textId="77777777" w:rsidR="00051FAD" w:rsidRPr="003A2B98" w:rsidRDefault="00051FAD">
      <w:pPr>
        <w:pStyle w:val="Akapitzlist"/>
        <w:widowControl w:val="0"/>
        <w:numPr>
          <w:ilvl w:val="1"/>
          <w:numId w:val="302"/>
        </w:numPr>
        <w:autoSpaceDE w:val="0"/>
        <w:autoSpaceDN w:val="0"/>
        <w:spacing w:line="242" w:lineRule="auto"/>
        <w:ind w:left="567" w:right="2" w:hanging="283"/>
        <w:jc w:val="both"/>
        <w:rPr>
          <w:rFonts w:cs="Times New Roman"/>
          <w:color w:val="000000"/>
          <w:szCs w:val="24"/>
        </w:rPr>
      </w:pPr>
      <w:r w:rsidRPr="003A2B98">
        <w:rPr>
          <w:rFonts w:cs="Times New Roman"/>
          <w:color w:val="000000"/>
          <w:szCs w:val="24"/>
        </w:rPr>
        <w:t>realizacji czynności niezbędnych do dostarczania energii elektrycznej do URD w związku ze zgłoszonymi przez sprzedawcę do OSDn i przyjętymi przez OSDn do realizacji umowami</w:t>
      </w:r>
      <w:r w:rsidRPr="003A2B98">
        <w:rPr>
          <w:rFonts w:cs="Times New Roman"/>
          <w:color w:val="000000"/>
          <w:spacing w:val="-36"/>
          <w:szCs w:val="24"/>
        </w:rPr>
        <w:t xml:space="preserve"> </w:t>
      </w:r>
      <w:r w:rsidRPr="003A2B98">
        <w:rPr>
          <w:rFonts w:cs="Times New Roman"/>
          <w:color w:val="000000"/>
          <w:szCs w:val="24"/>
        </w:rPr>
        <w:t>kompleksowymi;</w:t>
      </w:r>
    </w:p>
    <w:p w14:paraId="149313B2" w14:textId="77777777" w:rsidR="00051FAD" w:rsidRPr="003A2B98" w:rsidRDefault="00051FAD">
      <w:pPr>
        <w:pStyle w:val="Akapitzlist"/>
        <w:widowControl w:val="0"/>
        <w:numPr>
          <w:ilvl w:val="1"/>
          <w:numId w:val="302"/>
        </w:numPr>
        <w:autoSpaceDE w:val="0"/>
        <w:autoSpaceDN w:val="0"/>
        <w:ind w:left="567" w:right="2" w:hanging="283"/>
        <w:jc w:val="both"/>
        <w:rPr>
          <w:rFonts w:cs="Times New Roman"/>
          <w:color w:val="000000"/>
          <w:szCs w:val="24"/>
        </w:rPr>
      </w:pPr>
      <w:r w:rsidRPr="003A2B98">
        <w:rPr>
          <w:rFonts w:cs="Times New Roman"/>
          <w:color w:val="000000"/>
          <w:szCs w:val="24"/>
        </w:rPr>
        <w:t xml:space="preserve">dostarczania energii elektrycznej z zachowaniem ciągłości i niezawodności dostaw </w:t>
      </w:r>
      <w:r>
        <w:rPr>
          <w:rFonts w:cs="Times New Roman"/>
          <w:color w:val="000000"/>
          <w:szCs w:val="24"/>
        </w:rPr>
        <w:br/>
      </w:r>
      <w:r w:rsidRPr="003A2B98">
        <w:rPr>
          <w:rFonts w:cs="Times New Roman"/>
          <w:color w:val="000000"/>
          <w:szCs w:val="24"/>
        </w:rPr>
        <w:t>z uwzględnieniem parametrów jakościowych energii elektrycznej i standardów jakościowych</w:t>
      </w:r>
      <w:r w:rsidRPr="003A2B98">
        <w:rPr>
          <w:rFonts w:cs="Times New Roman"/>
          <w:color w:val="000000"/>
          <w:spacing w:val="-4"/>
          <w:szCs w:val="24"/>
        </w:rPr>
        <w:t xml:space="preserve"> </w:t>
      </w:r>
      <w:r w:rsidRPr="003A2B98">
        <w:rPr>
          <w:rFonts w:cs="Times New Roman"/>
          <w:color w:val="000000"/>
          <w:szCs w:val="24"/>
        </w:rPr>
        <w:t>obsługi</w:t>
      </w:r>
      <w:r w:rsidRPr="003A2B98">
        <w:rPr>
          <w:rFonts w:cs="Times New Roman"/>
          <w:color w:val="000000"/>
          <w:spacing w:val="-13"/>
          <w:szCs w:val="24"/>
        </w:rPr>
        <w:t xml:space="preserve"> </w:t>
      </w:r>
      <w:r w:rsidRPr="003A2B98">
        <w:rPr>
          <w:rFonts w:cs="Times New Roman"/>
          <w:color w:val="000000"/>
          <w:szCs w:val="24"/>
        </w:rPr>
        <w:t>odbiorców</w:t>
      </w:r>
      <w:r w:rsidRPr="003A2B98">
        <w:rPr>
          <w:rFonts w:cs="Times New Roman"/>
          <w:color w:val="000000"/>
          <w:spacing w:val="-10"/>
          <w:szCs w:val="24"/>
        </w:rPr>
        <w:t xml:space="preserve"> </w:t>
      </w:r>
      <w:r w:rsidRPr="003A2B98">
        <w:rPr>
          <w:rFonts w:cs="Times New Roman"/>
          <w:color w:val="000000"/>
          <w:szCs w:val="24"/>
        </w:rPr>
        <w:t>określonych</w:t>
      </w:r>
      <w:r w:rsidRPr="003A2B98">
        <w:rPr>
          <w:rFonts w:cs="Times New Roman"/>
          <w:color w:val="000000"/>
          <w:spacing w:val="-7"/>
          <w:szCs w:val="24"/>
        </w:rPr>
        <w:t xml:space="preserve"> </w:t>
      </w:r>
      <w:r w:rsidRPr="003A2B98">
        <w:rPr>
          <w:rFonts w:cs="Times New Roman"/>
          <w:color w:val="000000"/>
          <w:szCs w:val="24"/>
        </w:rPr>
        <w:t>w</w:t>
      </w:r>
      <w:r w:rsidRPr="003A2B98">
        <w:rPr>
          <w:rFonts w:cs="Times New Roman"/>
          <w:color w:val="000000"/>
          <w:spacing w:val="-22"/>
          <w:szCs w:val="24"/>
        </w:rPr>
        <w:t xml:space="preserve"> </w:t>
      </w:r>
      <w:r w:rsidRPr="003A2B98">
        <w:rPr>
          <w:rFonts w:cs="Times New Roman"/>
          <w:color w:val="000000"/>
          <w:szCs w:val="24"/>
        </w:rPr>
        <w:t>obowiązujących</w:t>
      </w:r>
      <w:r w:rsidRPr="003A2B98">
        <w:rPr>
          <w:rFonts w:cs="Times New Roman"/>
          <w:color w:val="000000"/>
          <w:spacing w:val="-16"/>
          <w:szCs w:val="24"/>
        </w:rPr>
        <w:t xml:space="preserve"> </w:t>
      </w:r>
      <w:r w:rsidRPr="003A2B98">
        <w:rPr>
          <w:rFonts w:cs="Times New Roman"/>
          <w:color w:val="000000"/>
          <w:szCs w:val="24"/>
        </w:rPr>
        <w:t>przepisach</w:t>
      </w:r>
      <w:r w:rsidRPr="003A2B98">
        <w:rPr>
          <w:rFonts w:cs="Times New Roman"/>
          <w:color w:val="000000"/>
          <w:spacing w:val="-6"/>
          <w:szCs w:val="24"/>
        </w:rPr>
        <w:t xml:space="preserve"> </w:t>
      </w:r>
      <w:r w:rsidRPr="003A2B98">
        <w:rPr>
          <w:rFonts w:cs="Times New Roman"/>
          <w:color w:val="000000"/>
          <w:szCs w:val="24"/>
        </w:rPr>
        <w:t>prawa, do miejsc dostarczania energii elektrycznej określonych w umowach kompleksowych;</w:t>
      </w:r>
    </w:p>
    <w:p w14:paraId="696750F4" w14:textId="77777777" w:rsidR="00051FAD" w:rsidRPr="003A2B98" w:rsidRDefault="00051FAD">
      <w:pPr>
        <w:pStyle w:val="Akapitzlist"/>
        <w:widowControl w:val="0"/>
        <w:numPr>
          <w:ilvl w:val="1"/>
          <w:numId w:val="302"/>
        </w:numPr>
        <w:autoSpaceDE w:val="0"/>
        <w:autoSpaceDN w:val="0"/>
        <w:ind w:left="567" w:right="2" w:hanging="283"/>
        <w:jc w:val="both"/>
        <w:rPr>
          <w:rFonts w:cs="Times New Roman"/>
          <w:color w:val="000000"/>
          <w:szCs w:val="24"/>
        </w:rPr>
      </w:pPr>
      <w:r w:rsidRPr="003A2B98">
        <w:rPr>
          <w:rFonts w:cs="Times New Roman"/>
          <w:color w:val="000000"/>
          <w:szCs w:val="24"/>
        </w:rPr>
        <w:t>odbierania i dystrybucji energii elektrycznej wytworzonej i wprowadzonej do sieci OSDn przez URD będącego prosumentem energii odnawialnej na podstawie umów kompleksowych, o których mowa w pkt</w:t>
      </w:r>
      <w:r w:rsidRPr="003A2B98">
        <w:rPr>
          <w:rFonts w:cs="Times New Roman"/>
          <w:color w:val="000000"/>
          <w:spacing w:val="-20"/>
          <w:szCs w:val="24"/>
        </w:rPr>
        <w:t xml:space="preserve"> </w:t>
      </w:r>
      <w:r w:rsidRPr="003A2B98">
        <w:rPr>
          <w:rFonts w:cs="Times New Roman"/>
          <w:color w:val="000000"/>
          <w:szCs w:val="24"/>
        </w:rPr>
        <w:t>2.;</w:t>
      </w:r>
    </w:p>
    <w:p w14:paraId="3B9990CF" w14:textId="77777777" w:rsidR="00051FAD" w:rsidRPr="003A2B98" w:rsidRDefault="00051FAD">
      <w:pPr>
        <w:pStyle w:val="Akapitzlist"/>
        <w:widowControl w:val="0"/>
        <w:numPr>
          <w:ilvl w:val="1"/>
          <w:numId w:val="302"/>
        </w:numPr>
        <w:autoSpaceDE w:val="0"/>
        <w:autoSpaceDN w:val="0"/>
        <w:ind w:left="567" w:right="2" w:hanging="283"/>
        <w:jc w:val="both"/>
        <w:rPr>
          <w:rFonts w:cs="Times New Roman"/>
          <w:color w:val="000000"/>
          <w:szCs w:val="24"/>
        </w:rPr>
      </w:pPr>
      <w:r w:rsidRPr="003A2B98">
        <w:rPr>
          <w:rFonts w:cs="Times New Roman"/>
          <w:color w:val="000000"/>
          <w:szCs w:val="24"/>
        </w:rPr>
        <w:t>udostępniania sprzedawcy danych pomiarowych URD oraz danych stanowiących podstawę do rozliczeń z URD, zgodnie z zapisami IRiESD oraz Taryfy OSDn;</w:t>
      </w:r>
    </w:p>
    <w:p w14:paraId="0D552BD2" w14:textId="77777777" w:rsidR="00051FAD" w:rsidRPr="003A2B98" w:rsidRDefault="00051FAD">
      <w:pPr>
        <w:pStyle w:val="Akapitzlist"/>
        <w:widowControl w:val="0"/>
        <w:numPr>
          <w:ilvl w:val="1"/>
          <w:numId w:val="302"/>
        </w:numPr>
        <w:autoSpaceDE w:val="0"/>
        <w:autoSpaceDN w:val="0"/>
        <w:ind w:left="567" w:right="2" w:hanging="283"/>
        <w:jc w:val="both"/>
        <w:rPr>
          <w:rFonts w:cs="Times New Roman"/>
          <w:color w:val="000000"/>
          <w:szCs w:val="24"/>
        </w:rPr>
      </w:pPr>
      <w:r w:rsidRPr="003A2B98">
        <w:rPr>
          <w:rFonts w:cs="Times New Roman"/>
          <w:color w:val="000000"/>
          <w:szCs w:val="24"/>
        </w:rPr>
        <w:t>wstrzymywania i wznawiania dostarczania energii elektrycznej URD na zasadach określonych w Ustawie oraz</w:t>
      </w:r>
      <w:r w:rsidRPr="003A2B98">
        <w:rPr>
          <w:rFonts w:cs="Times New Roman"/>
          <w:color w:val="000000"/>
          <w:spacing w:val="22"/>
          <w:szCs w:val="24"/>
        </w:rPr>
        <w:t xml:space="preserve"> </w:t>
      </w:r>
      <w:r w:rsidRPr="003A2B98">
        <w:rPr>
          <w:rFonts w:cs="Times New Roman"/>
          <w:color w:val="000000"/>
          <w:szCs w:val="24"/>
        </w:rPr>
        <w:t>IRiESD;</w:t>
      </w:r>
    </w:p>
    <w:p w14:paraId="177EC9DE" w14:textId="77777777" w:rsidR="00051FAD" w:rsidRPr="003A2B98" w:rsidRDefault="00051FAD">
      <w:pPr>
        <w:pStyle w:val="Akapitzlist"/>
        <w:widowControl w:val="0"/>
        <w:numPr>
          <w:ilvl w:val="1"/>
          <w:numId w:val="302"/>
        </w:numPr>
        <w:autoSpaceDE w:val="0"/>
        <w:autoSpaceDN w:val="0"/>
        <w:spacing w:before="4"/>
        <w:ind w:left="567" w:right="2" w:hanging="283"/>
        <w:jc w:val="both"/>
        <w:rPr>
          <w:rFonts w:cs="Times New Roman"/>
          <w:color w:val="000000"/>
          <w:szCs w:val="24"/>
        </w:rPr>
      </w:pPr>
      <w:r w:rsidRPr="003A2B98">
        <w:rPr>
          <w:rFonts w:cs="Times New Roman"/>
          <w:color w:val="000000"/>
          <w:szCs w:val="24"/>
        </w:rPr>
        <w:t>rozpatrywania na zasadach określonych w IRiESD wniosków i reklamacji URD dotyczących świadczonych usług dystrybucji, zgłoszonych przez sprzedawcę w imieniu</w:t>
      </w:r>
      <w:r w:rsidRPr="003A2B98">
        <w:rPr>
          <w:rFonts w:cs="Times New Roman"/>
          <w:color w:val="000000"/>
          <w:spacing w:val="22"/>
          <w:szCs w:val="24"/>
        </w:rPr>
        <w:t xml:space="preserve"> </w:t>
      </w:r>
      <w:r w:rsidRPr="003A2B98">
        <w:rPr>
          <w:rFonts w:cs="Times New Roman"/>
          <w:color w:val="000000"/>
          <w:szCs w:val="24"/>
        </w:rPr>
        <w:t>URD;</w:t>
      </w:r>
    </w:p>
    <w:p w14:paraId="7613146D" w14:textId="77777777" w:rsidR="00051FAD" w:rsidRPr="003A2B98" w:rsidRDefault="00051FAD">
      <w:pPr>
        <w:pStyle w:val="Akapitzlist"/>
        <w:widowControl w:val="0"/>
        <w:numPr>
          <w:ilvl w:val="1"/>
          <w:numId w:val="302"/>
        </w:numPr>
        <w:autoSpaceDE w:val="0"/>
        <w:autoSpaceDN w:val="0"/>
        <w:spacing w:before="7" w:line="237" w:lineRule="auto"/>
        <w:ind w:left="567" w:right="2" w:hanging="283"/>
        <w:jc w:val="both"/>
        <w:rPr>
          <w:rFonts w:cs="Times New Roman"/>
          <w:color w:val="000000"/>
          <w:szCs w:val="24"/>
        </w:rPr>
      </w:pPr>
      <w:r w:rsidRPr="003A2B98">
        <w:rPr>
          <w:rFonts w:cs="Times New Roman"/>
          <w:color w:val="000000"/>
          <w:szCs w:val="24"/>
        </w:rPr>
        <w:t>niezwłocznego przekazywania sprzedawcy informacji wynikających z IRiESD mających</w:t>
      </w:r>
      <w:r w:rsidRPr="003A2B98">
        <w:rPr>
          <w:rFonts w:cs="Times New Roman"/>
          <w:color w:val="000000"/>
          <w:spacing w:val="3"/>
          <w:szCs w:val="24"/>
        </w:rPr>
        <w:t xml:space="preserve"> </w:t>
      </w:r>
      <w:r w:rsidRPr="003A2B98">
        <w:rPr>
          <w:rFonts w:cs="Times New Roman"/>
          <w:color w:val="000000"/>
          <w:szCs w:val="24"/>
        </w:rPr>
        <w:t>wpływ</w:t>
      </w:r>
      <w:r w:rsidRPr="003A2B98">
        <w:rPr>
          <w:rFonts w:cs="Times New Roman"/>
          <w:color w:val="000000"/>
          <w:spacing w:val="-5"/>
          <w:szCs w:val="24"/>
        </w:rPr>
        <w:t xml:space="preserve"> </w:t>
      </w:r>
      <w:r w:rsidRPr="003A2B98">
        <w:rPr>
          <w:rFonts w:cs="Times New Roman"/>
          <w:color w:val="000000"/>
          <w:szCs w:val="24"/>
        </w:rPr>
        <w:t>na</w:t>
      </w:r>
      <w:r w:rsidRPr="003A2B98">
        <w:rPr>
          <w:rFonts w:cs="Times New Roman"/>
          <w:color w:val="000000"/>
          <w:spacing w:val="-13"/>
          <w:szCs w:val="24"/>
        </w:rPr>
        <w:t xml:space="preserve"> </w:t>
      </w:r>
      <w:r w:rsidRPr="003A2B98">
        <w:rPr>
          <w:rFonts w:cs="Times New Roman"/>
          <w:color w:val="000000"/>
          <w:szCs w:val="24"/>
        </w:rPr>
        <w:t>realizację</w:t>
      </w:r>
      <w:r w:rsidRPr="003A2B98">
        <w:rPr>
          <w:rFonts w:cs="Times New Roman"/>
          <w:color w:val="000000"/>
          <w:spacing w:val="-5"/>
          <w:szCs w:val="24"/>
        </w:rPr>
        <w:t xml:space="preserve"> </w:t>
      </w:r>
      <w:r w:rsidRPr="003A2B98">
        <w:rPr>
          <w:rFonts w:cs="Times New Roman"/>
          <w:color w:val="000000"/>
          <w:szCs w:val="24"/>
        </w:rPr>
        <w:t>GUD-K</w:t>
      </w:r>
      <w:r w:rsidRPr="003A2B98">
        <w:rPr>
          <w:rFonts w:cs="Times New Roman"/>
          <w:color w:val="000000"/>
          <w:spacing w:val="-5"/>
          <w:szCs w:val="24"/>
        </w:rPr>
        <w:t xml:space="preserve"> </w:t>
      </w:r>
      <w:r w:rsidRPr="003A2B98">
        <w:rPr>
          <w:rFonts w:cs="Times New Roman"/>
          <w:color w:val="000000"/>
          <w:szCs w:val="24"/>
        </w:rPr>
        <w:t>i</w:t>
      </w:r>
      <w:r w:rsidRPr="003A2B98">
        <w:rPr>
          <w:rFonts w:cs="Times New Roman"/>
          <w:color w:val="000000"/>
          <w:spacing w:val="-11"/>
          <w:szCs w:val="24"/>
        </w:rPr>
        <w:t xml:space="preserve"> </w:t>
      </w:r>
      <w:r w:rsidRPr="003A2B98">
        <w:rPr>
          <w:rFonts w:cs="Times New Roman"/>
          <w:color w:val="000000"/>
          <w:szCs w:val="24"/>
        </w:rPr>
        <w:t>umów</w:t>
      </w:r>
      <w:r w:rsidRPr="003A2B98">
        <w:rPr>
          <w:rFonts w:cs="Times New Roman"/>
          <w:color w:val="000000"/>
          <w:spacing w:val="-7"/>
          <w:szCs w:val="24"/>
        </w:rPr>
        <w:t xml:space="preserve"> </w:t>
      </w:r>
      <w:r w:rsidRPr="003A2B98">
        <w:rPr>
          <w:rFonts w:cs="Times New Roman"/>
          <w:color w:val="000000"/>
          <w:szCs w:val="24"/>
        </w:rPr>
        <w:t>kompleksowych</w:t>
      </w:r>
      <w:r w:rsidRPr="003A2B98">
        <w:rPr>
          <w:rFonts w:cs="Times New Roman"/>
          <w:color w:val="000000"/>
          <w:spacing w:val="5"/>
          <w:szCs w:val="24"/>
        </w:rPr>
        <w:t xml:space="preserve"> </w:t>
      </w:r>
      <w:r w:rsidRPr="003A2B98">
        <w:rPr>
          <w:rFonts w:cs="Times New Roman"/>
          <w:color w:val="000000"/>
          <w:szCs w:val="24"/>
        </w:rPr>
        <w:t>z</w:t>
      </w:r>
      <w:r w:rsidRPr="003A2B98">
        <w:rPr>
          <w:rFonts w:cs="Times New Roman"/>
          <w:color w:val="000000"/>
          <w:spacing w:val="-14"/>
          <w:szCs w:val="24"/>
        </w:rPr>
        <w:t xml:space="preserve"> </w:t>
      </w:r>
      <w:r w:rsidRPr="003A2B98">
        <w:rPr>
          <w:rFonts w:cs="Times New Roman"/>
          <w:color w:val="000000"/>
          <w:szCs w:val="24"/>
        </w:rPr>
        <w:t>URD,</w:t>
      </w:r>
      <w:r w:rsidRPr="003A2B98">
        <w:rPr>
          <w:rFonts w:cs="Times New Roman"/>
          <w:color w:val="000000"/>
          <w:spacing w:val="-4"/>
          <w:szCs w:val="24"/>
        </w:rPr>
        <w:t xml:space="preserve"> </w:t>
      </w:r>
      <w:r w:rsidRPr="003A2B98">
        <w:rPr>
          <w:rFonts w:cs="Times New Roman"/>
          <w:color w:val="000000"/>
          <w:szCs w:val="24"/>
        </w:rPr>
        <w:t>w</w:t>
      </w:r>
      <w:r w:rsidRPr="003A2B98">
        <w:rPr>
          <w:rFonts w:cs="Times New Roman"/>
          <w:color w:val="000000"/>
          <w:spacing w:val="-17"/>
          <w:szCs w:val="24"/>
        </w:rPr>
        <w:t xml:space="preserve"> </w:t>
      </w:r>
      <w:r w:rsidRPr="003A2B98">
        <w:rPr>
          <w:rFonts w:cs="Times New Roman"/>
          <w:color w:val="000000"/>
          <w:szCs w:val="24"/>
        </w:rPr>
        <w:t>zakresie świadczonych usług</w:t>
      </w:r>
      <w:r w:rsidRPr="003A2B98">
        <w:rPr>
          <w:rFonts w:cs="Times New Roman"/>
          <w:color w:val="000000"/>
          <w:spacing w:val="-35"/>
          <w:szCs w:val="24"/>
        </w:rPr>
        <w:t xml:space="preserve"> </w:t>
      </w:r>
      <w:r w:rsidRPr="003A2B98">
        <w:rPr>
          <w:rFonts w:cs="Times New Roman"/>
          <w:color w:val="000000"/>
          <w:szCs w:val="24"/>
        </w:rPr>
        <w:t>dystrybucji;</w:t>
      </w:r>
    </w:p>
    <w:p w14:paraId="55037E13" w14:textId="77777777" w:rsidR="00051FAD" w:rsidRPr="003A2B98" w:rsidRDefault="00051FAD">
      <w:pPr>
        <w:pStyle w:val="Akapitzlist"/>
        <w:widowControl w:val="0"/>
        <w:numPr>
          <w:ilvl w:val="1"/>
          <w:numId w:val="302"/>
        </w:numPr>
        <w:autoSpaceDE w:val="0"/>
        <w:autoSpaceDN w:val="0"/>
        <w:spacing w:before="5"/>
        <w:ind w:left="567" w:right="2" w:hanging="283"/>
        <w:jc w:val="both"/>
        <w:rPr>
          <w:rFonts w:cs="Times New Roman"/>
          <w:color w:val="000000"/>
          <w:szCs w:val="24"/>
        </w:rPr>
      </w:pPr>
      <w:r w:rsidRPr="003A2B98">
        <w:rPr>
          <w:rFonts w:cs="Times New Roman"/>
          <w:color w:val="000000"/>
          <w:szCs w:val="24"/>
        </w:rPr>
        <w:t>udzielania sprzedawcy oraz URD informacji dotyczących świadczonych usług dystrybucji na zasadach określonych w GUD-K oraz</w:t>
      </w:r>
      <w:r w:rsidRPr="003A2B98">
        <w:rPr>
          <w:rFonts w:cs="Times New Roman"/>
          <w:color w:val="000000"/>
          <w:spacing w:val="48"/>
          <w:szCs w:val="24"/>
        </w:rPr>
        <w:t xml:space="preserve"> </w:t>
      </w:r>
      <w:r w:rsidRPr="003A2B98">
        <w:rPr>
          <w:rFonts w:cs="Times New Roman"/>
          <w:color w:val="000000"/>
          <w:szCs w:val="24"/>
        </w:rPr>
        <w:t>IRiESD;</w:t>
      </w:r>
    </w:p>
    <w:p w14:paraId="02088F13" w14:textId="77777777" w:rsidR="00051FAD" w:rsidRPr="003A2B98" w:rsidRDefault="00051FAD">
      <w:pPr>
        <w:pStyle w:val="Tekstpodstawowy"/>
        <w:widowControl w:val="0"/>
        <w:numPr>
          <w:ilvl w:val="0"/>
          <w:numId w:val="319"/>
        </w:numPr>
        <w:tabs>
          <w:tab w:val="clear" w:pos="4536"/>
          <w:tab w:val="clear" w:pos="9072"/>
        </w:tabs>
        <w:autoSpaceDE w:val="0"/>
        <w:autoSpaceDN w:val="0"/>
        <w:spacing w:before="0" w:line="240" w:lineRule="auto"/>
        <w:ind w:left="709" w:right="2" w:hanging="142"/>
      </w:pPr>
      <w:r w:rsidRPr="003A2B98">
        <w:t xml:space="preserve">wykonywania innych obowiązków określonych w GUD-K, a także wynikających </w:t>
      </w:r>
      <w:r>
        <w:br/>
      </w:r>
      <w:r w:rsidRPr="003A2B98">
        <w:t>z przepisów obowiązującego prawa i IRiESD;</w:t>
      </w:r>
    </w:p>
    <w:p w14:paraId="1D657C29" w14:textId="77777777" w:rsidR="00051FAD" w:rsidRPr="003A2B98" w:rsidRDefault="00051FAD">
      <w:pPr>
        <w:pStyle w:val="Akapitzlist"/>
        <w:widowControl w:val="0"/>
        <w:numPr>
          <w:ilvl w:val="0"/>
          <w:numId w:val="303"/>
        </w:numPr>
        <w:autoSpaceDE w:val="0"/>
        <w:autoSpaceDN w:val="0"/>
        <w:spacing w:line="264" w:lineRule="exact"/>
        <w:ind w:left="567" w:right="2" w:hanging="283"/>
        <w:jc w:val="both"/>
        <w:rPr>
          <w:rFonts w:cs="Times New Roman"/>
          <w:color w:val="000000"/>
          <w:szCs w:val="24"/>
        </w:rPr>
      </w:pPr>
      <w:r w:rsidRPr="003A2B98">
        <w:rPr>
          <w:rFonts w:cs="Times New Roman"/>
          <w:color w:val="000000"/>
          <w:szCs w:val="24"/>
        </w:rPr>
        <w:t>terminowej zapłaty należności wynikających z</w:t>
      </w:r>
      <w:r w:rsidRPr="003A2B98">
        <w:rPr>
          <w:rFonts w:cs="Times New Roman"/>
          <w:color w:val="000000"/>
          <w:spacing w:val="-41"/>
          <w:szCs w:val="24"/>
        </w:rPr>
        <w:t xml:space="preserve"> </w:t>
      </w:r>
      <w:r w:rsidRPr="003A2B98">
        <w:rPr>
          <w:rFonts w:cs="Times New Roman"/>
          <w:color w:val="000000"/>
          <w:szCs w:val="24"/>
        </w:rPr>
        <w:t>GUD-K;</w:t>
      </w:r>
    </w:p>
    <w:p w14:paraId="5958E379" w14:textId="77777777" w:rsidR="00051FAD" w:rsidRPr="003A2B98" w:rsidRDefault="00051FAD">
      <w:pPr>
        <w:pStyle w:val="Akapitzlist"/>
        <w:widowControl w:val="0"/>
        <w:numPr>
          <w:ilvl w:val="0"/>
          <w:numId w:val="303"/>
        </w:numPr>
        <w:autoSpaceDE w:val="0"/>
        <w:autoSpaceDN w:val="0"/>
        <w:ind w:left="567" w:hanging="283"/>
        <w:jc w:val="both"/>
        <w:rPr>
          <w:rFonts w:cs="Times New Roman"/>
          <w:color w:val="000000"/>
          <w:szCs w:val="24"/>
        </w:rPr>
      </w:pPr>
      <w:r w:rsidRPr="003A2B98">
        <w:rPr>
          <w:rFonts w:cs="Times New Roman"/>
          <w:color w:val="000000"/>
          <w:szCs w:val="24"/>
        </w:rPr>
        <w:t>przekazania paszportu PPE niezwłocznie, jednak nie później niż w</w:t>
      </w:r>
      <w:r w:rsidRPr="003A2B98">
        <w:rPr>
          <w:rFonts w:cs="Times New Roman"/>
          <w:color w:val="000000"/>
          <w:spacing w:val="-4"/>
          <w:szCs w:val="24"/>
        </w:rPr>
        <w:t xml:space="preserve"> </w:t>
      </w:r>
      <w:r w:rsidRPr="003A2B98">
        <w:rPr>
          <w:rFonts w:cs="Times New Roman"/>
          <w:color w:val="000000"/>
          <w:szCs w:val="24"/>
        </w:rPr>
        <w:t>ciągu:</w:t>
      </w:r>
    </w:p>
    <w:p w14:paraId="421B7ABD" w14:textId="77777777" w:rsidR="00051FAD" w:rsidRPr="007A5D44" w:rsidRDefault="00051FAD">
      <w:pPr>
        <w:pStyle w:val="Akapitzlist"/>
        <w:widowControl w:val="0"/>
        <w:numPr>
          <w:ilvl w:val="1"/>
          <w:numId w:val="303"/>
        </w:numPr>
        <w:autoSpaceDE w:val="0"/>
        <w:autoSpaceDN w:val="0"/>
        <w:spacing w:line="266" w:lineRule="auto"/>
        <w:ind w:left="851" w:hanging="285"/>
        <w:jc w:val="both"/>
        <w:rPr>
          <w:rFonts w:cs="Times New Roman"/>
          <w:szCs w:val="24"/>
        </w:rPr>
      </w:pPr>
      <w:r w:rsidRPr="007A5D44">
        <w:rPr>
          <w:rFonts w:cs="Times New Roman"/>
          <w:szCs w:val="24"/>
        </w:rPr>
        <w:t xml:space="preserve">3 dni roboczych od złożenia przez Sprzedawcę do OSDn zapytania o paszport PPE </w:t>
      </w:r>
      <w:r w:rsidRPr="007A5D44">
        <w:rPr>
          <w:rFonts w:cs="Times New Roman"/>
          <w:szCs w:val="24"/>
        </w:rPr>
        <w:br/>
        <w:t xml:space="preserve">(w szczególnie uzasadnionych przypadkach termin określony powyżej może być przedłużony do 5 dni roboczych, o czym OSDn poinformuje Sprzedawcę przed upływem ww. terminu) - </w:t>
      </w:r>
      <w:r w:rsidRPr="007A5D44">
        <w:rPr>
          <w:rFonts w:cs="Times New Roman"/>
          <w:color w:val="000000"/>
          <w:szCs w:val="24"/>
        </w:rPr>
        <w:t>dla URD przyłączonych do sieci elektroenergetycznej OSDn o napięciu znamionowym do 1 kV i mocy przyłączeniowej nie wyższej</w:t>
      </w:r>
      <w:r w:rsidRPr="007A5D44">
        <w:rPr>
          <w:rFonts w:cs="Times New Roman"/>
          <w:color w:val="000000"/>
          <w:spacing w:val="11"/>
          <w:szCs w:val="24"/>
        </w:rPr>
        <w:t xml:space="preserve"> </w:t>
      </w:r>
      <w:r w:rsidRPr="007A5D44">
        <w:rPr>
          <w:rFonts w:cs="Times New Roman"/>
          <w:color w:val="000000"/>
          <w:szCs w:val="24"/>
        </w:rPr>
        <w:t xml:space="preserve">niż 40 </w:t>
      </w:r>
      <w:r w:rsidRPr="007A5D44">
        <w:rPr>
          <w:rFonts w:cs="Times New Roman"/>
          <w:color w:val="000000"/>
          <w:spacing w:val="2"/>
          <w:szCs w:val="24"/>
        </w:rPr>
        <w:t>kW,</w:t>
      </w:r>
    </w:p>
    <w:p w14:paraId="33408013" w14:textId="4ABBD4E4" w:rsidR="00051FAD" w:rsidRPr="003A2B98" w:rsidRDefault="00051FAD">
      <w:pPr>
        <w:pStyle w:val="Akapitzlist"/>
        <w:widowControl w:val="0"/>
        <w:numPr>
          <w:ilvl w:val="1"/>
          <w:numId w:val="303"/>
        </w:numPr>
        <w:autoSpaceDE w:val="0"/>
        <w:autoSpaceDN w:val="0"/>
        <w:spacing w:line="266" w:lineRule="auto"/>
        <w:ind w:left="851" w:hanging="285"/>
        <w:jc w:val="both"/>
        <w:rPr>
          <w:rFonts w:cs="Times New Roman"/>
          <w:color w:val="000000"/>
          <w:szCs w:val="24"/>
        </w:rPr>
      </w:pPr>
      <w:r w:rsidRPr="007A5D44">
        <w:rPr>
          <w:rFonts w:cs="Times New Roman"/>
          <w:szCs w:val="24"/>
        </w:rPr>
        <w:t xml:space="preserve">10 dni roboczych od złożenia przez Sprzedawcę do ENEA Operator zapytania </w:t>
      </w:r>
      <w:r w:rsidR="006C7B72">
        <w:rPr>
          <w:rFonts w:cs="Times New Roman"/>
          <w:szCs w:val="24"/>
        </w:rPr>
        <w:br/>
      </w:r>
      <w:r w:rsidRPr="007A5D44">
        <w:rPr>
          <w:rFonts w:cs="Times New Roman"/>
          <w:szCs w:val="24"/>
        </w:rPr>
        <w:t xml:space="preserve">o paszport PPE (w szczególnie uzasadnionych przypadkach termin określony powyżej może być przedłużony do 15 dni roboczych, o czym ENEA Operator poinformuje Sprzedawcę przed upływem ww. terminu) – dla URD innych niż wymienionych </w:t>
      </w:r>
      <w:r w:rsidR="00F077EB">
        <w:rPr>
          <w:rFonts w:cs="Times New Roman"/>
          <w:szCs w:val="24"/>
        </w:rPr>
        <w:br/>
      </w:r>
      <w:r w:rsidRPr="007A5D44">
        <w:rPr>
          <w:rFonts w:cs="Times New Roman"/>
          <w:szCs w:val="24"/>
        </w:rPr>
        <w:t>w ppkt. 1);</w:t>
      </w:r>
    </w:p>
    <w:p w14:paraId="4C7E2375" w14:textId="22E30E5D" w:rsidR="00051FAD" w:rsidRPr="003A2B98" w:rsidRDefault="00051FAD">
      <w:pPr>
        <w:pStyle w:val="Akapitzlist"/>
        <w:widowControl w:val="0"/>
        <w:numPr>
          <w:ilvl w:val="0"/>
          <w:numId w:val="303"/>
        </w:numPr>
        <w:autoSpaceDE w:val="0"/>
        <w:autoSpaceDN w:val="0"/>
        <w:spacing w:line="242" w:lineRule="auto"/>
        <w:ind w:left="709" w:hanging="425"/>
        <w:jc w:val="both"/>
        <w:rPr>
          <w:rFonts w:cs="Times New Roman"/>
          <w:color w:val="000000"/>
          <w:szCs w:val="24"/>
        </w:rPr>
      </w:pPr>
      <w:r w:rsidRPr="003A2B98">
        <w:rPr>
          <w:rFonts w:cs="Times New Roman"/>
          <w:color w:val="000000"/>
          <w:szCs w:val="24"/>
        </w:rPr>
        <w:t xml:space="preserve">powiadamiania o zmianie Taryfy OSDn oraz IRiESD, poprzez udostępnianie ich </w:t>
      </w:r>
      <w:r w:rsidR="00F077EB">
        <w:rPr>
          <w:rFonts w:cs="Times New Roman"/>
          <w:color w:val="000000"/>
          <w:szCs w:val="24"/>
        </w:rPr>
        <w:br/>
      </w:r>
      <w:r w:rsidRPr="003A2B98">
        <w:rPr>
          <w:rFonts w:cs="Times New Roman"/>
          <w:color w:val="000000"/>
          <w:szCs w:val="24"/>
        </w:rPr>
        <w:t>w swojej siedzibie oraz publikowania na stronie internetowej OSDn;</w:t>
      </w:r>
    </w:p>
    <w:p w14:paraId="1E230F15" w14:textId="77777777" w:rsidR="00051FAD" w:rsidRPr="003A2B98" w:rsidRDefault="00051FAD">
      <w:pPr>
        <w:pStyle w:val="Akapitzlist"/>
        <w:widowControl w:val="0"/>
        <w:numPr>
          <w:ilvl w:val="0"/>
          <w:numId w:val="303"/>
        </w:numPr>
        <w:autoSpaceDE w:val="0"/>
        <w:autoSpaceDN w:val="0"/>
        <w:ind w:left="709" w:hanging="425"/>
        <w:jc w:val="both"/>
        <w:rPr>
          <w:rFonts w:cs="Times New Roman"/>
          <w:color w:val="000000"/>
          <w:szCs w:val="24"/>
        </w:rPr>
      </w:pPr>
      <w:r w:rsidRPr="003A2B98">
        <w:rPr>
          <w:rFonts w:cs="Times New Roman"/>
          <w:color w:val="000000"/>
          <w:szCs w:val="24"/>
        </w:rPr>
        <w:t xml:space="preserve">przekazania, na dedykowany adres poczty elektronicznej sprzedawcy, zatwierdzonej Taryfy OSDn, nie później niż w terminie dwóch (2) dni roboczych od jej opublikowania </w:t>
      </w:r>
      <w:r>
        <w:rPr>
          <w:rFonts w:cs="Times New Roman"/>
          <w:color w:val="000000"/>
          <w:szCs w:val="24"/>
        </w:rPr>
        <w:br/>
      </w:r>
      <w:r w:rsidRPr="003A2B98">
        <w:rPr>
          <w:rFonts w:cs="Times New Roman"/>
          <w:color w:val="000000"/>
          <w:szCs w:val="24"/>
        </w:rPr>
        <w:t>w Biuletynie</w:t>
      </w:r>
      <w:r w:rsidRPr="003A2B98">
        <w:rPr>
          <w:rFonts w:cs="Times New Roman"/>
          <w:color w:val="000000"/>
          <w:spacing w:val="21"/>
          <w:szCs w:val="24"/>
        </w:rPr>
        <w:t xml:space="preserve"> </w:t>
      </w:r>
      <w:r w:rsidRPr="003A2B98">
        <w:rPr>
          <w:rFonts w:cs="Times New Roman"/>
          <w:color w:val="000000"/>
          <w:szCs w:val="24"/>
        </w:rPr>
        <w:t>URE;</w:t>
      </w:r>
    </w:p>
    <w:p w14:paraId="4206485C" w14:textId="77777777" w:rsidR="00051FAD" w:rsidRPr="003A2B98" w:rsidRDefault="00051FAD">
      <w:pPr>
        <w:pStyle w:val="Akapitzlist"/>
        <w:widowControl w:val="0"/>
        <w:numPr>
          <w:ilvl w:val="0"/>
          <w:numId w:val="303"/>
        </w:numPr>
        <w:autoSpaceDE w:val="0"/>
        <w:autoSpaceDN w:val="0"/>
        <w:ind w:left="709" w:right="2" w:hanging="425"/>
        <w:jc w:val="both"/>
        <w:rPr>
          <w:rFonts w:cs="Times New Roman"/>
          <w:color w:val="000000"/>
          <w:szCs w:val="24"/>
        </w:rPr>
      </w:pPr>
      <w:r w:rsidRPr="003A2B98">
        <w:rPr>
          <w:rFonts w:cs="Times New Roman"/>
          <w:color w:val="000000"/>
          <w:szCs w:val="24"/>
        </w:rPr>
        <w:t>zachowania</w:t>
      </w:r>
      <w:r w:rsidRPr="003A2B98">
        <w:rPr>
          <w:rFonts w:cs="Times New Roman"/>
          <w:color w:val="000000"/>
          <w:spacing w:val="-10"/>
          <w:szCs w:val="24"/>
        </w:rPr>
        <w:t xml:space="preserve"> </w:t>
      </w:r>
      <w:r w:rsidRPr="003A2B98">
        <w:rPr>
          <w:rFonts w:cs="Times New Roman"/>
          <w:color w:val="000000"/>
          <w:szCs w:val="24"/>
        </w:rPr>
        <w:t>tajemnicy</w:t>
      </w:r>
      <w:r w:rsidRPr="003A2B98">
        <w:rPr>
          <w:rFonts w:cs="Times New Roman"/>
          <w:color w:val="000000"/>
          <w:spacing w:val="-5"/>
          <w:szCs w:val="24"/>
        </w:rPr>
        <w:t xml:space="preserve"> </w:t>
      </w:r>
      <w:r w:rsidRPr="003A2B98">
        <w:rPr>
          <w:rFonts w:cs="Times New Roman"/>
          <w:color w:val="000000"/>
          <w:szCs w:val="24"/>
        </w:rPr>
        <w:t>przedsiębiorstwa</w:t>
      </w:r>
      <w:r w:rsidRPr="003A2B98">
        <w:rPr>
          <w:rFonts w:cs="Times New Roman"/>
          <w:color w:val="000000"/>
          <w:spacing w:val="-21"/>
          <w:szCs w:val="24"/>
        </w:rPr>
        <w:t xml:space="preserve"> </w:t>
      </w:r>
      <w:r w:rsidRPr="003A2B98">
        <w:rPr>
          <w:rFonts w:cs="Times New Roman"/>
          <w:color w:val="000000"/>
          <w:szCs w:val="24"/>
        </w:rPr>
        <w:t>związanej</w:t>
      </w:r>
      <w:r w:rsidRPr="003A2B98">
        <w:rPr>
          <w:rFonts w:cs="Times New Roman"/>
          <w:color w:val="000000"/>
          <w:spacing w:val="-6"/>
          <w:szCs w:val="24"/>
        </w:rPr>
        <w:t xml:space="preserve"> </w:t>
      </w:r>
      <w:r w:rsidRPr="003A2B98">
        <w:rPr>
          <w:rFonts w:cs="Times New Roman"/>
          <w:color w:val="000000"/>
          <w:szCs w:val="24"/>
        </w:rPr>
        <w:t>z</w:t>
      </w:r>
      <w:r w:rsidRPr="003A2B98">
        <w:rPr>
          <w:rFonts w:cs="Times New Roman"/>
          <w:color w:val="000000"/>
          <w:spacing w:val="-23"/>
          <w:szCs w:val="24"/>
        </w:rPr>
        <w:t xml:space="preserve"> </w:t>
      </w:r>
      <w:r w:rsidRPr="003A2B98">
        <w:rPr>
          <w:rFonts w:cs="Times New Roman"/>
          <w:color w:val="000000"/>
          <w:szCs w:val="24"/>
        </w:rPr>
        <w:t>realizacją</w:t>
      </w:r>
      <w:r w:rsidRPr="003A2B98">
        <w:rPr>
          <w:rFonts w:cs="Times New Roman"/>
          <w:color w:val="000000"/>
          <w:spacing w:val="-12"/>
          <w:szCs w:val="24"/>
        </w:rPr>
        <w:t xml:space="preserve"> </w:t>
      </w:r>
      <w:r w:rsidRPr="003A2B98">
        <w:rPr>
          <w:rFonts w:cs="Times New Roman"/>
          <w:color w:val="000000"/>
          <w:szCs w:val="24"/>
        </w:rPr>
        <w:t>GUD-K,</w:t>
      </w:r>
      <w:r w:rsidRPr="003A2B98">
        <w:rPr>
          <w:rFonts w:cs="Times New Roman"/>
          <w:color w:val="000000"/>
          <w:spacing w:val="-8"/>
          <w:szCs w:val="24"/>
        </w:rPr>
        <w:t xml:space="preserve"> </w:t>
      </w:r>
      <w:r w:rsidRPr="003A2B98">
        <w:rPr>
          <w:rFonts w:cs="Times New Roman"/>
          <w:color w:val="000000"/>
          <w:szCs w:val="24"/>
        </w:rPr>
        <w:t>na</w:t>
      </w:r>
      <w:r w:rsidRPr="003A2B98">
        <w:rPr>
          <w:rFonts w:cs="Times New Roman"/>
          <w:color w:val="000000"/>
          <w:spacing w:val="-23"/>
          <w:szCs w:val="24"/>
        </w:rPr>
        <w:t xml:space="preserve"> </w:t>
      </w:r>
      <w:r w:rsidRPr="003A2B98">
        <w:rPr>
          <w:rFonts w:cs="Times New Roman"/>
          <w:color w:val="000000"/>
          <w:szCs w:val="24"/>
        </w:rPr>
        <w:t>zasadach określonych w</w:t>
      </w:r>
      <w:r w:rsidRPr="003A2B98">
        <w:rPr>
          <w:rFonts w:cs="Times New Roman"/>
          <w:color w:val="000000"/>
          <w:spacing w:val="11"/>
          <w:szCs w:val="24"/>
        </w:rPr>
        <w:t xml:space="preserve"> </w:t>
      </w:r>
      <w:r w:rsidRPr="003A2B98">
        <w:rPr>
          <w:rFonts w:cs="Times New Roman"/>
          <w:color w:val="000000"/>
          <w:szCs w:val="24"/>
        </w:rPr>
        <w:t>GUD-K;</w:t>
      </w:r>
    </w:p>
    <w:p w14:paraId="0612BFF3" w14:textId="77777777" w:rsidR="00051FAD" w:rsidRPr="003A2B98" w:rsidRDefault="00051FAD">
      <w:pPr>
        <w:pStyle w:val="Akapitzlist"/>
        <w:widowControl w:val="0"/>
        <w:numPr>
          <w:ilvl w:val="0"/>
          <w:numId w:val="303"/>
        </w:numPr>
        <w:autoSpaceDE w:val="0"/>
        <w:autoSpaceDN w:val="0"/>
        <w:spacing w:before="3" w:line="237" w:lineRule="auto"/>
        <w:ind w:left="709" w:right="2" w:hanging="425"/>
        <w:jc w:val="both"/>
        <w:rPr>
          <w:rFonts w:cs="Times New Roman"/>
          <w:color w:val="000000"/>
          <w:szCs w:val="24"/>
        </w:rPr>
      </w:pPr>
      <w:r w:rsidRPr="003A2B98">
        <w:rPr>
          <w:rFonts w:cs="Times New Roman"/>
          <w:color w:val="000000"/>
          <w:szCs w:val="24"/>
        </w:rPr>
        <w:t>informowania sprzedawcy o przyłączeniu do sieci OSDn mikroinstalacji URD, w tym informacji o mocy zainstalowanej elektrycznej mikroinstalacji i rodzaju źródła</w:t>
      </w:r>
      <w:r w:rsidRPr="003A2B98">
        <w:rPr>
          <w:rFonts w:cs="Times New Roman"/>
          <w:color w:val="000000"/>
          <w:spacing w:val="7"/>
          <w:szCs w:val="24"/>
        </w:rPr>
        <w:t xml:space="preserve"> </w:t>
      </w:r>
      <w:r w:rsidRPr="003A2B98">
        <w:rPr>
          <w:rFonts w:cs="Times New Roman"/>
          <w:color w:val="000000"/>
          <w:szCs w:val="24"/>
        </w:rPr>
        <w:t>energii.</w:t>
      </w:r>
    </w:p>
    <w:p w14:paraId="185A8E8B" w14:textId="77777777" w:rsidR="00051FAD" w:rsidRPr="003A2B98" w:rsidRDefault="00051FAD">
      <w:pPr>
        <w:pStyle w:val="Akapitzlist"/>
        <w:widowControl w:val="0"/>
        <w:numPr>
          <w:ilvl w:val="0"/>
          <w:numId w:val="302"/>
        </w:numPr>
        <w:autoSpaceDE w:val="0"/>
        <w:autoSpaceDN w:val="0"/>
        <w:spacing w:before="5"/>
        <w:ind w:left="426" w:right="2" w:hanging="426"/>
        <w:jc w:val="both"/>
        <w:rPr>
          <w:rFonts w:cs="Times New Roman"/>
          <w:color w:val="000000"/>
          <w:szCs w:val="24"/>
        </w:rPr>
      </w:pPr>
      <w:r w:rsidRPr="003A2B98">
        <w:rPr>
          <w:rFonts w:cs="Times New Roman"/>
          <w:color w:val="000000"/>
          <w:szCs w:val="24"/>
        </w:rPr>
        <w:t>Sprzedawca zobowiązuje się w szczególności</w:t>
      </w:r>
      <w:r w:rsidRPr="003A2B98">
        <w:rPr>
          <w:rFonts w:cs="Times New Roman"/>
          <w:color w:val="000000"/>
          <w:spacing w:val="-21"/>
          <w:szCs w:val="24"/>
        </w:rPr>
        <w:t xml:space="preserve"> </w:t>
      </w:r>
      <w:r w:rsidRPr="003A2B98">
        <w:rPr>
          <w:rFonts w:cs="Times New Roman"/>
          <w:color w:val="000000"/>
          <w:szCs w:val="24"/>
        </w:rPr>
        <w:t>do:</w:t>
      </w:r>
    </w:p>
    <w:p w14:paraId="651B25FD" w14:textId="77777777" w:rsidR="00051FAD" w:rsidRPr="00BE2A7D" w:rsidRDefault="00051FAD">
      <w:pPr>
        <w:pStyle w:val="Akapitzlist"/>
        <w:widowControl w:val="0"/>
        <w:numPr>
          <w:ilvl w:val="1"/>
          <w:numId w:val="302"/>
        </w:numPr>
        <w:autoSpaceDE w:val="0"/>
        <w:autoSpaceDN w:val="0"/>
        <w:spacing w:before="3"/>
        <w:ind w:left="567" w:right="2" w:hanging="283"/>
        <w:jc w:val="both"/>
        <w:rPr>
          <w:rFonts w:cs="Times New Roman"/>
          <w:color w:val="000000"/>
          <w:szCs w:val="24"/>
        </w:rPr>
      </w:pPr>
      <w:r w:rsidRPr="00BE2A7D">
        <w:rPr>
          <w:rFonts w:cs="Times New Roman"/>
          <w:szCs w:val="24"/>
        </w:rPr>
        <w:t xml:space="preserve">występowania z wnioskiem o wydanie paszportu PPE przed zawarciem umowy kompleksowej z URD, przy czym wniosek ten nie jest obligatoryjny dla URD </w:t>
      </w:r>
      <w:r>
        <w:rPr>
          <w:rFonts w:cs="Times New Roman"/>
          <w:szCs w:val="24"/>
        </w:rPr>
        <w:br/>
      </w:r>
      <w:r w:rsidRPr="00BE2A7D">
        <w:rPr>
          <w:rFonts w:cs="Times New Roman"/>
          <w:szCs w:val="24"/>
        </w:rPr>
        <w:t xml:space="preserve">w gospodarstwie domowym przyłączonych do sieci elektroenergetycznej o napięciu znamionowym nie wyższym niż 1 kV; wystąpienie z wnioskiem jest równoznaczne </w:t>
      </w:r>
      <w:r>
        <w:rPr>
          <w:rFonts w:cs="Times New Roman"/>
          <w:szCs w:val="24"/>
        </w:rPr>
        <w:br/>
      </w:r>
      <w:r w:rsidRPr="00BE2A7D">
        <w:rPr>
          <w:rFonts w:cs="Times New Roman"/>
          <w:szCs w:val="24"/>
        </w:rPr>
        <w:t xml:space="preserve">z dysponowaniem przez Sprzedawcę pełnomocnictwem URD do pozyskania od </w:t>
      </w:r>
      <w:r>
        <w:rPr>
          <w:rFonts w:cs="Times New Roman"/>
          <w:szCs w:val="24"/>
        </w:rPr>
        <w:t>OSDn</w:t>
      </w:r>
      <w:r w:rsidRPr="00BE2A7D">
        <w:rPr>
          <w:rFonts w:cs="Times New Roman"/>
          <w:szCs w:val="24"/>
        </w:rPr>
        <w:t xml:space="preserve"> danych udostępnionych w paszporcie PPE;</w:t>
      </w:r>
    </w:p>
    <w:p w14:paraId="5D8D3D4A" w14:textId="77777777" w:rsidR="00051FAD" w:rsidRPr="003A2B98" w:rsidRDefault="00051FAD">
      <w:pPr>
        <w:pStyle w:val="Akapitzlist"/>
        <w:widowControl w:val="0"/>
        <w:numPr>
          <w:ilvl w:val="1"/>
          <w:numId w:val="302"/>
        </w:numPr>
        <w:autoSpaceDE w:val="0"/>
        <w:autoSpaceDN w:val="0"/>
        <w:spacing w:before="3"/>
        <w:ind w:left="567" w:right="2" w:hanging="283"/>
        <w:jc w:val="both"/>
        <w:rPr>
          <w:rFonts w:cs="Times New Roman"/>
          <w:color w:val="000000"/>
          <w:szCs w:val="24"/>
        </w:rPr>
      </w:pPr>
      <w:r w:rsidRPr="003A2B98">
        <w:rPr>
          <w:rFonts w:cs="Times New Roman"/>
          <w:color w:val="000000"/>
          <w:szCs w:val="24"/>
        </w:rPr>
        <w:t>zgłaszania do OSDn informacji o zawartych umowach kompleksowych, zmianie danych wskazanych w zgłoszeniu lub o wygaśnięciu lub rozwiązaniu umów kompleksowych, na zasadach określonych w IRiESD; dokonanie zgłoszenia jest równoznaczne z realizacją obowiązku, o którym mowa w pkt.</w:t>
      </w:r>
      <w:r>
        <w:rPr>
          <w:rFonts w:cs="Times New Roman"/>
          <w:color w:val="000000"/>
          <w:spacing w:val="5"/>
          <w:szCs w:val="24"/>
        </w:rPr>
        <w:t xml:space="preserve"> 3</w:t>
      </w:r>
      <w:r w:rsidRPr="003A2B98">
        <w:rPr>
          <w:rFonts w:cs="Times New Roman"/>
          <w:color w:val="000000"/>
          <w:szCs w:val="24"/>
        </w:rPr>
        <w:t>;</w:t>
      </w:r>
    </w:p>
    <w:p w14:paraId="0E752CAF" w14:textId="77777777" w:rsidR="00051FAD" w:rsidRPr="003A2B98" w:rsidRDefault="00051FAD">
      <w:pPr>
        <w:pStyle w:val="Akapitzlist"/>
        <w:widowControl w:val="0"/>
        <w:numPr>
          <w:ilvl w:val="1"/>
          <w:numId w:val="302"/>
        </w:numPr>
        <w:autoSpaceDE w:val="0"/>
        <w:autoSpaceDN w:val="0"/>
        <w:ind w:left="568" w:hanging="284"/>
        <w:jc w:val="both"/>
        <w:rPr>
          <w:rFonts w:cs="Times New Roman"/>
          <w:color w:val="000000"/>
          <w:szCs w:val="24"/>
        </w:rPr>
      </w:pPr>
      <w:r w:rsidRPr="003A2B98">
        <w:rPr>
          <w:rFonts w:cs="Times New Roman"/>
          <w:color w:val="000000"/>
          <w:szCs w:val="24"/>
        </w:rPr>
        <w:t xml:space="preserve">uwzględnienia w umowach kompleksowych danych zawartych w paszporcie PPE oraz postanowień dotyczących zasad i warunków świadczenia usług dystrybucji wynikających </w:t>
      </w:r>
      <w:r>
        <w:rPr>
          <w:rFonts w:cs="Times New Roman"/>
          <w:color w:val="000000"/>
          <w:szCs w:val="24"/>
        </w:rPr>
        <w:br/>
      </w:r>
      <w:r w:rsidRPr="003A2B98">
        <w:rPr>
          <w:rFonts w:cs="Times New Roman"/>
          <w:color w:val="000000"/>
          <w:szCs w:val="24"/>
        </w:rPr>
        <w:t>z IRiESD oraz</w:t>
      </w:r>
      <w:r w:rsidRPr="003A2B98">
        <w:rPr>
          <w:rFonts w:cs="Times New Roman"/>
          <w:color w:val="000000"/>
          <w:spacing w:val="20"/>
          <w:szCs w:val="24"/>
        </w:rPr>
        <w:t xml:space="preserve"> </w:t>
      </w:r>
      <w:r w:rsidRPr="003A2B98">
        <w:rPr>
          <w:rFonts w:cs="Times New Roman"/>
          <w:color w:val="000000"/>
          <w:szCs w:val="24"/>
        </w:rPr>
        <w:t>GUD-K;</w:t>
      </w:r>
    </w:p>
    <w:p w14:paraId="403FDF29" w14:textId="77777777" w:rsidR="00051FAD" w:rsidRPr="003A2B98" w:rsidRDefault="00051FAD">
      <w:pPr>
        <w:pStyle w:val="Akapitzlist"/>
        <w:widowControl w:val="0"/>
        <w:numPr>
          <w:ilvl w:val="1"/>
          <w:numId w:val="302"/>
        </w:numPr>
        <w:autoSpaceDE w:val="0"/>
        <w:autoSpaceDN w:val="0"/>
        <w:ind w:left="568" w:hanging="284"/>
        <w:jc w:val="both"/>
        <w:rPr>
          <w:rFonts w:cs="Times New Roman"/>
          <w:color w:val="000000"/>
          <w:szCs w:val="24"/>
        </w:rPr>
      </w:pPr>
      <w:r w:rsidRPr="003A2B98">
        <w:rPr>
          <w:rFonts w:cs="Times New Roman"/>
          <w:color w:val="000000"/>
          <w:szCs w:val="24"/>
        </w:rPr>
        <w:t xml:space="preserve">udzielania, na wniosek OSDn, informacji o postanowieniach umów kompleksowych, </w:t>
      </w:r>
      <w:r>
        <w:rPr>
          <w:rFonts w:cs="Times New Roman"/>
          <w:color w:val="000000"/>
          <w:szCs w:val="24"/>
        </w:rPr>
        <w:br/>
      </w:r>
      <w:r w:rsidRPr="003A2B98">
        <w:rPr>
          <w:rFonts w:cs="Times New Roman"/>
          <w:color w:val="000000"/>
          <w:szCs w:val="24"/>
        </w:rPr>
        <w:t>o których mowa w GUD-K, w części dotyczącej świadczenia usług</w:t>
      </w:r>
      <w:r w:rsidRPr="003A2B98">
        <w:rPr>
          <w:rFonts w:cs="Times New Roman"/>
          <w:color w:val="000000"/>
          <w:spacing w:val="-33"/>
          <w:szCs w:val="24"/>
        </w:rPr>
        <w:t xml:space="preserve"> </w:t>
      </w:r>
      <w:r w:rsidRPr="003A2B98">
        <w:rPr>
          <w:rFonts w:cs="Times New Roman"/>
          <w:color w:val="000000"/>
          <w:szCs w:val="24"/>
        </w:rPr>
        <w:t>dystrybucji;</w:t>
      </w:r>
    </w:p>
    <w:p w14:paraId="6D60FA77" w14:textId="77777777" w:rsidR="00051FAD" w:rsidRPr="003A2B98" w:rsidRDefault="00051FAD">
      <w:pPr>
        <w:pStyle w:val="Akapitzlist"/>
        <w:widowControl w:val="0"/>
        <w:numPr>
          <w:ilvl w:val="1"/>
          <w:numId w:val="302"/>
        </w:numPr>
        <w:autoSpaceDE w:val="0"/>
        <w:autoSpaceDN w:val="0"/>
        <w:spacing w:line="264" w:lineRule="exact"/>
        <w:ind w:left="568" w:hanging="284"/>
        <w:jc w:val="both"/>
        <w:rPr>
          <w:rFonts w:cs="Times New Roman"/>
          <w:color w:val="000000"/>
          <w:szCs w:val="24"/>
        </w:rPr>
      </w:pPr>
      <w:r w:rsidRPr="003A2B98">
        <w:rPr>
          <w:rFonts w:cs="Times New Roman"/>
          <w:color w:val="000000"/>
          <w:szCs w:val="24"/>
        </w:rPr>
        <w:t>terminowego regulowania należności wynikających z</w:t>
      </w:r>
      <w:r w:rsidRPr="003A2B98">
        <w:rPr>
          <w:rFonts w:cs="Times New Roman"/>
          <w:color w:val="000000"/>
          <w:spacing w:val="6"/>
          <w:szCs w:val="24"/>
        </w:rPr>
        <w:t xml:space="preserve"> </w:t>
      </w:r>
      <w:r w:rsidRPr="003A2B98">
        <w:rPr>
          <w:rFonts w:cs="Times New Roman"/>
          <w:color w:val="000000"/>
          <w:szCs w:val="24"/>
        </w:rPr>
        <w:t>GUD-K;</w:t>
      </w:r>
    </w:p>
    <w:p w14:paraId="3C758784" w14:textId="77777777" w:rsidR="00051FAD" w:rsidRPr="003A2B98" w:rsidRDefault="00051FAD">
      <w:pPr>
        <w:pStyle w:val="Akapitzlist"/>
        <w:widowControl w:val="0"/>
        <w:numPr>
          <w:ilvl w:val="0"/>
          <w:numId w:val="327"/>
        </w:numPr>
        <w:autoSpaceDE w:val="0"/>
        <w:autoSpaceDN w:val="0"/>
        <w:spacing w:line="249" w:lineRule="auto"/>
        <w:ind w:left="567" w:hanging="283"/>
        <w:jc w:val="both"/>
        <w:rPr>
          <w:rFonts w:cs="Times New Roman"/>
          <w:color w:val="000000"/>
          <w:szCs w:val="24"/>
        </w:rPr>
      </w:pPr>
      <w:r w:rsidRPr="003A2B98">
        <w:rPr>
          <w:rFonts w:cs="Times New Roman"/>
          <w:color w:val="000000"/>
          <w:szCs w:val="24"/>
        </w:rPr>
        <w:t>ustanowienia, uzupełniania oraz odnawiania zabezpieczenia należytego wykonania GUD-K;</w:t>
      </w:r>
    </w:p>
    <w:p w14:paraId="03DC962B" w14:textId="77777777" w:rsidR="00051FAD" w:rsidRPr="003A2B98" w:rsidRDefault="00051FAD">
      <w:pPr>
        <w:pStyle w:val="Akapitzlist"/>
        <w:widowControl w:val="0"/>
        <w:numPr>
          <w:ilvl w:val="0"/>
          <w:numId w:val="327"/>
        </w:numPr>
        <w:autoSpaceDE w:val="0"/>
        <w:autoSpaceDN w:val="0"/>
        <w:spacing w:line="249" w:lineRule="auto"/>
        <w:ind w:left="568" w:hanging="284"/>
        <w:jc w:val="both"/>
        <w:rPr>
          <w:rFonts w:cs="Times New Roman"/>
          <w:color w:val="000000"/>
          <w:szCs w:val="24"/>
        </w:rPr>
      </w:pPr>
      <w:r w:rsidRPr="003A2B98">
        <w:rPr>
          <w:rFonts w:cs="Times New Roman"/>
          <w:color w:val="000000"/>
          <w:szCs w:val="24"/>
        </w:rPr>
        <w:t>informowania OSDn o zmianie POB lub zakończeniu świadczenia usługi bilansowania handlowego sprzedawcy, zgodnie z</w:t>
      </w:r>
      <w:r w:rsidRPr="003A2B98">
        <w:rPr>
          <w:rFonts w:cs="Times New Roman"/>
          <w:color w:val="000000"/>
          <w:spacing w:val="-27"/>
          <w:szCs w:val="24"/>
        </w:rPr>
        <w:t xml:space="preserve"> </w:t>
      </w:r>
      <w:r w:rsidRPr="003A2B98">
        <w:rPr>
          <w:rFonts w:cs="Times New Roman"/>
          <w:color w:val="000000"/>
          <w:szCs w:val="24"/>
        </w:rPr>
        <w:t>IRiESD;</w:t>
      </w:r>
    </w:p>
    <w:p w14:paraId="4079A07A" w14:textId="77777777" w:rsidR="00051FAD" w:rsidRPr="003A2B98" w:rsidRDefault="00051FAD">
      <w:pPr>
        <w:pStyle w:val="Akapitzlist"/>
        <w:widowControl w:val="0"/>
        <w:numPr>
          <w:ilvl w:val="0"/>
          <w:numId w:val="327"/>
        </w:numPr>
        <w:autoSpaceDE w:val="0"/>
        <w:autoSpaceDN w:val="0"/>
        <w:spacing w:line="249" w:lineRule="auto"/>
        <w:ind w:left="568" w:hanging="284"/>
        <w:jc w:val="both"/>
        <w:rPr>
          <w:rFonts w:cs="Times New Roman"/>
          <w:color w:val="000000"/>
          <w:szCs w:val="24"/>
        </w:rPr>
      </w:pPr>
      <w:r w:rsidRPr="003A2B98">
        <w:rPr>
          <w:rFonts w:cs="Times New Roman"/>
          <w:color w:val="000000"/>
          <w:w w:val="105"/>
          <w:szCs w:val="24"/>
        </w:rPr>
        <w:t xml:space="preserve">przekazywania do OSDn, na zasadach i w terminach określonych </w:t>
      </w:r>
      <w:r w:rsidRPr="003A2B98">
        <w:rPr>
          <w:rFonts w:cs="Times New Roman"/>
          <w:color w:val="000000"/>
          <w:w w:val="105"/>
          <w:szCs w:val="24"/>
        </w:rPr>
        <w:br/>
        <w:t>w IRiESD, wniosków i reklamacji URD dotyczących świadczonych usług dystrybucji, zgłoszonych przez URD do</w:t>
      </w:r>
      <w:r w:rsidRPr="003A2B98">
        <w:rPr>
          <w:rFonts w:cs="Times New Roman"/>
          <w:color w:val="000000"/>
          <w:spacing w:val="46"/>
          <w:w w:val="105"/>
          <w:szCs w:val="24"/>
        </w:rPr>
        <w:t xml:space="preserve"> </w:t>
      </w:r>
      <w:r w:rsidRPr="003A2B98">
        <w:rPr>
          <w:rFonts w:cs="Times New Roman"/>
          <w:color w:val="000000"/>
          <w:w w:val="105"/>
          <w:szCs w:val="24"/>
        </w:rPr>
        <w:t>sprzedawcy;</w:t>
      </w:r>
    </w:p>
    <w:p w14:paraId="150E2C49" w14:textId="77777777" w:rsidR="00051FAD" w:rsidRPr="003A2B98" w:rsidRDefault="00051FAD">
      <w:pPr>
        <w:pStyle w:val="Akapitzlist"/>
        <w:widowControl w:val="0"/>
        <w:numPr>
          <w:ilvl w:val="0"/>
          <w:numId w:val="327"/>
        </w:numPr>
        <w:autoSpaceDE w:val="0"/>
        <w:autoSpaceDN w:val="0"/>
        <w:spacing w:line="254" w:lineRule="auto"/>
        <w:ind w:left="568" w:hanging="284"/>
        <w:jc w:val="both"/>
        <w:rPr>
          <w:rFonts w:cs="Times New Roman"/>
          <w:color w:val="000000"/>
          <w:szCs w:val="24"/>
        </w:rPr>
      </w:pPr>
      <w:r w:rsidRPr="003A2B98">
        <w:rPr>
          <w:rFonts w:cs="Times New Roman"/>
          <w:color w:val="000000"/>
          <w:w w:val="105"/>
          <w:szCs w:val="24"/>
        </w:rPr>
        <w:t xml:space="preserve">niezwłocznego, nie później niż w terminach określonych w IRiESD </w:t>
      </w:r>
      <w:r w:rsidRPr="003A2B98">
        <w:rPr>
          <w:rFonts w:cs="Times New Roman"/>
          <w:color w:val="000000"/>
          <w:w w:val="105"/>
          <w:szCs w:val="24"/>
        </w:rPr>
        <w:br/>
        <w:t>i Ustawie, rozpatrywania reklamacji URD i udzielania na nie odpowiedzi</w:t>
      </w:r>
      <w:r w:rsidRPr="003A2B98">
        <w:rPr>
          <w:rFonts w:cs="Times New Roman"/>
          <w:color w:val="000000"/>
          <w:spacing w:val="27"/>
          <w:w w:val="105"/>
          <w:szCs w:val="24"/>
        </w:rPr>
        <w:t xml:space="preserve"> </w:t>
      </w:r>
      <w:r w:rsidRPr="003A2B98">
        <w:rPr>
          <w:rFonts w:cs="Times New Roman"/>
          <w:color w:val="000000"/>
          <w:w w:val="105"/>
          <w:szCs w:val="24"/>
        </w:rPr>
        <w:t>URD;</w:t>
      </w:r>
    </w:p>
    <w:p w14:paraId="5BC59654" w14:textId="77777777" w:rsidR="00051FAD" w:rsidRPr="003A2B98" w:rsidRDefault="00051FAD">
      <w:pPr>
        <w:pStyle w:val="Akapitzlist"/>
        <w:widowControl w:val="0"/>
        <w:numPr>
          <w:ilvl w:val="0"/>
          <w:numId w:val="327"/>
        </w:numPr>
        <w:autoSpaceDE w:val="0"/>
        <w:autoSpaceDN w:val="0"/>
        <w:spacing w:line="247" w:lineRule="auto"/>
        <w:ind w:left="709" w:hanging="425"/>
        <w:jc w:val="both"/>
        <w:rPr>
          <w:rFonts w:cs="Times New Roman"/>
          <w:color w:val="000000"/>
          <w:szCs w:val="24"/>
        </w:rPr>
      </w:pPr>
      <w:r w:rsidRPr="003A2B98">
        <w:rPr>
          <w:rFonts w:cs="Times New Roman"/>
          <w:color w:val="000000"/>
          <w:w w:val="105"/>
          <w:szCs w:val="24"/>
        </w:rPr>
        <w:t>zachowania</w:t>
      </w:r>
      <w:r w:rsidRPr="003A2B98">
        <w:rPr>
          <w:rFonts w:cs="Times New Roman"/>
          <w:color w:val="000000"/>
          <w:spacing w:val="-13"/>
          <w:w w:val="105"/>
          <w:szCs w:val="24"/>
        </w:rPr>
        <w:t xml:space="preserve"> </w:t>
      </w:r>
      <w:r w:rsidRPr="003A2B98">
        <w:rPr>
          <w:rFonts w:cs="Times New Roman"/>
          <w:color w:val="000000"/>
          <w:w w:val="105"/>
          <w:szCs w:val="24"/>
        </w:rPr>
        <w:t>tajemnicy</w:t>
      </w:r>
      <w:r w:rsidRPr="003A2B98">
        <w:rPr>
          <w:rFonts w:cs="Times New Roman"/>
          <w:color w:val="000000"/>
          <w:spacing w:val="-14"/>
          <w:w w:val="105"/>
          <w:szCs w:val="24"/>
        </w:rPr>
        <w:t xml:space="preserve"> </w:t>
      </w:r>
      <w:r w:rsidRPr="003A2B98">
        <w:rPr>
          <w:rFonts w:cs="Times New Roman"/>
          <w:color w:val="000000"/>
          <w:w w:val="105"/>
          <w:szCs w:val="24"/>
        </w:rPr>
        <w:t>przedsiębiorstwa</w:t>
      </w:r>
      <w:r w:rsidRPr="003A2B98">
        <w:rPr>
          <w:rFonts w:cs="Times New Roman"/>
          <w:color w:val="000000"/>
          <w:spacing w:val="-37"/>
          <w:w w:val="105"/>
          <w:szCs w:val="24"/>
        </w:rPr>
        <w:t xml:space="preserve"> </w:t>
      </w:r>
      <w:r w:rsidRPr="003A2B98">
        <w:rPr>
          <w:rFonts w:cs="Times New Roman"/>
          <w:color w:val="000000"/>
          <w:w w:val="105"/>
          <w:szCs w:val="24"/>
        </w:rPr>
        <w:t>związanej</w:t>
      </w:r>
      <w:r w:rsidRPr="003A2B98">
        <w:rPr>
          <w:rFonts w:cs="Times New Roman"/>
          <w:color w:val="000000"/>
          <w:spacing w:val="-18"/>
          <w:w w:val="105"/>
          <w:szCs w:val="24"/>
        </w:rPr>
        <w:t xml:space="preserve"> </w:t>
      </w:r>
      <w:r w:rsidRPr="003A2B98">
        <w:rPr>
          <w:rFonts w:cs="Times New Roman"/>
          <w:color w:val="000000"/>
          <w:w w:val="105"/>
          <w:szCs w:val="24"/>
        </w:rPr>
        <w:t>z</w:t>
      </w:r>
      <w:r w:rsidRPr="003A2B98">
        <w:rPr>
          <w:rFonts w:cs="Times New Roman"/>
          <w:color w:val="000000"/>
          <w:spacing w:val="-30"/>
          <w:w w:val="105"/>
          <w:szCs w:val="24"/>
        </w:rPr>
        <w:t xml:space="preserve"> </w:t>
      </w:r>
      <w:r w:rsidRPr="003A2B98">
        <w:rPr>
          <w:rFonts w:cs="Times New Roman"/>
          <w:color w:val="000000"/>
          <w:w w:val="105"/>
          <w:szCs w:val="24"/>
        </w:rPr>
        <w:t>realizacją</w:t>
      </w:r>
      <w:r w:rsidRPr="003A2B98">
        <w:rPr>
          <w:rFonts w:cs="Times New Roman"/>
          <w:color w:val="000000"/>
          <w:spacing w:val="-15"/>
          <w:w w:val="105"/>
          <w:szCs w:val="24"/>
        </w:rPr>
        <w:t xml:space="preserve"> </w:t>
      </w:r>
      <w:r w:rsidRPr="003A2B98">
        <w:rPr>
          <w:rFonts w:cs="Times New Roman"/>
          <w:color w:val="000000"/>
          <w:w w:val="105"/>
          <w:szCs w:val="24"/>
        </w:rPr>
        <w:t>GUD-K,</w:t>
      </w:r>
      <w:r w:rsidRPr="003A2B98">
        <w:rPr>
          <w:rFonts w:cs="Times New Roman"/>
          <w:color w:val="000000"/>
          <w:spacing w:val="-17"/>
          <w:w w:val="105"/>
          <w:szCs w:val="24"/>
        </w:rPr>
        <w:t xml:space="preserve"> </w:t>
      </w:r>
      <w:r w:rsidRPr="003A2B98">
        <w:rPr>
          <w:rFonts w:cs="Times New Roman"/>
          <w:color w:val="000000"/>
          <w:w w:val="105"/>
          <w:szCs w:val="24"/>
        </w:rPr>
        <w:t>na</w:t>
      </w:r>
      <w:r w:rsidRPr="003A2B98">
        <w:rPr>
          <w:rFonts w:cs="Times New Roman"/>
          <w:color w:val="000000"/>
          <w:spacing w:val="-31"/>
          <w:w w:val="105"/>
          <w:szCs w:val="24"/>
        </w:rPr>
        <w:t xml:space="preserve"> </w:t>
      </w:r>
      <w:r w:rsidRPr="003A2B98">
        <w:rPr>
          <w:rFonts w:cs="Times New Roman"/>
          <w:color w:val="000000"/>
          <w:w w:val="105"/>
          <w:szCs w:val="24"/>
        </w:rPr>
        <w:t>zasadach określonych w</w:t>
      </w:r>
      <w:r w:rsidRPr="003A2B98">
        <w:rPr>
          <w:rFonts w:cs="Times New Roman"/>
          <w:color w:val="000000"/>
          <w:spacing w:val="-41"/>
          <w:w w:val="105"/>
          <w:szCs w:val="24"/>
        </w:rPr>
        <w:t xml:space="preserve"> </w:t>
      </w:r>
      <w:r w:rsidRPr="003A2B98">
        <w:rPr>
          <w:rFonts w:cs="Times New Roman"/>
          <w:color w:val="000000"/>
          <w:w w:val="105"/>
          <w:szCs w:val="24"/>
        </w:rPr>
        <w:t>GUD-K;</w:t>
      </w:r>
    </w:p>
    <w:p w14:paraId="4624FBFE" w14:textId="77777777" w:rsidR="00051FAD" w:rsidRPr="003A2B98" w:rsidRDefault="00051FAD">
      <w:pPr>
        <w:pStyle w:val="Akapitzlist"/>
        <w:widowControl w:val="0"/>
        <w:numPr>
          <w:ilvl w:val="0"/>
          <w:numId w:val="327"/>
        </w:numPr>
        <w:autoSpaceDE w:val="0"/>
        <w:autoSpaceDN w:val="0"/>
        <w:spacing w:line="249" w:lineRule="auto"/>
        <w:ind w:left="709" w:hanging="425"/>
        <w:jc w:val="both"/>
        <w:rPr>
          <w:rFonts w:cs="Times New Roman"/>
          <w:color w:val="000000"/>
          <w:szCs w:val="24"/>
        </w:rPr>
      </w:pPr>
      <w:r w:rsidRPr="003A2B98">
        <w:rPr>
          <w:rFonts w:cs="Times New Roman"/>
          <w:color w:val="000000"/>
          <w:w w:val="105"/>
          <w:szCs w:val="24"/>
        </w:rPr>
        <w:t>informowania URD o miejscach uzyskania informacji dotyczących postępowań reklamacyjnych, o których mowa w</w:t>
      </w:r>
      <w:r w:rsidRPr="003A2B98">
        <w:rPr>
          <w:rFonts w:cs="Times New Roman"/>
          <w:color w:val="000000"/>
          <w:spacing w:val="15"/>
          <w:w w:val="105"/>
          <w:szCs w:val="24"/>
        </w:rPr>
        <w:t xml:space="preserve"> </w:t>
      </w:r>
      <w:r w:rsidRPr="003A2B98">
        <w:rPr>
          <w:rFonts w:cs="Times New Roman"/>
          <w:color w:val="000000"/>
          <w:w w:val="105"/>
          <w:szCs w:val="24"/>
        </w:rPr>
        <w:t>IRiESD;</w:t>
      </w:r>
    </w:p>
    <w:p w14:paraId="13E41332" w14:textId="77777777" w:rsidR="00051FAD" w:rsidRPr="003A2B98" w:rsidRDefault="00051FAD">
      <w:pPr>
        <w:pStyle w:val="Akapitzlist"/>
        <w:widowControl w:val="0"/>
        <w:numPr>
          <w:ilvl w:val="0"/>
          <w:numId w:val="327"/>
        </w:numPr>
        <w:autoSpaceDE w:val="0"/>
        <w:autoSpaceDN w:val="0"/>
        <w:spacing w:before="3" w:line="249" w:lineRule="auto"/>
        <w:ind w:left="709" w:right="2" w:hanging="425"/>
        <w:jc w:val="both"/>
        <w:rPr>
          <w:rFonts w:cs="Times New Roman"/>
          <w:color w:val="000000"/>
          <w:szCs w:val="24"/>
        </w:rPr>
      </w:pPr>
      <w:r w:rsidRPr="003A2B98">
        <w:rPr>
          <w:rFonts w:cs="Times New Roman"/>
          <w:color w:val="000000"/>
          <w:w w:val="105"/>
          <w:szCs w:val="24"/>
        </w:rPr>
        <w:t>niezwłocznego przekazywania OSDn informacji wynikających z IRiESD mających wpływ na realizację GUD-K i świadczonych przez OSDn usług dystrybucji na podstawie umów kompleksowych zawartych przez sprzedawcę z</w:t>
      </w:r>
      <w:r w:rsidRPr="003A2B98">
        <w:rPr>
          <w:rFonts w:cs="Times New Roman"/>
          <w:color w:val="000000"/>
          <w:spacing w:val="22"/>
          <w:w w:val="105"/>
          <w:szCs w:val="24"/>
        </w:rPr>
        <w:t xml:space="preserve"> </w:t>
      </w:r>
      <w:r w:rsidRPr="003A2B98">
        <w:rPr>
          <w:rFonts w:cs="Times New Roman"/>
          <w:color w:val="000000"/>
          <w:w w:val="105"/>
          <w:szCs w:val="24"/>
        </w:rPr>
        <w:t>URD;</w:t>
      </w:r>
    </w:p>
    <w:p w14:paraId="2FC1296D" w14:textId="77777777" w:rsidR="00051FAD" w:rsidRPr="003A2B98" w:rsidRDefault="00051FAD">
      <w:pPr>
        <w:pStyle w:val="Akapitzlist"/>
        <w:widowControl w:val="0"/>
        <w:numPr>
          <w:ilvl w:val="0"/>
          <w:numId w:val="327"/>
        </w:numPr>
        <w:autoSpaceDE w:val="0"/>
        <w:autoSpaceDN w:val="0"/>
        <w:spacing w:before="10" w:line="249" w:lineRule="auto"/>
        <w:ind w:left="709" w:right="2" w:hanging="425"/>
        <w:jc w:val="both"/>
        <w:rPr>
          <w:rFonts w:cs="Times New Roman"/>
          <w:color w:val="000000"/>
          <w:szCs w:val="24"/>
        </w:rPr>
      </w:pPr>
      <w:r w:rsidRPr="003A2B98">
        <w:rPr>
          <w:rFonts w:cs="Times New Roman"/>
          <w:color w:val="000000"/>
          <w:w w:val="105"/>
          <w:szCs w:val="24"/>
        </w:rPr>
        <w:t>niezwłocznego,</w:t>
      </w:r>
      <w:r w:rsidRPr="003A2B98">
        <w:rPr>
          <w:rFonts w:cs="Times New Roman"/>
          <w:color w:val="000000"/>
          <w:spacing w:val="-18"/>
          <w:w w:val="105"/>
          <w:szCs w:val="24"/>
        </w:rPr>
        <w:t xml:space="preserve"> </w:t>
      </w:r>
      <w:r w:rsidRPr="003A2B98">
        <w:rPr>
          <w:rFonts w:cs="Times New Roman"/>
          <w:color w:val="000000"/>
          <w:w w:val="105"/>
          <w:szCs w:val="24"/>
        </w:rPr>
        <w:t>nie</w:t>
      </w:r>
      <w:r w:rsidRPr="003A2B98">
        <w:rPr>
          <w:rFonts w:cs="Times New Roman"/>
          <w:color w:val="000000"/>
          <w:spacing w:val="-10"/>
          <w:w w:val="105"/>
          <w:szCs w:val="24"/>
        </w:rPr>
        <w:t xml:space="preserve"> </w:t>
      </w:r>
      <w:r w:rsidRPr="003A2B98">
        <w:rPr>
          <w:rFonts w:cs="Times New Roman"/>
          <w:color w:val="000000"/>
          <w:w w:val="105"/>
          <w:szCs w:val="24"/>
        </w:rPr>
        <w:t>później</w:t>
      </w:r>
      <w:r w:rsidRPr="003A2B98">
        <w:rPr>
          <w:rFonts w:cs="Times New Roman"/>
          <w:color w:val="000000"/>
          <w:spacing w:val="-5"/>
          <w:w w:val="105"/>
          <w:szCs w:val="24"/>
        </w:rPr>
        <w:t xml:space="preserve"> </w:t>
      </w:r>
      <w:r w:rsidRPr="003A2B98">
        <w:rPr>
          <w:rFonts w:cs="Times New Roman"/>
          <w:color w:val="000000"/>
          <w:w w:val="105"/>
          <w:szCs w:val="24"/>
        </w:rPr>
        <w:t>niż</w:t>
      </w:r>
      <w:r w:rsidRPr="003A2B98">
        <w:rPr>
          <w:rFonts w:cs="Times New Roman"/>
          <w:color w:val="000000"/>
          <w:spacing w:val="-12"/>
          <w:w w:val="105"/>
          <w:szCs w:val="24"/>
        </w:rPr>
        <w:t xml:space="preserve"> </w:t>
      </w:r>
      <w:r w:rsidRPr="003A2B98">
        <w:rPr>
          <w:rFonts w:cs="Times New Roman"/>
          <w:color w:val="000000"/>
          <w:w w:val="105"/>
          <w:szCs w:val="24"/>
        </w:rPr>
        <w:t>w</w:t>
      </w:r>
      <w:r w:rsidRPr="003A2B98">
        <w:rPr>
          <w:rFonts w:cs="Times New Roman"/>
          <w:color w:val="000000"/>
          <w:spacing w:val="-14"/>
          <w:w w:val="105"/>
          <w:szCs w:val="24"/>
        </w:rPr>
        <w:t xml:space="preserve"> </w:t>
      </w:r>
      <w:r w:rsidRPr="003A2B98">
        <w:rPr>
          <w:rFonts w:cs="Times New Roman"/>
          <w:color w:val="000000"/>
          <w:w w:val="105"/>
          <w:szCs w:val="24"/>
        </w:rPr>
        <w:t>terminie</w:t>
      </w:r>
      <w:r w:rsidRPr="003A2B98">
        <w:rPr>
          <w:rFonts w:cs="Times New Roman"/>
          <w:color w:val="000000"/>
          <w:spacing w:val="-9"/>
          <w:w w:val="105"/>
          <w:szCs w:val="24"/>
        </w:rPr>
        <w:t xml:space="preserve"> </w:t>
      </w:r>
      <w:r w:rsidRPr="003A2B98">
        <w:rPr>
          <w:rFonts w:cs="Times New Roman"/>
          <w:color w:val="000000"/>
          <w:w w:val="105"/>
          <w:szCs w:val="24"/>
        </w:rPr>
        <w:t>5</w:t>
      </w:r>
      <w:r w:rsidRPr="003A2B98">
        <w:rPr>
          <w:rFonts w:cs="Times New Roman"/>
          <w:color w:val="000000"/>
          <w:spacing w:val="-14"/>
          <w:w w:val="105"/>
          <w:szCs w:val="24"/>
        </w:rPr>
        <w:t xml:space="preserve"> </w:t>
      </w:r>
      <w:r w:rsidRPr="003A2B98">
        <w:rPr>
          <w:rFonts w:cs="Times New Roman"/>
          <w:color w:val="000000"/>
          <w:w w:val="105"/>
          <w:szCs w:val="24"/>
        </w:rPr>
        <w:t>dni</w:t>
      </w:r>
      <w:r w:rsidRPr="003A2B98">
        <w:rPr>
          <w:rFonts w:cs="Times New Roman"/>
          <w:color w:val="000000"/>
          <w:spacing w:val="-8"/>
          <w:w w:val="105"/>
          <w:szCs w:val="24"/>
        </w:rPr>
        <w:t xml:space="preserve"> </w:t>
      </w:r>
      <w:r w:rsidRPr="003A2B98">
        <w:rPr>
          <w:rFonts w:cs="Times New Roman"/>
          <w:color w:val="000000"/>
          <w:w w:val="105"/>
          <w:szCs w:val="24"/>
        </w:rPr>
        <w:t>roboczych</w:t>
      </w:r>
      <w:r w:rsidRPr="003A2B98">
        <w:rPr>
          <w:rFonts w:cs="Times New Roman"/>
          <w:color w:val="000000"/>
          <w:spacing w:val="-7"/>
          <w:w w:val="105"/>
          <w:szCs w:val="24"/>
        </w:rPr>
        <w:t xml:space="preserve"> </w:t>
      </w:r>
      <w:r w:rsidRPr="003A2B98">
        <w:rPr>
          <w:rFonts w:cs="Times New Roman"/>
          <w:color w:val="000000"/>
          <w:w w:val="105"/>
          <w:szCs w:val="24"/>
        </w:rPr>
        <w:t>od</w:t>
      </w:r>
      <w:r w:rsidRPr="003A2B98">
        <w:rPr>
          <w:rFonts w:cs="Times New Roman"/>
          <w:color w:val="000000"/>
          <w:spacing w:val="4"/>
          <w:w w:val="105"/>
          <w:szCs w:val="24"/>
        </w:rPr>
        <w:t xml:space="preserve"> </w:t>
      </w:r>
      <w:r w:rsidRPr="003A2B98">
        <w:rPr>
          <w:rFonts w:cs="Times New Roman"/>
          <w:color w:val="000000"/>
          <w:w w:val="105"/>
          <w:szCs w:val="24"/>
        </w:rPr>
        <w:t>ich</w:t>
      </w:r>
      <w:r w:rsidRPr="003A2B98">
        <w:rPr>
          <w:rFonts w:cs="Times New Roman"/>
          <w:color w:val="000000"/>
          <w:spacing w:val="-8"/>
          <w:w w:val="105"/>
          <w:szCs w:val="24"/>
        </w:rPr>
        <w:t xml:space="preserve"> </w:t>
      </w:r>
      <w:r w:rsidRPr="003A2B98">
        <w:rPr>
          <w:rFonts w:cs="Times New Roman"/>
          <w:color w:val="000000"/>
          <w:w w:val="105"/>
          <w:szCs w:val="24"/>
        </w:rPr>
        <w:t>otrzymania</w:t>
      </w:r>
      <w:r w:rsidRPr="003A2B98">
        <w:rPr>
          <w:rFonts w:cs="Times New Roman"/>
          <w:color w:val="000000"/>
          <w:spacing w:val="-2"/>
          <w:w w:val="105"/>
          <w:szCs w:val="24"/>
        </w:rPr>
        <w:t xml:space="preserve"> </w:t>
      </w:r>
      <w:r w:rsidRPr="003A2B98">
        <w:rPr>
          <w:rFonts w:cs="Times New Roman"/>
          <w:color w:val="000000"/>
          <w:w w:val="105"/>
          <w:szCs w:val="24"/>
        </w:rPr>
        <w:t xml:space="preserve">przez sprzedawcę od URD nie objętego ochroną przed wprowadzanymi ograniczeniami </w:t>
      </w:r>
      <w:r>
        <w:rPr>
          <w:rFonts w:cs="Times New Roman"/>
          <w:color w:val="000000"/>
          <w:w w:val="105"/>
          <w:szCs w:val="24"/>
        </w:rPr>
        <w:br/>
      </w:r>
      <w:r w:rsidRPr="003A2B98">
        <w:rPr>
          <w:rFonts w:cs="Times New Roman"/>
          <w:color w:val="000000"/>
          <w:w w:val="105"/>
          <w:szCs w:val="24"/>
        </w:rPr>
        <w:t>w dostarczaniu i poborze energii elektrycznej (zgodnie z Rozporządzeniem Rady Ministrów z dnia 8 listopada 2021 r. w sprawie szczegółowych zasad i trybu wprowadzania</w:t>
      </w:r>
      <w:r w:rsidRPr="003A2B98">
        <w:rPr>
          <w:rFonts w:cs="Times New Roman"/>
          <w:color w:val="000000"/>
          <w:spacing w:val="-2"/>
          <w:w w:val="105"/>
          <w:szCs w:val="24"/>
        </w:rPr>
        <w:t xml:space="preserve"> </w:t>
      </w:r>
      <w:r w:rsidRPr="003A2B98">
        <w:rPr>
          <w:rFonts w:cs="Times New Roman"/>
          <w:color w:val="000000"/>
          <w:w w:val="105"/>
          <w:szCs w:val="24"/>
        </w:rPr>
        <w:t>ograniczeń</w:t>
      </w:r>
      <w:r w:rsidRPr="003A2B98">
        <w:rPr>
          <w:rFonts w:cs="Times New Roman"/>
          <w:color w:val="000000"/>
          <w:spacing w:val="-1"/>
          <w:w w:val="105"/>
          <w:szCs w:val="24"/>
        </w:rPr>
        <w:t xml:space="preserve"> </w:t>
      </w:r>
      <w:r w:rsidRPr="003A2B98">
        <w:rPr>
          <w:rFonts w:cs="Times New Roman"/>
          <w:color w:val="000000"/>
          <w:w w:val="105"/>
          <w:szCs w:val="24"/>
        </w:rPr>
        <w:t>w</w:t>
      </w:r>
      <w:r w:rsidRPr="003A2B98">
        <w:rPr>
          <w:rFonts w:cs="Times New Roman"/>
          <w:color w:val="000000"/>
          <w:spacing w:val="-18"/>
          <w:w w:val="105"/>
          <w:szCs w:val="24"/>
        </w:rPr>
        <w:t xml:space="preserve"> </w:t>
      </w:r>
      <w:r w:rsidRPr="003A2B98">
        <w:rPr>
          <w:rFonts w:cs="Times New Roman"/>
          <w:color w:val="000000"/>
          <w:w w:val="105"/>
          <w:szCs w:val="24"/>
        </w:rPr>
        <w:t>sprzedaży</w:t>
      </w:r>
      <w:r w:rsidRPr="003A2B98">
        <w:rPr>
          <w:rFonts w:cs="Times New Roman"/>
          <w:color w:val="000000"/>
          <w:spacing w:val="-7"/>
          <w:w w:val="105"/>
          <w:szCs w:val="24"/>
        </w:rPr>
        <w:t xml:space="preserve"> </w:t>
      </w:r>
      <w:r w:rsidRPr="003A2B98">
        <w:rPr>
          <w:rFonts w:cs="Times New Roman"/>
          <w:color w:val="000000"/>
          <w:w w:val="105"/>
          <w:szCs w:val="24"/>
        </w:rPr>
        <w:t>paliw</w:t>
      </w:r>
      <w:r w:rsidRPr="003A2B98">
        <w:rPr>
          <w:rFonts w:cs="Times New Roman"/>
          <w:color w:val="000000"/>
          <w:spacing w:val="-17"/>
          <w:w w:val="105"/>
          <w:szCs w:val="24"/>
        </w:rPr>
        <w:t xml:space="preserve"> </w:t>
      </w:r>
      <w:r w:rsidRPr="003A2B98">
        <w:rPr>
          <w:rFonts w:cs="Times New Roman"/>
          <w:color w:val="000000"/>
          <w:w w:val="105"/>
          <w:szCs w:val="24"/>
        </w:rPr>
        <w:t>stałych</w:t>
      </w:r>
      <w:r w:rsidRPr="003A2B98">
        <w:rPr>
          <w:rFonts w:cs="Times New Roman"/>
          <w:color w:val="000000"/>
          <w:spacing w:val="-11"/>
          <w:w w:val="105"/>
          <w:szCs w:val="24"/>
        </w:rPr>
        <w:t xml:space="preserve"> </w:t>
      </w:r>
      <w:r w:rsidRPr="003A2B98">
        <w:rPr>
          <w:rFonts w:cs="Times New Roman"/>
          <w:color w:val="000000"/>
          <w:w w:val="105"/>
          <w:szCs w:val="24"/>
        </w:rPr>
        <w:t>oraz</w:t>
      </w:r>
      <w:r w:rsidRPr="003A2B98">
        <w:rPr>
          <w:rFonts w:cs="Times New Roman"/>
          <w:color w:val="000000"/>
          <w:spacing w:val="-18"/>
          <w:w w:val="105"/>
          <w:szCs w:val="24"/>
        </w:rPr>
        <w:t xml:space="preserve"> </w:t>
      </w:r>
      <w:r w:rsidRPr="003A2B98">
        <w:rPr>
          <w:rFonts w:cs="Times New Roman"/>
          <w:color w:val="000000"/>
          <w:w w:val="105"/>
          <w:szCs w:val="24"/>
        </w:rPr>
        <w:t>w</w:t>
      </w:r>
      <w:r w:rsidRPr="003A2B98">
        <w:rPr>
          <w:rFonts w:cs="Times New Roman"/>
          <w:color w:val="000000"/>
          <w:spacing w:val="-20"/>
          <w:w w:val="105"/>
          <w:szCs w:val="24"/>
        </w:rPr>
        <w:t xml:space="preserve"> </w:t>
      </w:r>
      <w:r w:rsidRPr="003A2B98">
        <w:rPr>
          <w:rFonts w:cs="Times New Roman"/>
          <w:color w:val="000000"/>
          <w:w w:val="105"/>
          <w:szCs w:val="24"/>
        </w:rPr>
        <w:t>dostarczaniu</w:t>
      </w:r>
      <w:r w:rsidRPr="003A2B98">
        <w:rPr>
          <w:rFonts w:cs="Times New Roman"/>
          <w:color w:val="000000"/>
          <w:spacing w:val="-5"/>
          <w:w w:val="105"/>
          <w:szCs w:val="24"/>
        </w:rPr>
        <w:t xml:space="preserve"> </w:t>
      </w:r>
      <w:r w:rsidRPr="003A2B98">
        <w:rPr>
          <w:rFonts w:cs="Times New Roman"/>
          <w:color w:val="000000"/>
          <w:w w:val="105"/>
          <w:szCs w:val="24"/>
        </w:rPr>
        <w:t>i</w:t>
      </w:r>
      <w:r w:rsidRPr="003A2B98">
        <w:rPr>
          <w:rFonts w:cs="Times New Roman"/>
          <w:color w:val="000000"/>
          <w:spacing w:val="-14"/>
          <w:w w:val="105"/>
          <w:szCs w:val="24"/>
        </w:rPr>
        <w:t xml:space="preserve"> </w:t>
      </w:r>
      <w:r w:rsidRPr="003A2B98">
        <w:rPr>
          <w:rFonts w:cs="Times New Roman"/>
          <w:color w:val="000000"/>
          <w:w w:val="105"/>
          <w:szCs w:val="24"/>
        </w:rPr>
        <w:t xml:space="preserve">poborze energii elektrycznej lub ciepła), przekazywania OSDn informacji o danych kontaktowych URD na potrzeby realizacji ww. rozporządzenia: adresie poczty elektronicznej URD na potrzeby otrzymywania planów wprowadzania ograniczeń </w:t>
      </w:r>
      <w:r>
        <w:rPr>
          <w:rFonts w:cs="Times New Roman"/>
          <w:color w:val="000000"/>
          <w:w w:val="105"/>
          <w:szCs w:val="24"/>
        </w:rPr>
        <w:br/>
      </w:r>
      <w:r w:rsidRPr="003A2B98">
        <w:rPr>
          <w:rFonts w:cs="Times New Roman"/>
          <w:color w:val="000000"/>
          <w:w w:val="105"/>
          <w:szCs w:val="24"/>
        </w:rPr>
        <w:t>w dostarczaniu i poborze energii elektrycznej URD oraz adresie</w:t>
      </w:r>
      <w:r w:rsidRPr="003A2B98">
        <w:rPr>
          <w:rFonts w:cs="Times New Roman"/>
          <w:color w:val="000000"/>
          <w:spacing w:val="-25"/>
          <w:w w:val="105"/>
          <w:szCs w:val="24"/>
        </w:rPr>
        <w:t xml:space="preserve"> </w:t>
      </w:r>
      <w:r w:rsidRPr="003A2B98">
        <w:rPr>
          <w:rFonts w:cs="Times New Roman"/>
          <w:color w:val="000000"/>
          <w:w w:val="105"/>
          <w:szCs w:val="24"/>
        </w:rPr>
        <w:t>poczty elektronicznej</w:t>
      </w:r>
      <w:r w:rsidRPr="003A2B98">
        <w:rPr>
          <w:rFonts w:cs="Times New Roman"/>
          <w:color w:val="000000"/>
          <w:spacing w:val="-29"/>
          <w:w w:val="105"/>
          <w:szCs w:val="24"/>
        </w:rPr>
        <w:t xml:space="preserve"> </w:t>
      </w:r>
      <w:r w:rsidRPr="003A2B98">
        <w:rPr>
          <w:rFonts w:cs="Times New Roman"/>
          <w:color w:val="000000"/>
          <w:w w:val="105"/>
          <w:szCs w:val="24"/>
        </w:rPr>
        <w:t>lub</w:t>
      </w:r>
      <w:r w:rsidRPr="003A2B98">
        <w:rPr>
          <w:rFonts w:cs="Times New Roman"/>
          <w:color w:val="000000"/>
          <w:spacing w:val="-27"/>
          <w:w w:val="105"/>
          <w:szCs w:val="24"/>
        </w:rPr>
        <w:t xml:space="preserve"> </w:t>
      </w:r>
      <w:r w:rsidRPr="003A2B98">
        <w:rPr>
          <w:rFonts w:cs="Times New Roman"/>
          <w:color w:val="000000"/>
          <w:w w:val="105"/>
          <w:szCs w:val="24"/>
        </w:rPr>
        <w:t>numerze</w:t>
      </w:r>
      <w:r w:rsidRPr="003A2B98">
        <w:rPr>
          <w:rFonts w:cs="Times New Roman"/>
          <w:color w:val="000000"/>
          <w:spacing w:val="-22"/>
          <w:w w:val="105"/>
          <w:szCs w:val="24"/>
        </w:rPr>
        <w:t xml:space="preserve"> </w:t>
      </w:r>
      <w:r w:rsidRPr="003A2B98">
        <w:rPr>
          <w:rFonts w:cs="Times New Roman"/>
          <w:color w:val="000000"/>
          <w:w w:val="105"/>
          <w:szCs w:val="24"/>
        </w:rPr>
        <w:t>telefonu</w:t>
      </w:r>
      <w:r w:rsidRPr="003A2B98">
        <w:rPr>
          <w:rFonts w:cs="Times New Roman"/>
          <w:color w:val="000000"/>
          <w:spacing w:val="-19"/>
          <w:w w:val="105"/>
          <w:szCs w:val="24"/>
        </w:rPr>
        <w:t xml:space="preserve"> </w:t>
      </w:r>
      <w:r w:rsidRPr="003A2B98">
        <w:rPr>
          <w:rFonts w:cs="Times New Roman"/>
          <w:color w:val="000000"/>
          <w:w w:val="105"/>
          <w:szCs w:val="24"/>
        </w:rPr>
        <w:t>komórkowego</w:t>
      </w:r>
      <w:r w:rsidRPr="003A2B98">
        <w:rPr>
          <w:rFonts w:cs="Times New Roman"/>
          <w:color w:val="000000"/>
          <w:spacing w:val="-10"/>
          <w:w w:val="105"/>
          <w:szCs w:val="24"/>
        </w:rPr>
        <w:t xml:space="preserve"> </w:t>
      </w:r>
      <w:r w:rsidRPr="003A2B98">
        <w:rPr>
          <w:rFonts w:cs="Times New Roman"/>
          <w:color w:val="000000"/>
          <w:w w:val="105"/>
          <w:szCs w:val="24"/>
        </w:rPr>
        <w:t>URD</w:t>
      </w:r>
      <w:r w:rsidRPr="003A2B98">
        <w:rPr>
          <w:rFonts w:cs="Times New Roman"/>
          <w:color w:val="000000"/>
          <w:spacing w:val="-18"/>
          <w:w w:val="105"/>
          <w:szCs w:val="24"/>
        </w:rPr>
        <w:t xml:space="preserve"> </w:t>
      </w:r>
      <w:r w:rsidRPr="003A2B98">
        <w:rPr>
          <w:rFonts w:cs="Times New Roman"/>
          <w:color w:val="000000"/>
          <w:w w:val="105"/>
          <w:szCs w:val="24"/>
        </w:rPr>
        <w:t>na</w:t>
      </w:r>
      <w:r w:rsidRPr="003A2B98">
        <w:rPr>
          <w:rFonts w:cs="Times New Roman"/>
          <w:color w:val="000000"/>
          <w:spacing w:val="-18"/>
          <w:w w:val="105"/>
          <w:szCs w:val="24"/>
        </w:rPr>
        <w:t xml:space="preserve"> </w:t>
      </w:r>
      <w:r w:rsidRPr="003A2B98">
        <w:rPr>
          <w:rFonts w:cs="Times New Roman"/>
          <w:color w:val="000000"/>
          <w:w w:val="105"/>
          <w:szCs w:val="24"/>
        </w:rPr>
        <w:t>potrzeby</w:t>
      </w:r>
      <w:r w:rsidRPr="003A2B98">
        <w:rPr>
          <w:rFonts w:cs="Times New Roman"/>
          <w:color w:val="000000"/>
          <w:spacing w:val="-20"/>
          <w:w w:val="105"/>
          <w:szCs w:val="24"/>
        </w:rPr>
        <w:t xml:space="preserve"> </w:t>
      </w:r>
      <w:r w:rsidRPr="003A2B98">
        <w:rPr>
          <w:rFonts w:cs="Times New Roman"/>
          <w:color w:val="000000"/>
          <w:w w:val="105"/>
          <w:szCs w:val="24"/>
        </w:rPr>
        <w:t xml:space="preserve">otrzymywania powiadomień </w:t>
      </w:r>
      <w:r>
        <w:rPr>
          <w:rFonts w:cs="Times New Roman"/>
          <w:color w:val="000000"/>
          <w:w w:val="105"/>
          <w:szCs w:val="24"/>
        </w:rPr>
        <w:br/>
      </w:r>
      <w:r w:rsidRPr="003A2B98">
        <w:rPr>
          <w:rFonts w:cs="Times New Roman"/>
          <w:color w:val="000000"/>
          <w:w w:val="105"/>
          <w:szCs w:val="24"/>
        </w:rPr>
        <w:t>o wprowadzeniu ograniczeń w dostarczaniu i poborze energii elektrycznej - poprzez system, o którym mowa w GUD-K albo w formie elektronicznej</w:t>
      </w:r>
      <w:r w:rsidRPr="003A2B98">
        <w:rPr>
          <w:rFonts w:cs="Times New Roman"/>
          <w:color w:val="000000"/>
          <w:spacing w:val="-9"/>
          <w:w w:val="105"/>
          <w:szCs w:val="24"/>
        </w:rPr>
        <w:t xml:space="preserve"> </w:t>
      </w:r>
      <w:r w:rsidRPr="003A2B98">
        <w:rPr>
          <w:rFonts w:cs="Times New Roman"/>
          <w:color w:val="000000"/>
          <w:w w:val="105"/>
          <w:szCs w:val="24"/>
        </w:rPr>
        <w:t>na</w:t>
      </w:r>
      <w:r w:rsidRPr="003A2B98">
        <w:rPr>
          <w:rFonts w:cs="Times New Roman"/>
          <w:color w:val="000000"/>
          <w:spacing w:val="-15"/>
          <w:w w:val="105"/>
          <w:szCs w:val="24"/>
        </w:rPr>
        <w:t xml:space="preserve"> </w:t>
      </w:r>
      <w:r w:rsidRPr="003A2B98">
        <w:rPr>
          <w:rFonts w:cs="Times New Roman"/>
          <w:color w:val="000000"/>
          <w:w w:val="105"/>
          <w:szCs w:val="24"/>
        </w:rPr>
        <w:t>adres</w:t>
      </w:r>
      <w:r w:rsidRPr="003A2B98">
        <w:rPr>
          <w:rFonts w:cs="Times New Roman"/>
          <w:color w:val="000000"/>
          <w:spacing w:val="-4"/>
          <w:w w:val="105"/>
          <w:szCs w:val="24"/>
        </w:rPr>
        <w:t xml:space="preserve"> </w:t>
      </w:r>
      <w:r w:rsidRPr="003A2B98">
        <w:rPr>
          <w:rFonts w:cs="Times New Roman"/>
          <w:color w:val="000000"/>
          <w:w w:val="105"/>
          <w:szCs w:val="24"/>
        </w:rPr>
        <w:t>poczty</w:t>
      </w:r>
      <w:r w:rsidRPr="003A2B98">
        <w:rPr>
          <w:rFonts w:cs="Times New Roman"/>
          <w:color w:val="000000"/>
          <w:spacing w:val="-4"/>
          <w:w w:val="105"/>
          <w:szCs w:val="24"/>
        </w:rPr>
        <w:t xml:space="preserve"> </w:t>
      </w:r>
      <w:r w:rsidRPr="003A2B98">
        <w:rPr>
          <w:rFonts w:cs="Times New Roman"/>
          <w:color w:val="000000"/>
          <w:w w:val="105"/>
          <w:szCs w:val="24"/>
        </w:rPr>
        <w:t>elektronicznej</w:t>
      </w:r>
      <w:r w:rsidRPr="003A2B98">
        <w:rPr>
          <w:rFonts w:cs="Times New Roman"/>
          <w:color w:val="000000"/>
          <w:spacing w:val="-11"/>
          <w:w w:val="105"/>
          <w:szCs w:val="24"/>
        </w:rPr>
        <w:t xml:space="preserve"> </w:t>
      </w:r>
      <w:r w:rsidRPr="003A2B98">
        <w:rPr>
          <w:rFonts w:cs="Times New Roman"/>
          <w:color w:val="000000"/>
          <w:w w:val="105"/>
          <w:szCs w:val="24"/>
        </w:rPr>
        <w:t>wskazane</w:t>
      </w:r>
      <w:r w:rsidRPr="003A2B98">
        <w:rPr>
          <w:rFonts w:cs="Times New Roman"/>
          <w:color w:val="000000"/>
          <w:spacing w:val="3"/>
          <w:w w:val="105"/>
          <w:szCs w:val="24"/>
        </w:rPr>
        <w:t xml:space="preserve"> </w:t>
      </w:r>
      <w:r w:rsidRPr="003A2B98">
        <w:rPr>
          <w:rFonts w:cs="Times New Roman"/>
          <w:color w:val="000000"/>
          <w:w w:val="105"/>
          <w:szCs w:val="24"/>
        </w:rPr>
        <w:t>w</w:t>
      </w:r>
      <w:r w:rsidRPr="003A2B98">
        <w:rPr>
          <w:rFonts w:cs="Times New Roman"/>
          <w:color w:val="000000"/>
          <w:spacing w:val="-12"/>
          <w:w w:val="105"/>
          <w:szCs w:val="24"/>
        </w:rPr>
        <w:t xml:space="preserve"> </w:t>
      </w:r>
      <w:r w:rsidRPr="003A2B98">
        <w:rPr>
          <w:rFonts w:cs="Times New Roman"/>
          <w:color w:val="000000"/>
          <w:w w:val="105"/>
          <w:szCs w:val="24"/>
        </w:rPr>
        <w:t>Załączniku</w:t>
      </w:r>
      <w:r w:rsidRPr="003A2B98">
        <w:rPr>
          <w:rFonts w:cs="Times New Roman"/>
          <w:color w:val="000000"/>
          <w:spacing w:val="5"/>
          <w:w w:val="105"/>
          <w:szCs w:val="24"/>
        </w:rPr>
        <w:t xml:space="preserve"> </w:t>
      </w:r>
      <w:r w:rsidRPr="003A2B98">
        <w:rPr>
          <w:rFonts w:cs="Times New Roman"/>
          <w:color w:val="000000"/>
          <w:w w:val="105"/>
          <w:szCs w:val="24"/>
        </w:rPr>
        <w:t>do</w:t>
      </w:r>
      <w:r w:rsidRPr="003A2B98">
        <w:rPr>
          <w:rFonts w:cs="Times New Roman"/>
          <w:color w:val="000000"/>
          <w:spacing w:val="-12"/>
          <w:w w:val="105"/>
          <w:szCs w:val="24"/>
        </w:rPr>
        <w:t xml:space="preserve"> </w:t>
      </w:r>
      <w:r w:rsidRPr="003A2B98">
        <w:rPr>
          <w:rFonts w:cs="Times New Roman"/>
          <w:color w:val="000000"/>
          <w:w w:val="105"/>
          <w:szCs w:val="24"/>
        </w:rPr>
        <w:t>GUD-K;</w:t>
      </w:r>
    </w:p>
    <w:p w14:paraId="205F0049" w14:textId="77777777" w:rsidR="00051FAD" w:rsidRPr="003A2B98" w:rsidRDefault="00051FAD">
      <w:pPr>
        <w:pStyle w:val="Akapitzlist"/>
        <w:widowControl w:val="0"/>
        <w:numPr>
          <w:ilvl w:val="0"/>
          <w:numId w:val="327"/>
        </w:numPr>
        <w:autoSpaceDE w:val="0"/>
        <w:autoSpaceDN w:val="0"/>
        <w:spacing w:before="1" w:line="249" w:lineRule="auto"/>
        <w:ind w:left="709" w:right="2" w:hanging="425"/>
        <w:jc w:val="both"/>
        <w:rPr>
          <w:rFonts w:cs="Times New Roman"/>
          <w:color w:val="000000"/>
          <w:szCs w:val="24"/>
        </w:rPr>
      </w:pPr>
      <w:r w:rsidRPr="003A2B98">
        <w:rPr>
          <w:rFonts w:cs="Times New Roman"/>
          <w:color w:val="000000"/>
          <w:szCs w:val="24"/>
        </w:rPr>
        <w:t>niezwłocznego dokonania odpowiednich zmian w umowie kompleksowej lub dokonania zgłoszenia nowej umowy kompleksowej, w przypadkach stwierdzenia przez OSD, że URD pobiera energię elektryczną na potrzeby inne, niż określone w umowie kompleksowej lub URD korzysta z grupy taryfowej niezgodnie z kwalifikacją określoną w Taryfie OSDn;</w:t>
      </w:r>
    </w:p>
    <w:p w14:paraId="779AA125" w14:textId="77777777" w:rsidR="00051FAD" w:rsidRPr="003A2B98" w:rsidRDefault="00051FAD">
      <w:pPr>
        <w:pStyle w:val="Akapitzlist"/>
        <w:widowControl w:val="0"/>
        <w:numPr>
          <w:ilvl w:val="0"/>
          <w:numId w:val="327"/>
        </w:numPr>
        <w:autoSpaceDE w:val="0"/>
        <w:autoSpaceDN w:val="0"/>
        <w:spacing w:before="11" w:line="249" w:lineRule="auto"/>
        <w:ind w:left="709" w:right="2" w:hanging="425"/>
        <w:jc w:val="both"/>
        <w:rPr>
          <w:rFonts w:cs="Times New Roman"/>
          <w:color w:val="000000"/>
          <w:szCs w:val="24"/>
        </w:rPr>
      </w:pPr>
      <w:r w:rsidRPr="003A2B98">
        <w:rPr>
          <w:rFonts w:cs="Times New Roman"/>
          <w:color w:val="000000"/>
          <w:szCs w:val="24"/>
        </w:rPr>
        <w:t>zamieszczania w treści umowy kompleksowej z URD postanowień dotyczących sprzedaży rezerwowej określonych w Ustawie i IRiESD, w tym pozyskiwania od URD wymaganych oświadczeń lub upoważnień w tym</w:t>
      </w:r>
      <w:r w:rsidRPr="003A2B98">
        <w:rPr>
          <w:rFonts w:cs="Times New Roman"/>
          <w:color w:val="000000"/>
          <w:spacing w:val="-32"/>
          <w:szCs w:val="24"/>
        </w:rPr>
        <w:t xml:space="preserve"> </w:t>
      </w:r>
      <w:r w:rsidRPr="003A2B98">
        <w:rPr>
          <w:rFonts w:cs="Times New Roman"/>
          <w:color w:val="000000"/>
          <w:szCs w:val="24"/>
        </w:rPr>
        <w:t>zakresie.</w:t>
      </w:r>
    </w:p>
    <w:p w14:paraId="0225043A" w14:textId="77777777" w:rsidR="00051FAD" w:rsidRPr="003A2B98" w:rsidRDefault="00051FAD">
      <w:pPr>
        <w:pStyle w:val="Akapitzlist"/>
        <w:widowControl w:val="0"/>
        <w:numPr>
          <w:ilvl w:val="0"/>
          <w:numId w:val="302"/>
        </w:numPr>
        <w:autoSpaceDE w:val="0"/>
        <w:autoSpaceDN w:val="0"/>
        <w:spacing w:before="4" w:line="249" w:lineRule="auto"/>
        <w:ind w:left="284" w:right="2" w:hanging="284"/>
        <w:jc w:val="both"/>
        <w:rPr>
          <w:rFonts w:cs="Times New Roman"/>
          <w:color w:val="000000"/>
          <w:szCs w:val="24"/>
        </w:rPr>
      </w:pPr>
      <w:r w:rsidRPr="003A2B98">
        <w:rPr>
          <w:rFonts w:cs="Times New Roman"/>
          <w:color w:val="000000"/>
          <w:w w:val="105"/>
          <w:szCs w:val="24"/>
        </w:rPr>
        <w:t>Odniesienie do IRiESD oraz Taryfy OSDn w zakresie zasad udostępniania danych pomiarowych i</w:t>
      </w:r>
      <w:r w:rsidRPr="003A2B98">
        <w:rPr>
          <w:rFonts w:cs="Times New Roman"/>
          <w:color w:val="000000"/>
          <w:spacing w:val="-16"/>
          <w:w w:val="105"/>
          <w:szCs w:val="24"/>
        </w:rPr>
        <w:t xml:space="preserve"> </w:t>
      </w:r>
      <w:r w:rsidRPr="003A2B98">
        <w:rPr>
          <w:rFonts w:cs="Times New Roman"/>
          <w:color w:val="000000"/>
          <w:w w:val="105"/>
          <w:szCs w:val="24"/>
        </w:rPr>
        <w:t>rozliczeniowych:</w:t>
      </w:r>
    </w:p>
    <w:p w14:paraId="611FDB3E" w14:textId="77777777" w:rsidR="00051FAD" w:rsidRPr="003A2B98" w:rsidRDefault="00051FAD">
      <w:pPr>
        <w:pStyle w:val="Akapitzlist"/>
        <w:widowControl w:val="0"/>
        <w:numPr>
          <w:ilvl w:val="1"/>
          <w:numId w:val="302"/>
        </w:numPr>
        <w:autoSpaceDE w:val="0"/>
        <w:autoSpaceDN w:val="0"/>
        <w:spacing w:line="249" w:lineRule="auto"/>
        <w:ind w:left="567" w:hanging="283"/>
        <w:jc w:val="both"/>
        <w:rPr>
          <w:rFonts w:cs="Times New Roman"/>
          <w:color w:val="000000"/>
          <w:szCs w:val="24"/>
        </w:rPr>
      </w:pPr>
      <w:r w:rsidRPr="003A2B98">
        <w:rPr>
          <w:rFonts w:cs="Times New Roman"/>
          <w:color w:val="000000"/>
          <w:w w:val="105"/>
          <w:szCs w:val="24"/>
        </w:rPr>
        <w:t xml:space="preserve">Udostępnianie sprzedawcy przez OSDn danych pomiarowych </w:t>
      </w:r>
      <w:r w:rsidRPr="003A2B98">
        <w:rPr>
          <w:rFonts w:cs="Times New Roman"/>
          <w:color w:val="000000"/>
          <w:w w:val="105"/>
          <w:szCs w:val="24"/>
        </w:rPr>
        <w:br/>
        <w:t>i</w:t>
      </w:r>
      <w:r w:rsidRPr="003A2B98">
        <w:rPr>
          <w:rFonts w:cs="Times New Roman"/>
          <w:color w:val="000000"/>
          <w:spacing w:val="-15"/>
          <w:w w:val="105"/>
          <w:szCs w:val="24"/>
        </w:rPr>
        <w:t xml:space="preserve"> </w:t>
      </w:r>
      <w:r w:rsidRPr="003A2B98">
        <w:rPr>
          <w:rFonts w:cs="Times New Roman"/>
          <w:color w:val="000000"/>
          <w:w w:val="105"/>
          <w:szCs w:val="24"/>
        </w:rPr>
        <w:t>rozliczeniowych</w:t>
      </w:r>
      <w:r w:rsidRPr="003A2B98">
        <w:rPr>
          <w:rFonts w:cs="Times New Roman"/>
          <w:color w:val="000000"/>
          <w:spacing w:val="-25"/>
          <w:w w:val="105"/>
          <w:szCs w:val="24"/>
        </w:rPr>
        <w:t xml:space="preserve"> </w:t>
      </w:r>
      <w:r w:rsidRPr="003A2B98">
        <w:rPr>
          <w:rFonts w:cs="Times New Roman"/>
          <w:color w:val="000000"/>
          <w:w w:val="105"/>
          <w:szCs w:val="24"/>
        </w:rPr>
        <w:t>dla</w:t>
      </w:r>
      <w:r w:rsidRPr="003A2B98">
        <w:rPr>
          <w:rFonts w:cs="Times New Roman"/>
          <w:color w:val="000000"/>
          <w:spacing w:val="-13"/>
          <w:w w:val="105"/>
          <w:szCs w:val="24"/>
        </w:rPr>
        <w:t xml:space="preserve"> </w:t>
      </w:r>
      <w:r w:rsidRPr="003A2B98">
        <w:rPr>
          <w:rFonts w:cs="Times New Roman"/>
          <w:color w:val="000000"/>
          <w:w w:val="105"/>
          <w:szCs w:val="24"/>
        </w:rPr>
        <w:t>każdego</w:t>
      </w:r>
      <w:r w:rsidRPr="003A2B98">
        <w:rPr>
          <w:rFonts w:cs="Times New Roman"/>
          <w:color w:val="000000"/>
          <w:spacing w:val="-7"/>
          <w:w w:val="105"/>
          <w:szCs w:val="24"/>
        </w:rPr>
        <w:t xml:space="preserve"> </w:t>
      </w:r>
      <w:r w:rsidRPr="003A2B98">
        <w:rPr>
          <w:rFonts w:cs="Times New Roman"/>
          <w:color w:val="000000"/>
          <w:w w:val="105"/>
          <w:szCs w:val="24"/>
        </w:rPr>
        <w:t>PPE</w:t>
      </w:r>
      <w:r w:rsidRPr="003A2B98">
        <w:rPr>
          <w:rFonts w:cs="Times New Roman"/>
          <w:color w:val="000000"/>
          <w:spacing w:val="-13"/>
          <w:w w:val="105"/>
          <w:szCs w:val="24"/>
        </w:rPr>
        <w:t xml:space="preserve"> </w:t>
      </w:r>
      <w:r w:rsidRPr="003A2B98">
        <w:rPr>
          <w:rFonts w:cs="Times New Roman"/>
          <w:color w:val="000000"/>
          <w:w w:val="105"/>
          <w:szCs w:val="24"/>
        </w:rPr>
        <w:t>odbywa</w:t>
      </w:r>
      <w:r w:rsidRPr="003A2B98">
        <w:rPr>
          <w:rFonts w:cs="Times New Roman"/>
          <w:color w:val="000000"/>
          <w:spacing w:val="-9"/>
          <w:w w:val="105"/>
          <w:szCs w:val="24"/>
        </w:rPr>
        <w:t xml:space="preserve"> </w:t>
      </w:r>
      <w:r w:rsidRPr="003A2B98">
        <w:rPr>
          <w:rFonts w:cs="Times New Roman"/>
          <w:color w:val="000000"/>
          <w:w w:val="105"/>
          <w:szCs w:val="24"/>
        </w:rPr>
        <w:t>się</w:t>
      </w:r>
      <w:r w:rsidRPr="003A2B98">
        <w:rPr>
          <w:rFonts w:cs="Times New Roman"/>
          <w:color w:val="000000"/>
          <w:spacing w:val="-14"/>
          <w:w w:val="105"/>
          <w:szCs w:val="24"/>
        </w:rPr>
        <w:t xml:space="preserve"> </w:t>
      </w:r>
      <w:r w:rsidRPr="003A2B98">
        <w:rPr>
          <w:rFonts w:cs="Times New Roman"/>
          <w:color w:val="000000"/>
          <w:w w:val="105"/>
          <w:szCs w:val="24"/>
        </w:rPr>
        <w:t>na</w:t>
      </w:r>
      <w:r w:rsidRPr="003A2B98">
        <w:rPr>
          <w:rFonts w:cs="Times New Roman"/>
          <w:color w:val="000000"/>
          <w:spacing w:val="-12"/>
          <w:w w:val="105"/>
          <w:szCs w:val="24"/>
        </w:rPr>
        <w:t xml:space="preserve"> </w:t>
      </w:r>
      <w:r w:rsidRPr="003A2B98">
        <w:rPr>
          <w:rFonts w:cs="Times New Roman"/>
          <w:color w:val="000000"/>
          <w:w w:val="105"/>
          <w:szCs w:val="24"/>
        </w:rPr>
        <w:t>zasadach</w:t>
      </w:r>
      <w:r w:rsidRPr="003A2B98">
        <w:rPr>
          <w:rFonts w:cs="Times New Roman"/>
          <w:color w:val="000000"/>
          <w:spacing w:val="-3"/>
          <w:w w:val="105"/>
          <w:szCs w:val="24"/>
        </w:rPr>
        <w:t xml:space="preserve"> </w:t>
      </w:r>
      <w:r w:rsidRPr="003A2B98">
        <w:rPr>
          <w:rFonts w:cs="Times New Roman"/>
          <w:color w:val="000000"/>
          <w:w w:val="105"/>
          <w:szCs w:val="24"/>
        </w:rPr>
        <w:t>określonych</w:t>
      </w:r>
      <w:r w:rsidRPr="003A2B98">
        <w:rPr>
          <w:rFonts w:cs="Times New Roman"/>
          <w:color w:val="000000"/>
          <w:spacing w:val="-4"/>
          <w:w w:val="105"/>
          <w:szCs w:val="24"/>
        </w:rPr>
        <w:t xml:space="preserve"> </w:t>
      </w:r>
      <w:r w:rsidRPr="003A2B98">
        <w:rPr>
          <w:rFonts w:cs="Times New Roman"/>
          <w:color w:val="000000"/>
          <w:spacing w:val="-4"/>
          <w:w w:val="105"/>
          <w:szCs w:val="24"/>
        </w:rPr>
        <w:br/>
      </w:r>
      <w:r w:rsidRPr="003A2B98">
        <w:rPr>
          <w:rFonts w:cs="Times New Roman"/>
          <w:color w:val="000000"/>
          <w:w w:val="105"/>
          <w:szCs w:val="24"/>
        </w:rPr>
        <w:t>w</w:t>
      </w:r>
      <w:r w:rsidRPr="003A2B98">
        <w:rPr>
          <w:rFonts w:cs="Times New Roman"/>
          <w:color w:val="000000"/>
          <w:spacing w:val="-13"/>
          <w:w w:val="105"/>
          <w:szCs w:val="24"/>
        </w:rPr>
        <w:t xml:space="preserve"> </w:t>
      </w:r>
      <w:r w:rsidRPr="003A2B98">
        <w:rPr>
          <w:rFonts w:cs="Times New Roman"/>
          <w:color w:val="000000"/>
          <w:w w:val="105"/>
          <w:szCs w:val="24"/>
        </w:rPr>
        <w:t>IRiESD i Taryfie OSDn.</w:t>
      </w:r>
    </w:p>
    <w:p w14:paraId="1E2ABFE1" w14:textId="77777777" w:rsidR="00051FAD" w:rsidRPr="003A2B98" w:rsidRDefault="00051FAD">
      <w:pPr>
        <w:pStyle w:val="Akapitzlist"/>
        <w:widowControl w:val="0"/>
        <w:numPr>
          <w:ilvl w:val="1"/>
          <w:numId w:val="302"/>
        </w:numPr>
        <w:autoSpaceDE w:val="0"/>
        <w:autoSpaceDN w:val="0"/>
        <w:spacing w:line="252" w:lineRule="auto"/>
        <w:ind w:left="567" w:hanging="283"/>
        <w:jc w:val="both"/>
        <w:rPr>
          <w:rFonts w:cs="Times New Roman"/>
          <w:color w:val="000000"/>
          <w:szCs w:val="24"/>
        </w:rPr>
      </w:pPr>
      <w:r w:rsidRPr="003A2B98">
        <w:rPr>
          <w:rFonts w:cs="Times New Roman"/>
          <w:color w:val="000000"/>
          <w:w w:val="105"/>
          <w:szCs w:val="24"/>
        </w:rPr>
        <w:t>W zakresie danych pomiarowych dotyczących prosumentów lub prosumentów zbiorowych, OSDn udostępnia sprzedawcy dane obejmujące godzinowe ilości energii elektrycznej wprowadzonej i pobranej z sieci dystrybucyjnej OSDn przez prosumenta lub prosumenta zbiorowego przed sumarycznym bilansowaniem i po sumarycznym bilansowaniu ilości energii elektrycznej wprowadzonej do i pobranej z sieci dystrybucyjnej OSDn.</w:t>
      </w:r>
    </w:p>
    <w:p w14:paraId="690FE9DC" w14:textId="7BAACFF6" w:rsidR="00051FAD" w:rsidRPr="003A2B98" w:rsidRDefault="00051FAD">
      <w:pPr>
        <w:pStyle w:val="Akapitzlist"/>
        <w:widowControl w:val="0"/>
        <w:numPr>
          <w:ilvl w:val="1"/>
          <w:numId w:val="302"/>
        </w:numPr>
        <w:autoSpaceDE w:val="0"/>
        <w:autoSpaceDN w:val="0"/>
        <w:spacing w:line="242" w:lineRule="auto"/>
        <w:ind w:left="567" w:hanging="283"/>
        <w:jc w:val="both"/>
        <w:rPr>
          <w:rFonts w:cs="Times New Roman"/>
          <w:color w:val="000000"/>
          <w:szCs w:val="24"/>
        </w:rPr>
      </w:pPr>
      <w:r w:rsidRPr="003A2B98">
        <w:rPr>
          <w:rFonts w:cs="Times New Roman"/>
          <w:color w:val="000000"/>
          <w:szCs w:val="24"/>
        </w:rPr>
        <w:t xml:space="preserve">Dane, o których mowa w ppkt 1 i 2, udostępnione są sprzedawcy poprzez wystawienie ich na wskazany przez OSDn serwer / poprzez system, o którym mowa w GUD-K, </w:t>
      </w:r>
      <w:r w:rsidR="00F077EB">
        <w:rPr>
          <w:rFonts w:cs="Times New Roman"/>
          <w:color w:val="000000"/>
          <w:szCs w:val="24"/>
        </w:rPr>
        <w:br/>
      </w:r>
      <w:r w:rsidRPr="003A2B98">
        <w:rPr>
          <w:rFonts w:cs="Times New Roman"/>
          <w:color w:val="000000"/>
          <w:szCs w:val="24"/>
        </w:rPr>
        <w:t>w formacie określonym zgodnie z</w:t>
      </w:r>
      <w:r w:rsidRPr="003A2B98">
        <w:rPr>
          <w:rFonts w:cs="Times New Roman"/>
          <w:color w:val="000000"/>
          <w:spacing w:val="-15"/>
          <w:szCs w:val="24"/>
        </w:rPr>
        <w:t xml:space="preserve"> </w:t>
      </w:r>
      <w:r w:rsidRPr="003A2B98">
        <w:rPr>
          <w:rFonts w:cs="Times New Roman"/>
          <w:color w:val="000000"/>
          <w:szCs w:val="24"/>
        </w:rPr>
        <w:t>IRiESD.</w:t>
      </w:r>
    </w:p>
    <w:p w14:paraId="228B95EF" w14:textId="77777777" w:rsidR="00051FAD" w:rsidRPr="003A2B98" w:rsidRDefault="00051FAD">
      <w:pPr>
        <w:pStyle w:val="Akapitzlist"/>
        <w:widowControl w:val="0"/>
        <w:numPr>
          <w:ilvl w:val="0"/>
          <w:numId w:val="302"/>
        </w:numPr>
        <w:autoSpaceDE w:val="0"/>
        <w:autoSpaceDN w:val="0"/>
        <w:ind w:left="426" w:hanging="426"/>
        <w:jc w:val="both"/>
        <w:rPr>
          <w:rFonts w:cs="Times New Roman"/>
          <w:color w:val="000000"/>
          <w:szCs w:val="24"/>
        </w:rPr>
      </w:pPr>
      <w:r w:rsidRPr="003A2B98">
        <w:rPr>
          <w:rFonts w:cs="Times New Roman"/>
          <w:color w:val="000000"/>
          <w:szCs w:val="24"/>
        </w:rPr>
        <w:t>Zasady wstrzymania i wznowienia dostarczania energii elektrycznej do odbiorców, w tym odniesienie się do zapisów</w:t>
      </w:r>
      <w:r w:rsidRPr="003A2B98">
        <w:rPr>
          <w:rFonts w:cs="Times New Roman"/>
          <w:color w:val="000000"/>
          <w:spacing w:val="24"/>
          <w:szCs w:val="24"/>
        </w:rPr>
        <w:t xml:space="preserve"> </w:t>
      </w:r>
      <w:r w:rsidRPr="003A2B98">
        <w:rPr>
          <w:rFonts w:cs="Times New Roman"/>
          <w:color w:val="000000"/>
          <w:szCs w:val="24"/>
        </w:rPr>
        <w:t>IRiESD:</w:t>
      </w:r>
    </w:p>
    <w:p w14:paraId="6003B2B6" w14:textId="77777777" w:rsidR="00051FAD" w:rsidRPr="003A2B98" w:rsidRDefault="00051FAD">
      <w:pPr>
        <w:pStyle w:val="Akapitzlist"/>
        <w:widowControl w:val="0"/>
        <w:numPr>
          <w:ilvl w:val="1"/>
          <w:numId w:val="302"/>
        </w:numPr>
        <w:autoSpaceDE w:val="0"/>
        <w:autoSpaceDN w:val="0"/>
        <w:spacing w:line="244" w:lineRule="auto"/>
        <w:ind w:left="567" w:hanging="283"/>
        <w:jc w:val="both"/>
        <w:rPr>
          <w:rFonts w:cs="Times New Roman"/>
          <w:color w:val="000000"/>
          <w:szCs w:val="24"/>
        </w:rPr>
      </w:pPr>
      <w:r w:rsidRPr="003A2B98">
        <w:rPr>
          <w:rFonts w:cs="Times New Roman"/>
          <w:color w:val="000000"/>
          <w:szCs w:val="24"/>
        </w:rPr>
        <w:t>Wstrzymanie oraz wznowienie dostarczania energii elektrycznej odbywa się na zasadach określonych w Ustawie oraz</w:t>
      </w:r>
      <w:r w:rsidRPr="003A2B98">
        <w:rPr>
          <w:rFonts w:cs="Times New Roman"/>
          <w:color w:val="000000"/>
          <w:spacing w:val="43"/>
          <w:szCs w:val="24"/>
        </w:rPr>
        <w:t xml:space="preserve"> </w:t>
      </w:r>
      <w:r w:rsidRPr="003A2B98">
        <w:rPr>
          <w:rFonts w:cs="Times New Roman"/>
          <w:color w:val="000000"/>
          <w:szCs w:val="24"/>
        </w:rPr>
        <w:t>IRiESD.</w:t>
      </w:r>
    </w:p>
    <w:p w14:paraId="08EBD580" w14:textId="77777777" w:rsidR="00051FAD" w:rsidRPr="003A2B98" w:rsidRDefault="00051FAD">
      <w:pPr>
        <w:pStyle w:val="Akapitzlist"/>
        <w:widowControl w:val="0"/>
        <w:numPr>
          <w:ilvl w:val="1"/>
          <w:numId w:val="302"/>
        </w:numPr>
        <w:autoSpaceDE w:val="0"/>
        <w:autoSpaceDN w:val="0"/>
        <w:ind w:left="567" w:hanging="283"/>
        <w:jc w:val="both"/>
        <w:rPr>
          <w:rFonts w:cs="Times New Roman"/>
          <w:color w:val="000000"/>
          <w:szCs w:val="24"/>
        </w:rPr>
      </w:pPr>
      <w:r w:rsidRPr="003A2B98">
        <w:rPr>
          <w:rFonts w:cs="Times New Roman"/>
          <w:color w:val="000000"/>
          <w:szCs w:val="24"/>
        </w:rPr>
        <w:t xml:space="preserve">Wymiana informacji w zakresie wstrzymania i wznowienia dostarczania energii elektrycznej pomiędzy sprzedawcą i OSDn odbywa się w sposób określony, </w:t>
      </w:r>
      <w:r w:rsidRPr="003A2B98">
        <w:rPr>
          <w:rFonts w:cs="Times New Roman"/>
          <w:color w:val="000000"/>
          <w:szCs w:val="24"/>
        </w:rPr>
        <w:br/>
        <w:t>o którym mowa w</w:t>
      </w:r>
      <w:r w:rsidRPr="003A2B98">
        <w:rPr>
          <w:rFonts w:cs="Times New Roman"/>
          <w:color w:val="000000"/>
          <w:spacing w:val="30"/>
          <w:szCs w:val="24"/>
        </w:rPr>
        <w:t xml:space="preserve"> </w:t>
      </w:r>
      <w:r w:rsidRPr="003A2B98">
        <w:rPr>
          <w:rFonts w:cs="Times New Roman"/>
          <w:color w:val="000000"/>
          <w:szCs w:val="24"/>
        </w:rPr>
        <w:t>GUD-K.</w:t>
      </w:r>
    </w:p>
    <w:p w14:paraId="5A6A39C2" w14:textId="77777777" w:rsidR="00051FAD" w:rsidRPr="003A2B98" w:rsidRDefault="00051FAD">
      <w:pPr>
        <w:pStyle w:val="Akapitzlist"/>
        <w:widowControl w:val="0"/>
        <w:numPr>
          <w:ilvl w:val="0"/>
          <w:numId w:val="302"/>
        </w:numPr>
        <w:autoSpaceDE w:val="0"/>
        <w:autoSpaceDN w:val="0"/>
        <w:spacing w:line="261" w:lineRule="exact"/>
        <w:ind w:left="426" w:right="2" w:hanging="426"/>
        <w:jc w:val="both"/>
        <w:rPr>
          <w:rFonts w:cs="Times New Roman"/>
          <w:color w:val="000000"/>
          <w:szCs w:val="24"/>
        </w:rPr>
      </w:pPr>
      <w:r w:rsidRPr="003A2B98">
        <w:rPr>
          <w:rFonts w:cs="Times New Roman"/>
          <w:color w:val="000000"/>
          <w:szCs w:val="24"/>
        </w:rPr>
        <w:t>Ograniczenia w wykonaniu postanowień</w:t>
      </w:r>
      <w:r w:rsidRPr="003A2B98">
        <w:rPr>
          <w:rFonts w:cs="Times New Roman"/>
          <w:color w:val="000000"/>
          <w:spacing w:val="-3"/>
          <w:szCs w:val="24"/>
        </w:rPr>
        <w:t xml:space="preserve"> </w:t>
      </w:r>
      <w:r w:rsidRPr="003A2B98">
        <w:rPr>
          <w:rFonts w:cs="Times New Roman"/>
          <w:color w:val="000000"/>
          <w:szCs w:val="24"/>
        </w:rPr>
        <w:t>GUD-K:</w:t>
      </w:r>
    </w:p>
    <w:p w14:paraId="3836B266" w14:textId="77777777" w:rsidR="00051FAD" w:rsidRPr="003A2B98" w:rsidRDefault="00051FAD">
      <w:pPr>
        <w:pStyle w:val="Akapitzlist"/>
        <w:widowControl w:val="0"/>
        <w:numPr>
          <w:ilvl w:val="0"/>
          <w:numId w:val="305"/>
        </w:numPr>
        <w:autoSpaceDE w:val="0"/>
        <w:autoSpaceDN w:val="0"/>
        <w:ind w:left="567" w:right="2" w:hanging="283"/>
        <w:jc w:val="both"/>
        <w:rPr>
          <w:rFonts w:cs="Times New Roman"/>
          <w:color w:val="000000"/>
          <w:szCs w:val="24"/>
        </w:rPr>
      </w:pPr>
      <w:r w:rsidRPr="003A2B98">
        <w:rPr>
          <w:rFonts w:cs="Times New Roman"/>
          <w:color w:val="000000"/>
          <w:szCs w:val="24"/>
        </w:rPr>
        <w:t xml:space="preserve">OSDn i sprzedawca dopuszczają ograniczenie lub wstrzymanie, w części lub </w:t>
      </w:r>
      <w:r w:rsidRPr="003A2B98">
        <w:rPr>
          <w:rFonts w:cs="Times New Roman"/>
          <w:color w:val="000000"/>
          <w:szCs w:val="24"/>
        </w:rPr>
        <w:br/>
        <w:t xml:space="preserve">w całości, świadczenia usług dystrybucji będących przedmiotem GUD-K, </w:t>
      </w:r>
      <w:r w:rsidRPr="003A2B98">
        <w:rPr>
          <w:rFonts w:cs="Times New Roman"/>
          <w:color w:val="000000"/>
          <w:szCs w:val="24"/>
        </w:rPr>
        <w:br/>
        <w:t>w</w:t>
      </w:r>
      <w:r w:rsidRPr="003A2B98">
        <w:rPr>
          <w:rFonts w:cs="Times New Roman"/>
          <w:color w:val="000000"/>
          <w:spacing w:val="21"/>
          <w:szCs w:val="24"/>
        </w:rPr>
        <w:t xml:space="preserve"> </w:t>
      </w:r>
      <w:r w:rsidRPr="003A2B98">
        <w:rPr>
          <w:rFonts w:cs="Times New Roman"/>
          <w:color w:val="000000"/>
          <w:szCs w:val="24"/>
        </w:rPr>
        <w:t>przypadkach:</w:t>
      </w:r>
    </w:p>
    <w:p w14:paraId="2566D49D" w14:textId="77777777" w:rsidR="00051FAD" w:rsidRPr="003A2B98" w:rsidRDefault="00051FAD">
      <w:pPr>
        <w:pStyle w:val="Akapitzlist"/>
        <w:widowControl w:val="0"/>
        <w:numPr>
          <w:ilvl w:val="1"/>
          <w:numId w:val="305"/>
        </w:numPr>
        <w:autoSpaceDE w:val="0"/>
        <w:autoSpaceDN w:val="0"/>
        <w:ind w:left="709" w:right="2" w:hanging="283"/>
        <w:jc w:val="both"/>
        <w:rPr>
          <w:rFonts w:cs="Times New Roman"/>
          <w:color w:val="000000"/>
          <w:szCs w:val="24"/>
        </w:rPr>
      </w:pPr>
      <w:r w:rsidRPr="003A2B98">
        <w:rPr>
          <w:rFonts w:cs="Times New Roman"/>
          <w:color w:val="000000"/>
          <w:szCs w:val="24"/>
        </w:rPr>
        <w:t>działania</w:t>
      </w:r>
      <w:r w:rsidRPr="003A2B98">
        <w:rPr>
          <w:rFonts w:cs="Times New Roman"/>
          <w:color w:val="000000"/>
          <w:spacing w:val="1"/>
          <w:szCs w:val="24"/>
        </w:rPr>
        <w:t xml:space="preserve"> </w:t>
      </w:r>
      <w:r w:rsidRPr="003A2B98">
        <w:rPr>
          <w:rFonts w:cs="Times New Roman"/>
          <w:color w:val="000000"/>
          <w:szCs w:val="24"/>
        </w:rPr>
        <w:t>siły</w:t>
      </w:r>
      <w:r w:rsidRPr="003A2B98">
        <w:rPr>
          <w:rFonts w:cs="Times New Roman"/>
          <w:color w:val="000000"/>
          <w:spacing w:val="-4"/>
          <w:szCs w:val="24"/>
        </w:rPr>
        <w:t xml:space="preserve"> </w:t>
      </w:r>
      <w:r w:rsidRPr="003A2B98">
        <w:rPr>
          <w:rFonts w:cs="Times New Roman"/>
          <w:color w:val="000000"/>
          <w:szCs w:val="24"/>
        </w:rPr>
        <w:t>wyższej</w:t>
      </w:r>
      <w:r w:rsidRPr="003A2B98">
        <w:rPr>
          <w:rFonts w:cs="Times New Roman"/>
          <w:color w:val="000000"/>
          <w:spacing w:val="-5"/>
          <w:szCs w:val="24"/>
        </w:rPr>
        <w:t xml:space="preserve"> </w:t>
      </w:r>
      <w:r w:rsidRPr="003A2B98">
        <w:rPr>
          <w:rFonts w:cs="Times New Roman"/>
          <w:color w:val="000000"/>
          <w:szCs w:val="24"/>
        </w:rPr>
        <w:t>albo</w:t>
      </w:r>
      <w:r w:rsidRPr="003A2B98">
        <w:rPr>
          <w:rFonts w:cs="Times New Roman"/>
          <w:color w:val="000000"/>
          <w:spacing w:val="-9"/>
          <w:szCs w:val="24"/>
        </w:rPr>
        <w:t xml:space="preserve"> </w:t>
      </w:r>
      <w:r w:rsidRPr="003A2B98">
        <w:rPr>
          <w:rFonts w:cs="Times New Roman"/>
          <w:color w:val="000000"/>
          <w:szCs w:val="24"/>
        </w:rPr>
        <w:t>z</w:t>
      </w:r>
      <w:r w:rsidRPr="003A2B98">
        <w:rPr>
          <w:rFonts w:cs="Times New Roman"/>
          <w:color w:val="000000"/>
          <w:spacing w:val="-13"/>
          <w:szCs w:val="24"/>
        </w:rPr>
        <w:t xml:space="preserve"> </w:t>
      </w:r>
      <w:r w:rsidRPr="003A2B98">
        <w:rPr>
          <w:rFonts w:cs="Times New Roman"/>
          <w:color w:val="000000"/>
          <w:szCs w:val="24"/>
        </w:rPr>
        <w:t>winy</w:t>
      </w:r>
      <w:r w:rsidRPr="003A2B98">
        <w:rPr>
          <w:rFonts w:cs="Times New Roman"/>
          <w:color w:val="000000"/>
          <w:spacing w:val="-2"/>
          <w:szCs w:val="24"/>
        </w:rPr>
        <w:t xml:space="preserve"> </w:t>
      </w:r>
      <w:r w:rsidRPr="003A2B98">
        <w:rPr>
          <w:rFonts w:cs="Times New Roman"/>
          <w:color w:val="000000"/>
          <w:szCs w:val="24"/>
        </w:rPr>
        <w:t>URD</w:t>
      </w:r>
      <w:r w:rsidRPr="003A2B98">
        <w:rPr>
          <w:rFonts w:cs="Times New Roman"/>
          <w:color w:val="000000"/>
          <w:spacing w:val="-9"/>
          <w:szCs w:val="24"/>
        </w:rPr>
        <w:t xml:space="preserve"> </w:t>
      </w:r>
      <w:r w:rsidRPr="003A2B98">
        <w:rPr>
          <w:rFonts w:cs="Times New Roman"/>
          <w:color w:val="000000"/>
          <w:szCs w:val="24"/>
        </w:rPr>
        <w:t>lub</w:t>
      </w:r>
      <w:r w:rsidRPr="003A2B98">
        <w:rPr>
          <w:rFonts w:cs="Times New Roman"/>
          <w:color w:val="000000"/>
          <w:spacing w:val="-15"/>
          <w:szCs w:val="24"/>
        </w:rPr>
        <w:t xml:space="preserve"> </w:t>
      </w:r>
      <w:r w:rsidRPr="003A2B98">
        <w:rPr>
          <w:rFonts w:cs="Times New Roman"/>
          <w:color w:val="000000"/>
          <w:szCs w:val="24"/>
        </w:rPr>
        <w:t>osoby</w:t>
      </w:r>
      <w:r w:rsidRPr="003A2B98">
        <w:rPr>
          <w:rFonts w:cs="Times New Roman"/>
          <w:color w:val="000000"/>
          <w:spacing w:val="1"/>
          <w:szCs w:val="24"/>
        </w:rPr>
        <w:t xml:space="preserve"> </w:t>
      </w:r>
      <w:r w:rsidRPr="003A2B98">
        <w:rPr>
          <w:rFonts w:cs="Times New Roman"/>
          <w:color w:val="000000"/>
          <w:szCs w:val="24"/>
        </w:rPr>
        <w:t>trzeciej,</w:t>
      </w:r>
      <w:r w:rsidRPr="003A2B98">
        <w:rPr>
          <w:rFonts w:cs="Times New Roman"/>
          <w:color w:val="000000"/>
          <w:spacing w:val="-2"/>
          <w:szCs w:val="24"/>
        </w:rPr>
        <w:t xml:space="preserve"> </w:t>
      </w:r>
      <w:r w:rsidRPr="003A2B98">
        <w:rPr>
          <w:rFonts w:cs="Times New Roman"/>
          <w:color w:val="000000"/>
          <w:szCs w:val="24"/>
        </w:rPr>
        <w:t>za</w:t>
      </w:r>
      <w:r w:rsidRPr="003A2B98">
        <w:rPr>
          <w:rFonts w:cs="Times New Roman"/>
          <w:color w:val="000000"/>
          <w:spacing w:val="-8"/>
          <w:szCs w:val="24"/>
        </w:rPr>
        <w:t xml:space="preserve"> </w:t>
      </w:r>
      <w:r w:rsidRPr="003A2B98">
        <w:rPr>
          <w:rFonts w:cs="Times New Roman"/>
          <w:color w:val="000000"/>
          <w:szCs w:val="24"/>
        </w:rPr>
        <w:t>które</w:t>
      </w:r>
      <w:r w:rsidRPr="003A2B98">
        <w:rPr>
          <w:rFonts w:cs="Times New Roman"/>
          <w:color w:val="000000"/>
          <w:spacing w:val="-1"/>
          <w:szCs w:val="24"/>
        </w:rPr>
        <w:t xml:space="preserve"> OSDn</w:t>
      </w:r>
      <w:r w:rsidRPr="003A2B98">
        <w:rPr>
          <w:rFonts w:cs="Times New Roman"/>
          <w:color w:val="000000"/>
          <w:spacing w:val="-1"/>
          <w:szCs w:val="24"/>
        </w:rPr>
        <w:br/>
      </w:r>
      <w:r w:rsidRPr="003A2B98">
        <w:rPr>
          <w:rFonts w:cs="Times New Roman"/>
          <w:color w:val="000000"/>
          <w:szCs w:val="24"/>
        </w:rPr>
        <w:t>i sprzedawca nie ponosi</w:t>
      </w:r>
      <w:r w:rsidRPr="003A2B98">
        <w:rPr>
          <w:rFonts w:cs="Times New Roman"/>
          <w:color w:val="000000"/>
          <w:spacing w:val="36"/>
          <w:szCs w:val="24"/>
        </w:rPr>
        <w:t xml:space="preserve"> </w:t>
      </w:r>
      <w:r w:rsidRPr="003A2B98">
        <w:rPr>
          <w:rFonts w:cs="Times New Roman"/>
          <w:color w:val="000000"/>
          <w:szCs w:val="24"/>
        </w:rPr>
        <w:t>odpowiedzialności;</w:t>
      </w:r>
    </w:p>
    <w:p w14:paraId="74F7518A" w14:textId="77777777" w:rsidR="00051FAD" w:rsidRPr="003A2B98" w:rsidRDefault="00051FAD">
      <w:pPr>
        <w:pStyle w:val="Akapitzlist"/>
        <w:widowControl w:val="0"/>
        <w:numPr>
          <w:ilvl w:val="1"/>
          <w:numId w:val="305"/>
        </w:numPr>
        <w:autoSpaceDE w:val="0"/>
        <w:autoSpaceDN w:val="0"/>
        <w:ind w:left="709" w:right="2" w:hanging="283"/>
        <w:jc w:val="both"/>
        <w:rPr>
          <w:rFonts w:cs="Times New Roman"/>
          <w:color w:val="000000"/>
          <w:szCs w:val="24"/>
        </w:rPr>
      </w:pPr>
      <w:r w:rsidRPr="003A2B98">
        <w:rPr>
          <w:rFonts w:cs="Times New Roman"/>
          <w:color w:val="000000"/>
          <w:szCs w:val="24"/>
        </w:rPr>
        <w:t>ograniczenia w dostarczaniu energii elektrycznej w związku z zagrożeniem życia, zdrowia, mienia lub</w:t>
      </w:r>
      <w:r w:rsidRPr="003A2B98">
        <w:rPr>
          <w:rFonts w:cs="Times New Roman"/>
          <w:color w:val="000000"/>
          <w:spacing w:val="23"/>
          <w:szCs w:val="24"/>
        </w:rPr>
        <w:t xml:space="preserve"> </w:t>
      </w:r>
      <w:r w:rsidRPr="003A2B98">
        <w:rPr>
          <w:rFonts w:cs="Times New Roman"/>
          <w:color w:val="000000"/>
          <w:szCs w:val="24"/>
        </w:rPr>
        <w:t>środowiska;</w:t>
      </w:r>
    </w:p>
    <w:p w14:paraId="4F00186A" w14:textId="77777777" w:rsidR="00051FAD" w:rsidRPr="003A2B98" w:rsidRDefault="00051FAD">
      <w:pPr>
        <w:pStyle w:val="Akapitzlist"/>
        <w:widowControl w:val="0"/>
        <w:numPr>
          <w:ilvl w:val="1"/>
          <w:numId w:val="305"/>
        </w:numPr>
        <w:autoSpaceDE w:val="0"/>
        <w:autoSpaceDN w:val="0"/>
        <w:ind w:left="709" w:right="2" w:hanging="283"/>
        <w:jc w:val="both"/>
        <w:rPr>
          <w:rFonts w:cs="Times New Roman"/>
          <w:color w:val="000000"/>
          <w:szCs w:val="24"/>
        </w:rPr>
      </w:pPr>
      <w:r w:rsidRPr="003A2B98">
        <w:rPr>
          <w:rFonts w:cs="Times New Roman"/>
          <w:color w:val="000000"/>
          <w:szCs w:val="24"/>
        </w:rPr>
        <w:t>przerwy w dostarczaniu energii elektrycznej, przez czas i na warunkach określonych zgodnie z przepisami</w:t>
      </w:r>
      <w:r w:rsidRPr="003A2B98">
        <w:rPr>
          <w:rFonts w:cs="Times New Roman"/>
          <w:color w:val="000000"/>
          <w:spacing w:val="-11"/>
          <w:szCs w:val="24"/>
        </w:rPr>
        <w:t xml:space="preserve"> </w:t>
      </w:r>
      <w:r w:rsidRPr="003A2B98">
        <w:rPr>
          <w:rFonts w:cs="Times New Roman"/>
          <w:color w:val="000000"/>
          <w:szCs w:val="24"/>
        </w:rPr>
        <w:t>prawa;</w:t>
      </w:r>
    </w:p>
    <w:p w14:paraId="51B568F5" w14:textId="62F909D3" w:rsidR="00051FAD" w:rsidRPr="003A2B98" w:rsidRDefault="00051FAD">
      <w:pPr>
        <w:pStyle w:val="Akapitzlist"/>
        <w:widowControl w:val="0"/>
        <w:numPr>
          <w:ilvl w:val="1"/>
          <w:numId w:val="305"/>
        </w:numPr>
        <w:autoSpaceDE w:val="0"/>
        <w:autoSpaceDN w:val="0"/>
        <w:spacing w:line="244" w:lineRule="auto"/>
        <w:ind w:left="709" w:right="2" w:hanging="283"/>
        <w:jc w:val="both"/>
        <w:rPr>
          <w:rFonts w:cs="Times New Roman"/>
          <w:color w:val="000000"/>
          <w:szCs w:val="24"/>
        </w:rPr>
      </w:pPr>
      <w:r w:rsidRPr="003A2B98">
        <w:rPr>
          <w:rFonts w:cs="Times New Roman"/>
          <w:color w:val="000000"/>
          <w:szCs w:val="24"/>
        </w:rPr>
        <w:t xml:space="preserve">ograniczenia w dostarczaniu mocy i energii elektrycznej wprowadzonymi zgodnie </w:t>
      </w:r>
      <w:r w:rsidR="00F077EB">
        <w:rPr>
          <w:rFonts w:cs="Times New Roman"/>
          <w:color w:val="000000"/>
          <w:szCs w:val="24"/>
        </w:rPr>
        <w:br/>
      </w:r>
      <w:r w:rsidRPr="003A2B98">
        <w:rPr>
          <w:rFonts w:cs="Times New Roman"/>
          <w:color w:val="000000"/>
          <w:szCs w:val="24"/>
        </w:rPr>
        <w:t>z Ustawą wraz z aktami wykonawczymi wydanymi do tej</w:t>
      </w:r>
      <w:r w:rsidRPr="003A2B98">
        <w:rPr>
          <w:rFonts w:cs="Times New Roman"/>
          <w:color w:val="000000"/>
          <w:spacing w:val="6"/>
          <w:szCs w:val="24"/>
        </w:rPr>
        <w:t xml:space="preserve"> </w:t>
      </w:r>
      <w:r w:rsidRPr="003A2B98">
        <w:rPr>
          <w:rFonts w:cs="Times New Roman"/>
          <w:color w:val="000000"/>
          <w:szCs w:val="24"/>
        </w:rPr>
        <w:t>Ustawy;</w:t>
      </w:r>
    </w:p>
    <w:p w14:paraId="37885FAA" w14:textId="77777777" w:rsidR="00051FAD" w:rsidRPr="003A2B98" w:rsidRDefault="00051FAD">
      <w:pPr>
        <w:pStyle w:val="Akapitzlist"/>
        <w:widowControl w:val="0"/>
        <w:numPr>
          <w:ilvl w:val="1"/>
          <w:numId w:val="305"/>
        </w:numPr>
        <w:autoSpaceDE w:val="0"/>
        <w:autoSpaceDN w:val="0"/>
        <w:ind w:left="709" w:right="2" w:hanging="283"/>
        <w:jc w:val="both"/>
        <w:rPr>
          <w:rFonts w:cs="Times New Roman"/>
          <w:color w:val="000000"/>
          <w:szCs w:val="24"/>
        </w:rPr>
      </w:pPr>
      <w:r w:rsidRPr="003A2B98">
        <w:rPr>
          <w:rFonts w:cs="Times New Roman"/>
          <w:color w:val="000000"/>
          <w:szCs w:val="24"/>
        </w:rPr>
        <w:t xml:space="preserve">wystąpienia zdarzeń upoważniających do ograniczenia lub wstrzymania, </w:t>
      </w:r>
      <w:r w:rsidRPr="003A2B98">
        <w:rPr>
          <w:rFonts w:cs="Times New Roman"/>
          <w:color w:val="000000"/>
          <w:szCs w:val="24"/>
        </w:rPr>
        <w:br/>
        <w:t xml:space="preserve">w części lub w całości, świadczenia usług dystrybucji przewidzianych </w:t>
      </w:r>
      <w:r w:rsidRPr="003A2B98">
        <w:rPr>
          <w:rFonts w:cs="Times New Roman"/>
          <w:color w:val="000000"/>
          <w:szCs w:val="24"/>
        </w:rPr>
        <w:br/>
        <w:t>w Ustawie i w GUD-K wraz z</w:t>
      </w:r>
      <w:r w:rsidRPr="003A2B98">
        <w:rPr>
          <w:rFonts w:cs="Times New Roman"/>
          <w:color w:val="000000"/>
          <w:spacing w:val="-6"/>
          <w:szCs w:val="24"/>
        </w:rPr>
        <w:t xml:space="preserve"> </w:t>
      </w:r>
      <w:r w:rsidRPr="003A2B98">
        <w:rPr>
          <w:rFonts w:cs="Times New Roman"/>
          <w:color w:val="000000"/>
          <w:szCs w:val="24"/>
        </w:rPr>
        <w:t>IRiESD;</w:t>
      </w:r>
    </w:p>
    <w:p w14:paraId="05CABC60" w14:textId="06FACE6E" w:rsidR="00051FAD" w:rsidRPr="003A2B98" w:rsidRDefault="00051FAD">
      <w:pPr>
        <w:pStyle w:val="Akapitzlist"/>
        <w:widowControl w:val="0"/>
        <w:numPr>
          <w:ilvl w:val="1"/>
          <w:numId w:val="305"/>
        </w:numPr>
        <w:autoSpaceDE w:val="0"/>
        <w:autoSpaceDN w:val="0"/>
        <w:spacing w:line="242" w:lineRule="auto"/>
        <w:ind w:left="709" w:right="2" w:hanging="283"/>
        <w:jc w:val="both"/>
        <w:rPr>
          <w:rFonts w:cs="Times New Roman"/>
          <w:color w:val="000000"/>
          <w:szCs w:val="24"/>
        </w:rPr>
      </w:pPr>
      <w:r w:rsidRPr="003A2B98">
        <w:rPr>
          <w:rFonts w:cs="Times New Roman"/>
          <w:color w:val="000000"/>
          <w:szCs w:val="24"/>
        </w:rPr>
        <w:t>zaprzestania, niezależnie od przyczyny, bilansowania handlowego</w:t>
      </w:r>
      <w:r w:rsidRPr="003A2B98">
        <w:rPr>
          <w:rFonts w:cs="Times New Roman"/>
          <w:color w:val="000000"/>
          <w:spacing w:val="-41"/>
          <w:szCs w:val="24"/>
        </w:rPr>
        <w:t xml:space="preserve"> </w:t>
      </w:r>
      <w:r w:rsidRPr="003A2B98">
        <w:rPr>
          <w:rFonts w:cs="Times New Roman"/>
          <w:color w:val="000000"/>
          <w:szCs w:val="24"/>
        </w:rPr>
        <w:t>sprzedawcy przez POB, w szczególności w przypadku zawieszenia lub zaprzestania działalności POB na</w:t>
      </w:r>
      <w:r w:rsidRPr="003A2B98">
        <w:rPr>
          <w:rFonts w:cs="Times New Roman"/>
          <w:color w:val="000000"/>
          <w:spacing w:val="-17"/>
          <w:szCs w:val="24"/>
        </w:rPr>
        <w:t xml:space="preserve"> </w:t>
      </w:r>
      <w:r w:rsidRPr="003A2B98">
        <w:rPr>
          <w:rFonts w:cs="Times New Roman"/>
          <w:color w:val="000000"/>
          <w:szCs w:val="24"/>
        </w:rPr>
        <w:t>RB;</w:t>
      </w:r>
    </w:p>
    <w:p w14:paraId="4DA96A84" w14:textId="77777777" w:rsidR="00051FAD" w:rsidRPr="003A2B98" w:rsidRDefault="00051FAD">
      <w:pPr>
        <w:pStyle w:val="Akapitzlist"/>
        <w:widowControl w:val="0"/>
        <w:numPr>
          <w:ilvl w:val="1"/>
          <w:numId w:val="305"/>
        </w:numPr>
        <w:autoSpaceDE w:val="0"/>
        <w:autoSpaceDN w:val="0"/>
        <w:ind w:left="709" w:right="2" w:hanging="283"/>
        <w:jc w:val="both"/>
        <w:rPr>
          <w:rFonts w:cs="Times New Roman"/>
          <w:color w:val="000000"/>
          <w:szCs w:val="24"/>
        </w:rPr>
      </w:pPr>
      <w:r w:rsidRPr="003A2B98">
        <w:rPr>
          <w:rFonts w:cs="Times New Roman"/>
          <w:color w:val="000000"/>
          <w:szCs w:val="24"/>
        </w:rPr>
        <w:t>nieustanowienia, nieuzupełnienia lub nieodnowienia przez sprzedawcę na rzecz OSDn zabezpieczenia należytego wykonania</w:t>
      </w:r>
      <w:r w:rsidRPr="003A2B98">
        <w:rPr>
          <w:rFonts w:cs="Times New Roman"/>
          <w:color w:val="000000"/>
          <w:spacing w:val="1"/>
          <w:szCs w:val="24"/>
        </w:rPr>
        <w:t xml:space="preserve"> </w:t>
      </w:r>
      <w:r w:rsidRPr="003A2B98">
        <w:rPr>
          <w:rFonts w:cs="Times New Roman"/>
          <w:color w:val="000000"/>
          <w:szCs w:val="24"/>
        </w:rPr>
        <w:t>Umowy.</w:t>
      </w:r>
    </w:p>
    <w:p w14:paraId="77683A44" w14:textId="77777777" w:rsidR="00051FAD" w:rsidRPr="003A2B98" w:rsidRDefault="00051FAD">
      <w:pPr>
        <w:pStyle w:val="Akapitzlist"/>
        <w:widowControl w:val="0"/>
        <w:numPr>
          <w:ilvl w:val="0"/>
          <w:numId w:val="304"/>
        </w:numPr>
        <w:autoSpaceDE w:val="0"/>
        <w:autoSpaceDN w:val="0"/>
        <w:spacing w:line="237" w:lineRule="auto"/>
        <w:ind w:left="426" w:right="2" w:hanging="284"/>
        <w:jc w:val="both"/>
        <w:rPr>
          <w:rFonts w:cs="Times New Roman"/>
          <w:color w:val="000000"/>
          <w:szCs w:val="24"/>
        </w:rPr>
      </w:pPr>
      <w:r w:rsidRPr="003A2B98">
        <w:rPr>
          <w:rFonts w:cs="Times New Roman"/>
          <w:color w:val="000000"/>
          <w:szCs w:val="24"/>
        </w:rPr>
        <w:t xml:space="preserve">Ograniczenie lub wstrzymanie, o których mowa w pkt l, możliwe jest tylko </w:t>
      </w:r>
      <w:r w:rsidRPr="003A2B98">
        <w:rPr>
          <w:rFonts w:cs="Times New Roman"/>
          <w:color w:val="000000"/>
          <w:szCs w:val="24"/>
        </w:rPr>
        <w:br/>
        <w:t>w takim zakresie, w jakim zaistnienie danej przyczyny uniemożliwia realizację GUD-K.</w:t>
      </w:r>
      <w:r w:rsidRPr="003A2B98">
        <w:rPr>
          <w:rFonts w:cs="Times New Roman"/>
          <w:color w:val="000000"/>
          <w:spacing w:val="-15"/>
          <w:szCs w:val="24"/>
        </w:rPr>
        <w:t xml:space="preserve"> </w:t>
      </w:r>
      <w:r>
        <w:rPr>
          <w:rFonts w:cs="Times New Roman"/>
          <w:color w:val="000000"/>
          <w:spacing w:val="-15"/>
          <w:szCs w:val="24"/>
        </w:rPr>
        <w:br/>
      </w:r>
      <w:r w:rsidRPr="003A2B98">
        <w:rPr>
          <w:rFonts w:cs="Times New Roman"/>
          <w:color w:val="000000"/>
          <w:szCs w:val="24"/>
        </w:rPr>
        <w:t>W</w:t>
      </w:r>
      <w:r w:rsidRPr="003A2B98">
        <w:rPr>
          <w:rFonts w:cs="Times New Roman"/>
          <w:color w:val="000000"/>
          <w:spacing w:val="-22"/>
          <w:szCs w:val="24"/>
        </w:rPr>
        <w:t xml:space="preserve"> </w:t>
      </w:r>
      <w:r w:rsidRPr="003A2B98">
        <w:rPr>
          <w:rFonts w:cs="Times New Roman"/>
          <w:color w:val="000000"/>
          <w:szCs w:val="24"/>
        </w:rPr>
        <w:t>szczególności</w:t>
      </w:r>
      <w:r w:rsidRPr="003A2B98">
        <w:rPr>
          <w:rFonts w:cs="Times New Roman"/>
          <w:color w:val="000000"/>
          <w:spacing w:val="-6"/>
          <w:szCs w:val="24"/>
        </w:rPr>
        <w:t xml:space="preserve"> </w:t>
      </w:r>
      <w:r w:rsidRPr="003A2B98">
        <w:rPr>
          <w:rFonts w:cs="Times New Roman"/>
          <w:color w:val="000000"/>
          <w:szCs w:val="24"/>
        </w:rPr>
        <w:t>zaistnienie</w:t>
      </w:r>
      <w:r w:rsidRPr="003A2B98">
        <w:rPr>
          <w:rFonts w:cs="Times New Roman"/>
          <w:color w:val="000000"/>
          <w:spacing w:val="28"/>
          <w:szCs w:val="24"/>
        </w:rPr>
        <w:t xml:space="preserve"> </w:t>
      </w:r>
      <w:r w:rsidRPr="003A2B98">
        <w:rPr>
          <w:rFonts w:cs="Times New Roman"/>
          <w:color w:val="000000"/>
          <w:szCs w:val="24"/>
        </w:rPr>
        <w:t>przesłanki</w:t>
      </w:r>
      <w:r w:rsidRPr="003A2B98">
        <w:rPr>
          <w:rFonts w:cs="Times New Roman"/>
          <w:color w:val="000000"/>
          <w:spacing w:val="-9"/>
          <w:szCs w:val="24"/>
        </w:rPr>
        <w:t xml:space="preserve"> </w:t>
      </w:r>
      <w:r w:rsidRPr="003A2B98">
        <w:rPr>
          <w:rFonts w:cs="Times New Roman"/>
          <w:color w:val="000000"/>
          <w:szCs w:val="24"/>
        </w:rPr>
        <w:t>określonej</w:t>
      </w:r>
      <w:r w:rsidRPr="003A2B98">
        <w:rPr>
          <w:rFonts w:cs="Times New Roman"/>
          <w:color w:val="000000"/>
          <w:spacing w:val="-10"/>
          <w:szCs w:val="24"/>
        </w:rPr>
        <w:t xml:space="preserve"> </w:t>
      </w:r>
      <w:r w:rsidRPr="003A2B98">
        <w:rPr>
          <w:rFonts w:cs="Times New Roman"/>
          <w:color w:val="000000"/>
          <w:szCs w:val="24"/>
        </w:rPr>
        <w:t>w</w:t>
      </w:r>
      <w:r w:rsidRPr="003A2B98">
        <w:rPr>
          <w:rFonts w:cs="Times New Roman"/>
          <w:color w:val="000000"/>
          <w:spacing w:val="-21"/>
          <w:szCs w:val="24"/>
        </w:rPr>
        <w:t xml:space="preserve"> </w:t>
      </w:r>
      <w:r w:rsidRPr="003A2B98">
        <w:rPr>
          <w:rFonts w:cs="Times New Roman"/>
          <w:color w:val="000000"/>
          <w:szCs w:val="24"/>
        </w:rPr>
        <w:t>pkt</w:t>
      </w:r>
      <w:r w:rsidRPr="003A2B98">
        <w:rPr>
          <w:rFonts w:cs="Times New Roman"/>
          <w:color w:val="000000"/>
          <w:spacing w:val="-19"/>
          <w:szCs w:val="24"/>
        </w:rPr>
        <w:t xml:space="preserve"> </w:t>
      </w:r>
      <w:r w:rsidRPr="003A2B98">
        <w:rPr>
          <w:rFonts w:cs="Times New Roman"/>
          <w:color w:val="000000"/>
          <w:szCs w:val="24"/>
        </w:rPr>
        <w:t>1</w:t>
      </w:r>
      <w:r w:rsidRPr="003A2B98">
        <w:rPr>
          <w:rFonts w:cs="Times New Roman"/>
          <w:color w:val="000000"/>
          <w:spacing w:val="-9"/>
          <w:szCs w:val="24"/>
        </w:rPr>
        <w:t xml:space="preserve"> </w:t>
      </w:r>
      <w:r w:rsidRPr="003A2B98">
        <w:rPr>
          <w:rFonts w:cs="Times New Roman"/>
          <w:color w:val="000000"/>
          <w:szCs w:val="24"/>
        </w:rPr>
        <w:t>ppkt</w:t>
      </w:r>
      <w:r w:rsidRPr="003A2B98">
        <w:rPr>
          <w:rFonts w:cs="Times New Roman"/>
          <w:color w:val="000000"/>
          <w:spacing w:val="-14"/>
          <w:szCs w:val="24"/>
        </w:rPr>
        <w:t xml:space="preserve"> </w:t>
      </w:r>
      <w:r w:rsidRPr="003A2B98">
        <w:rPr>
          <w:rFonts w:cs="Times New Roman"/>
          <w:color w:val="000000"/>
          <w:szCs w:val="24"/>
        </w:rPr>
        <w:t>7)</w:t>
      </w:r>
      <w:r w:rsidRPr="003A2B98">
        <w:rPr>
          <w:rFonts w:cs="Times New Roman"/>
          <w:color w:val="000000"/>
          <w:spacing w:val="-19"/>
          <w:szCs w:val="24"/>
        </w:rPr>
        <w:t xml:space="preserve"> </w:t>
      </w:r>
      <w:r w:rsidRPr="003A2B98">
        <w:rPr>
          <w:rFonts w:cs="Times New Roman"/>
          <w:color w:val="000000"/>
          <w:szCs w:val="24"/>
        </w:rPr>
        <w:t>powyżej może</w:t>
      </w:r>
      <w:r w:rsidRPr="003A2B98">
        <w:rPr>
          <w:rFonts w:cs="Times New Roman"/>
          <w:color w:val="000000"/>
          <w:spacing w:val="-13"/>
          <w:szCs w:val="24"/>
        </w:rPr>
        <w:t xml:space="preserve"> </w:t>
      </w:r>
      <w:r w:rsidRPr="003A2B98">
        <w:rPr>
          <w:rFonts w:cs="Times New Roman"/>
          <w:color w:val="000000"/>
          <w:szCs w:val="24"/>
        </w:rPr>
        <w:t>polegać</w:t>
      </w:r>
      <w:r w:rsidRPr="003A2B98">
        <w:rPr>
          <w:rFonts w:cs="Times New Roman"/>
          <w:color w:val="000000"/>
          <w:spacing w:val="-11"/>
          <w:szCs w:val="24"/>
        </w:rPr>
        <w:t xml:space="preserve"> </w:t>
      </w:r>
      <w:r w:rsidRPr="003A2B98">
        <w:rPr>
          <w:rFonts w:cs="Times New Roman"/>
          <w:color w:val="000000"/>
          <w:szCs w:val="24"/>
        </w:rPr>
        <w:t>na</w:t>
      </w:r>
      <w:r w:rsidRPr="003A2B98">
        <w:rPr>
          <w:rFonts w:cs="Times New Roman"/>
          <w:color w:val="000000"/>
          <w:spacing w:val="-15"/>
          <w:szCs w:val="24"/>
        </w:rPr>
        <w:t xml:space="preserve"> </w:t>
      </w:r>
      <w:r w:rsidRPr="003A2B98">
        <w:rPr>
          <w:rFonts w:cs="Times New Roman"/>
          <w:color w:val="000000"/>
          <w:szCs w:val="24"/>
        </w:rPr>
        <w:t>wstrzymaniu</w:t>
      </w:r>
      <w:r w:rsidRPr="003A2B98">
        <w:rPr>
          <w:rFonts w:cs="Times New Roman"/>
          <w:color w:val="000000"/>
          <w:spacing w:val="6"/>
          <w:szCs w:val="24"/>
        </w:rPr>
        <w:t xml:space="preserve"> </w:t>
      </w:r>
      <w:r w:rsidRPr="003A2B98">
        <w:rPr>
          <w:rFonts w:cs="Times New Roman"/>
          <w:color w:val="000000"/>
          <w:szCs w:val="24"/>
        </w:rPr>
        <w:t>przyjmowania</w:t>
      </w:r>
      <w:r w:rsidRPr="003A2B98">
        <w:rPr>
          <w:rFonts w:cs="Times New Roman"/>
          <w:color w:val="000000"/>
          <w:spacing w:val="3"/>
          <w:szCs w:val="24"/>
        </w:rPr>
        <w:t xml:space="preserve"> </w:t>
      </w:r>
      <w:r w:rsidRPr="003A2B98">
        <w:rPr>
          <w:rFonts w:cs="Times New Roman"/>
          <w:color w:val="000000"/>
          <w:szCs w:val="24"/>
        </w:rPr>
        <w:t>przez</w:t>
      </w:r>
      <w:r w:rsidRPr="003A2B98">
        <w:rPr>
          <w:rFonts w:cs="Times New Roman"/>
          <w:color w:val="000000"/>
          <w:spacing w:val="-14"/>
          <w:szCs w:val="24"/>
        </w:rPr>
        <w:t xml:space="preserve"> OSDn </w:t>
      </w:r>
      <w:r w:rsidRPr="003A2B98">
        <w:rPr>
          <w:rFonts w:cs="Times New Roman"/>
          <w:color w:val="000000"/>
          <w:szCs w:val="24"/>
        </w:rPr>
        <w:t>nowych zgłoszeń dotyczących zawarcia przez sprzedawcę umów</w:t>
      </w:r>
      <w:r w:rsidRPr="003A2B98">
        <w:rPr>
          <w:rFonts w:cs="Times New Roman"/>
          <w:color w:val="000000"/>
          <w:spacing w:val="5"/>
          <w:szCs w:val="24"/>
        </w:rPr>
        <w:t xml:space="preserve"> </w:t>
      </w:r>
      <w:r w:rsidRPr="003A2B98">
        <w:rPr>
          <w:rFonts w:cs="Times New Roman"/>
          <w:color w:val="000000"/>
          <w:szCs w:val="24"/>
        </w:rPr>
        <w:t>kompleksowych.</w:t>
      </w:r>
    </w:p>
    <w:p w14:paraId="74904D9E" w14:textId="77777777" w:rsidR="00051FAD" w:rsidRPr="003A2B98" w:rsidRDefault="00051FAD">
      <w:pPr>
        <w:pStyle w:val="Akapitzlist"/>
        <w:widowControl w:val="0"/>
        <w:numPr>
          <w:ilvl w:val="0"/>
          <w:numId w:val="304"/>
        </w:numPr>
        <w:autoSpaceDE w:val="0"/>
        <w:autoSpaceDN w:val="0"/>
        <w:ind w:left="426" w:right="2" w:hanging="284"/>
        <w:jc w:val="both"/>
        <w:rPr>
          <w:rFonts w:cs="Times New Roman"/>
          <w:color w:val="000000"/>
          <w:szCs w:val="24"/>
        </w:rPr>
      </w:pPr>
      <w:r w:rsidRPr="003A2B98">
        <w:rPr>
          <w:rFonts w:cs="Times New Roman"/>
          <w:color w:val="000000"/>
          <w:szCs w:val="24"/>
        </w:rPr>
        <w:t>Świadczenie usług dystrybucji będących przedmiotem GUD-K następuje niezwłocznie po ustaniu przyczyn ograniczenia lub wstrzymania, o których mowa w ppkt</w:t>
      </w:r>
      <w:r w:rsidRPr="003A2B98">
        <w:rPr>
          <w:rFonts w:cs="Times New Roman"/>
          <w:color w:val="000000"/>
          <w:spacing w:val="11"/>
          <w:szCs w:val="24"/>
        </w:rPr>
        <w:t xml:space="preserve"> </w:t>
      </w:r>
      <w:r w:rsidRPr="003A2B98">
        <w:rPr>
          <w:rFonts w:cs="Times New Roman"/>
          <w:color w:val="000000"/>
          <w:szCs w:val="24"/>
        </w:rPr>
        <w:t>1.</w:t>
      </w:r>
    </w:p>
    <w:p w14:paraId="5EFE9D9C" w14:textId="77777777" w:rsidR="00051FAD" w:rsidRPr="003A2B98" w:rsidRDefault="00051FAD">
      <w:pPr>
        <w:pStyle w:val="Akapitzlist"/>
        <w:widowControl w:val="0"/>
        <w:numPr>
          <w:ilvl w:val="0"/>
          <w:numId w:val="304"/>
        </w:numPr>
        <w:autoSpaceDE w:val="0"/>
        <w:autoSpaceDN w:val="0"/>
        <w:ind w:left="426" w:right="2" w:hanging="284"/>
        <w:jc w:val="both"/>
        <w:rPr>
          <w:rFonts w:cs="Times New Roman"/>
          <w:color w:val="000000"/>
          <w:szCs w:val="24"/>
        </w:rPr>
      </w:pPr>
      <w:r w:rsidRPr="003A2B98">
        <w:rPr>
          <w:rFonts w:cs="Times New Roman"/>
          <w:color w:val="000000"/>
          <w:szCs w:val="24"/>
        </w:rPr>
        <w:t>Sprzedawca zobowiązuje się do zawierania umów kompleksowych na warunkach określonych w GUD-K oraz</w:t>
      </w:r>
      <w:r w:rsidRPr="003A2B98">
        <w:rPr>
          <w:rFonts w:cs="Times New Roman"/>
          <w:color w:val="000000"/>
          <w:spacing w:val="-16"/>
          <w:szCs w:val="24"/>
        </w:rPr>
        <w:t xml:space="preserve"> </w:t>
      </w:r>
      <w:r w:rsidRPr="003A2B98">
        <w:rPr>
          <w:rFonts w:cs="Times New Roman"/>
          <w:color w:val="000000"/>
          <w:szCs w:val="24"/>
        </w:rPr>
        <w:t>IRiESD.</w:t>
      </w:r>
    </w:p>
    <w:p w14:paraId="68F14336" w14:textId="77777777" w:rsidR="00051FAD" w:rsidRPr="003A2B98" w:rsidRDefault="00051FAD">
      <w:pPr>
        <w:pStyle w:val="Akapitzlist"/>
        <w:widowControl w:val="0"/>
        <w:numPr>
          <w:ilvl w:val="0"/>
          <w:numId w:val="304"/>
        </w:numPr>
        <w:autoSpaceDE w:val="0"/>
        <w:autoSpaceDN w:val="0"/>
        <w:spacing w:line="242" w:lineRule="auto"/>
        <w:ind w:left="426" w:hanging="284"/>
        <w:jc w:val="both"/>
        <w:rPr>
          <w:rFonts w:cs="Times New Roman"/>
          <w:color w:val="000000"/>
          <w:szCs w:val="24"/>
        </w:rPr>
      </w:pPr>
      <w:r w:rsidRPr="003A2B98">
        <w:rPr>
          <w:rFonts w:cs="Times New Roman"/>
          <w:color w:val="000000"/>
          <w:szCs w:val="24"/>
        </w:rPr>
        <w:t>Wstrzymanie dostarczania energii elektrycznej URD będącego prosumentem energii odnawialnej powoduje równocześnie wstrzymanie możliwości dostarczania do sieci dystrybucyjnej OSDn energii wytworzonej przez tego URD.</w:t>
      </w:r>
    </w:p>
    <w:p w14:paraId="0AAC4AC8" w14:textId="77777777" w:rsidR="00051FAD" w:rsidRPr="003A2B98" w:rsidRDefault="00051FAD">
      <w:pPr>
        <w:pStyle w:val="Akapitzlist"/>
        <w:widowControl w:val="0"/>
        <w:numPr>
          <w:ilvl w:val="0"/>
          <w:numId w:val="302"/>
        </w:numPr>
        <w:autoSpaceDE w:val="0"/>
        <w:autoSpaceDN w:val="0"/>
        <w:ind w:left="567" w:hanging="567"/>
        <w:jc w:val="both"/>
        <w:rPr>
          <w:rFonts w:cs="Times New Roman"/>
          <w:color w:val="000000"/>
          <w:szCs w:val="24"/>
        </w:rPr>
      </w:pPr>
      <w:r w:rsidRPr="003A2B98">
        <w:rPr>
          <w:rFonts w:cs="Times New Roman"/>
          <w:color w:val="000000"/>
          <w:szCs w:val="24"/>
        </w:rPr>
        <w:t>Postępowanie reklamacyjne i tryb rozstrzygania sporów oraz realizacji obowiązków informacyjnych:</w:t>
      </w:r>
    </w:p>
    <w:p w14:paraId="0EBD9E2C" w14:textId="77777777" w:rsidR="00051FAD" w:rsidRPr="003A2B98" w:rsidRDefault="00051FAD">
      <w:pPr>
        <w:pStyle w:val="Akapitzlist"/>
        <w:widowControl w:val="0"/>
        <w:numPr>
          <w:ilvl w:val="1"/>
          <w:numId w:val="302"/>
        </w:numPr>
        <w:autoSpaceDE w:val="0"/>
        <w:autoSpaceDN w:val="0"/>
        <w:spacing w:line="249" w:lineRule="auto"/>
        <w:ind w:left="567" w:hanging="283"/>
        <w:jc w:val="both"/>
        <w:rPr>
          <w:rFonts w:cs="Times New Roman"/>
          <w:color w:val="000000"/>
          <w:szCs w:val="24"/>
        </w:rPr>
      </w:pPr>
      <w:r w:rsidRPr="003A2B98">
        <w:rPr>
          <w:rFonts w:cs="Times New Roman"/>
          <w:color w:val="000000"/>
          <w:w w:val="105"/>
          <w:szCs w:val="24"/>
        </w:rPr>
        <w:t>Szczegółowe zasady postępowania reklamacyjnego oraz realizacji obowiązków informacyjnych, zawarte są w IRiESD oraz</w:t>
      </w:r>
      <w:r w:rsidRPr="003A2B98">
        <w:rPr>
          <w:rFonts w:cs="Times New Roman"/>
          <w:color w:val="000000"/>
          <w:spacing w:val="18"/>
          <w:w w:val="105"/>
          <w:szCs w:val="24"/>
        </w:rPr>
        <w:t xml:space="preserve"> </w:t>
      </w:r>
      <w:r w:rsidRPr="003A2B98">
        <w:rPr>
          <w:rFonts w:cs="Times New Roman"/>
          <w:color w:val="000000"/>
          <w:w w:val="105"/>
          <w:szCs w:val="24"/>
        </w:rPr>
        <w:t>GUD-K.</w:t>
      </w:r>
    </w:p>
    <w:p w14:paraId="1B69A45A" w14:textId="77777777" w:rsidR="00051FAD" w:rsidRPr="003A2B98" w:rsidRDefault="00051FAD">
      <w:pPr>
        <w:pStyle w:val="Akapitzlist"/>
        <w:widowControl w:val="0"/>
        <w:numPr>
          <w:ilvl w:val="0"/>
          <w:numId w:val="302"/>
        </w:numPr>
        <w:autoSpaceDE w:val="0"/>
        <w:autoSpaceDN w:val="0"/>
        <w:ind w:left="426" w:hanging="426"/>
        <w:jc w:val="both"/>
        <w:rPr>
          <w:rFonts w:cs="Times New Roman"/>
          <w:color w:val="000000"/>
          <w:szCs w:val="24"/>
        </w:rPr>
      </w:pPr>
      <w:r w:rsidRPr="003A2B98">
        <w:rPr>
          <w:rFonts w:cs="Times New Roman"/>
          <w:color w:val="000000"/>
          <w:szCs w:val="24"/>
        </w:rPr>
        <w:t>Zmiany, renegocjacje oraz wypowiedzenie</w:t>
      </w:r>
      <w:r w:rsidRPr="003A2B98">
        <w:rPr>
          <w:rFonts w:cs="Times New Roman"/>
          <w:color w:val="000000"/>
          <w:spacing w:val="29"/>
          <w:szCs w:val="24"/>
        </w:rPr>
        <w:t xml:space="preserve"> </w:t>
      </w:r>
      <w:r w:rsidRPr="003A2B98">
        <w:rPr>
          <w:rFonts w:cs="Times New Roman"/>
          <w:color w:val="000000"/>
          <w:szCs w:val="24"/>
        </w:rPr>
        <w:t>GUD-K:</w:t>
      </w:r>
    </w:p>
    <w:p w14:paraId="3ED2C42C" w14:textId="77777777" w:rsidR="00051FAD" w:rsidRPr="003A2B98" w:rsidRDefault="00051FAD">
      <w:pPr>
        <w:pStyle w:val="Akapitzlist"/>
        <w:widowControl w:val="0"/>
        <w:numPr>
          <w:ilvl w:val="1"/>
          <w:numId w:val="302"/>
        </w:numPr>
        <w:autoSpaceDE w:val="0"/>
        <w:autoSpaceDN w:val="0"/>
        <w:spacing w:line="249" w:lineRule="auto"/>
        <w:ind w:left="567" w:hanging="283"/>
        <w:jc w:val="both"/>
        <w:rPr>
          <w:rFonts w:cs="Times New Roman"/>
          <w:color w:val="000000"/>
          <w:szCs w:val="24"/>
        </w:rPr>
      </w:pPr>
      <w:r w:rsidRPr="003A2B98">
        <w:rPr>
          <w:rFonts w:cs="Times New Roman"/>
          <w:color w:val="000000"/>
          <w:w w:val="105"/>
          <w:szCs w:val="24"/>
        </w:rPr>
        <w:t>Zmiany GUD-K mogą być dokonywane, pod rygorem nieważności, wyłącznie na piśmie w formie aneksu do GUD-K, za wyjątkiem zmian jednoznacznie przywołanych w GUD-K, dla których ustalano, że nie wymagają formy</w:t>
      </w:r>
      <w:r w:rsidRPr="003A2B98">
        <w:rPr>
          <w:rFonts w:cs="Times New Roman"/>
          <w:color w:val="000000"/>
          <w:spacing w:val="-7"/>
          <w:w w:val="105"/>
          <w:szCs w:val="24"/>
        </w:rPr>
        <w:t xml:space="preserve"> </w:t>
      </w:r>
      <w:r w:rsidRPr="003A2B98">
        <w:rPr>
          <w:rFonts w:cs="Times New Roman"/>
          <w:color w:val="000000"/>
          <w:w w:val="105"/>
          <w:szCs w:val="24"/>
        </w:rPr>
        <w:t>aneksu.</w:t>
      </w:r>
    </w:p>
    <w:p w14:paraId="36BC9DA8" w14:textId="77777777" w:rsidR="00051FAD" w:rsidRPr="003A2B98" w:rsidRDefault="00051FAD">
      <w:pPr>
        <w:pStyle w:val="Akapitzlist"/>
        <w:widowControl w:val="0"/>
        <w:numPr>
          <w:ilvl w:val="1"/>
          <w:numId w:val="302"/>
        </w:numPr>
        <w:autoSpaceDE w:val="0"/>
        <w:autoSpaceDN w:val="0"/>
        <w:spacing w:before="4" w:line="252" w:lineRule="auto"/>
        <w:ind w:left="567" w:right="2" w:hanging="283"/>
        <w:jc w:val="both"/>
        <w:rPr>
          <w:rFonts w:cs="Times New Roman"/>
          <w:color w:val="000000"/>
          <w:szCs w:val="24"/>
        </w:rPr>
      </w:pPr>
      <w:r w:rsidRPr="003A2B98">
        <w:rPr>
          <w:rFonts w:cs="Times New Roman"/>
          <w:color w:val="000000"/>
          <w:w w:val="105"/>
          <w:szCs w:val="24"/>
        </w:rPr>
        <w:t>Jeśli</w:t>
      </w:r>
      <w:r w:rsidRPr="003A2B98">
        <w:rPr>
          <w:rFonts w:cs="Times New Roman"/>
          <w:color w:val="000000"/>
          <w:spacing w:val="-19"/>
          <w:w w:val="105"/>
          <w:szCs w:val="24"/>
        </w:rPr>
        <w:t xml:space="preserve"> </w:t>
      </w:r>
      <w:r w:rsidRPr="003A2B98">
        <w:rPr>
          <w:rFonts w:cs="Times New Roman"/>
          <w:color w:val="000000"/>
          <w:w w:val="105"/>
          <w:szCs w:val="24"/>
        </w:rPr>
        <w:t>sprzedawca</w:t>
      </w:r>
      <w:r w:rsidRPr="003A2B98">
        <w:rPr>
          <w:rFonts w:cs="Times New Roman"/>
          <w:color w:val="000000"/>
          <w:spacing w:val="-7"/>
          <w:w w:val="105"/>
          <w:szCs w:val="24"/>
        </w:rPr>
        <w:t xml:space="preserve"> </w:t>
      </w:r>
      <w:r w:rsidRPr="003A2B98">
        <w:rPr>
          <w:rFonts w:cs="Times New Roman"/>
          <w:color w:val="000000"/>
          <w:w w:val="105"/>
          <w:szCs w:val="24"/>
        </w:rPr>
        <w:t>nie</w:t>
      </w:r>
      <w:r w:rsidRPr="003A2B98">
        <w:rPr>
          <w:rFonts w:cs="Times New Roman"/>
          <w:color w:val="000000"/>
          <w:spacing w:val="-18"/>
          <w:w w:val="105"/>
          <w:szCs w:val="24"/>
        </w:rPr>
        <w:t xml:space="preserve"> </w:t>
      </w:r>
      <w:r w:rsidRPr="003A2B98">
        <w:rPr>
          <w:rFonts w:cs="Times New Roman"/>
          <w:color w:val="000000"/>
          <w:w w:val="105"/>
          <w:szCs w:val="24"/>
        </w:rPr>
        <w:t>zgadza</w:t>
      </w:r>
      <w:r w:rsidRPr="003A2B98">
        <w:rPr>
          <w:rFonts w:cs="Times New Roman"/>
          <w:color w:val="000000"/>
          <w:spacing w:val="-13"/>
          <w:w w:val="105"/>
          <w:szCs w:val="24"/>
        </w:rPr>
        <w:t xml:space="preserve"> </w:t>
      </w:r>
      <w:r w:rsidRPr="003A2B98">
        <w:rPr>
          <w:rFonts w:cs="Times New Roman"/>
          <w:color w:val="000000"/>
          <w:w w:val="105"/>
          <w:szCs w:val="24"/>
        </w:rPr>
        <w:t>się</w:t>
      </w:r>
      <w:r w:rsidRPr="003A2B98">
        <w:rPr>
          <w:rFonts w:cs="Times New Roman"/>
          <w:color w:val="000000"/>
          <w:spacing w:val="-19"/>
          <w:w w:val="105"/>
          <w:szCs w:val="24"/>
        </w:rPr>
        <w:t xml:space="preserve"> </w:t>
      </w:r>
      <w:r w:rsidRPr="003A2B98">
        <w:rPr>
          <w:rFonts w:cs="Times New Roman"/>
          <w:color w:val="000000"/>
          <w:w w:val="105"/>
          <w:szCs w:val="24"/>
        </w:rPr>
        <w:t>ze</w:t>
      </w:r>
      <w:r w:rsidRPr="003A2B98">
        <w:rPr>
          <w:rFonts w:cs="Times New Roman"/>
          <w:color w:val="000000"/>
          <w:spacing w:val="-15"/>
          <w:w w:val="105"/>
          <w:szCs w:val="24"/>
        </w:rPr>
        <w:t xml:space="preserve"> </w:t>
      </w:r>
      <w:r w:rsidRPr="003A2B98">
        <w:rPr>
          <w:rFonts w:cs="Times New Roman"/>
          <w:color w:val="000000"/>
          <w:w w:val="105"/>
          <w:szCs w:val="24"/>
        </w:rPr>
        <w:t>zmianami</w:t>
      </w:r>
      <w:r w:rsidRPr="003A2B98">
        <w:rPr>
          <w:rFonts w:cs="Times New Roman"/>
          <w:color w:val="000000"/>
          <w:spacing w:val="-3"/>
          <w:w w:val="105"/>
          <w:szCs w:val="24"/>
        </w:rPr>
        <w:t xml:space="preserve"> </w:t>
      </w:r>
      <w:r w:rsidRPr="003A2B98">
        <w:rPr>
          <w:rFonts w:cs="Times New Roman"/>
          <w:color w:val="000000"/>
          <w:w w:val="105"/>
          <w:szCs w:val="24"/>
        </w:rPr>
        <w:t>wprowadzonymi</w:t>
      </w:r>
      <w:r w:rsidRPr="003A2B98">
        <w:rPr>
          <w:rFonts w:cs="Times New Roman"/>
          <w:color w:val="000000"/>
          <w:spacing w:val="6"/>
          <w:w w:val="105"/>
          <w:szCs w:val="24"/>
        </w:rPr>
        <w:t xml:space="preserve"> </w:t>
      </w:r>
      <w:r w:rsidRPr="003A2B98">
        <w:rPr>
          <w:rFonts w:cs="Times New Roman"/>
          <w:color w:val="000000"/>
          <w:w w:val="105"/>
          <w:szCs w:val="24"/>
        </w:rPr>
        <w:t>w</w:t>
      </w:r>
      <w:r w:rsidRPr="003A2B98">
        <w:rPr>
          <w:rFonts w:cs="Times New Roman"/>
          <w:color w:val="000000"/>
          <w:spacing w:val="-20"/>
          <w:w w:val="105"/>
          <w:szCs w:val="24"/>
        </w:rPr>
        <w:t xml:space="preserve"> </w:t>
      </w:r>
      <w:r w:rsidRPr="003A2B98">
        <w:rPr>
          <w:rFonts w:cs="Times New Roman"/>
          <w:color w:val="000000"/>
          <w:w w:val="105"/>
          <w:szCs w:val="24"/>
        </w:rPr>
        <w:t>IRiESD</w:t>
      </w:r>
      <w:r w:rsidRPr="003A2B98">
        <w:rPr>
          <w:rFonts w:cs="Times New Roman"/>
          <w:color w:val="000000"/>
          <w:spacing w:val="-9"/>
          <w:w w:val="105"/>
          <w:szCs w:val="24"/>
        </w:rPr>
        <w:t xml:space="preserve"> </w:t>
      </w:r>
      <w:r w:rsidRPr="003A2B98">
        <w:rPr>
          <w:rFonts w:cs="Times New Roman"/>
          <w:color w:val="000000"/>
          <w:w w:val="105"/>
          <w:szCs w:val="24"/>
        </w:rPr>
        <w:t>lub</w:t>
      </w:r>
      <w:r w:rsidRPr="003A2B98">
        <w:rPr>
          <w:rFonts w:cs="Times New Roman"/>
          <w:color w:val="000000"/>
          <w:spacing w:val="-17"/>
          <w:w w:val="105"/>
          <w:szCs w:val="24"/>
        </w:rPr>
        <w:t xml:space="preserve"> </w:t>
      </w:r>
      <w:r w:rsidRPr="003A2B98">
        <w:rPr>
          <w:rFonts w:cs="Times New Roman"/>
          <w:color w:val="000000"/>
          <w:w w:val="105"/>
          <w:szCs w:val="24"/>
        </w:rPr>
        <w:t>WDB, wówczas ma prawo wypowiedzenia GUD-K, przy czym oświadczenie o wypowiedzeniu GUD-K powinno zostać złożone w terminie 10 dni kalendarzowych od dnia opublikowania na stronie internetowej OSDn zmian IRiESD lub od dnia opublikowania w Biuletynie URE zmian WDB. Jeżeli oświadczenie o wypowiedzeniu GUD-K zostanie złożone OSDn najpóźniej na 2 dni robocze przed dniem wejścia w życie zmienionej IRiESD lub WDB, to w takim przypadku wypowiedzenie GUD-K następuje ze skutkiem na dzień poprzedzający wejście w życie zmienionej IRiESD lub WDB. Jeżeli natomiast oświadczenie o wypowiedzeniu GUD-K zostanie złożone OSDn w terminie późniejszym, ale z zachowaniem powyższego 10-dniowego</w:t>
      </w:r>
      <w:r w:rsidRPr="003A2B98">
        <w:rPr>
          <w:rFonts w:cs="Times New Roman"/>
          <w:color w:val="000000"/>
          <w:spacing w:val="-4"/>
          <w:w w:val="105"/>
          <w:szCs w:val="24"/>
        </w:rPr>
        <w:t xml:space="preserve"> </w:t>
      </w:r>
      <w:r w:rsidRPr="003A2B98">
        <w:rPr>
          <w:rFonts w:cs="Times New Roman"/>
          <w:color w:val="000000"/>
          <w:w w:val="105"/>
          <w:szCs w:val="24"/>
        </w:rPr>
        <w:t>terminu,</w:t>
      </w:r>
      <w:r w:rsidRPr="003A2B98">
        <w:rPr>
          <w:rFonts w:cs="Times New Roman"/>
          <w:color w:val="000000"/>
          <w:spacing w:val="-18"/>
          <w:w w:val="105"/>
          <w:szCs w:val="24"/>
        </w:rPr>
        <w:t xml:space="preserve"> </w:t>
      </w:r>
      <w:r w:rsidRPr="003A2B98">
        <w:rPr>
          <w:rFonts w:cs="Times New Roman"/>
          <w:color w:val="000000"/>
          <w:w w:val="105"/>
          <w:szCs w:val="24"/>
        </w:rPr>
        <w:t>to</w:t>
      </w:r>
      <w:r w:rsidRPr="003A2B98">
        <w:rPr>
          <w:rFonts w:cs="Times New Roman"/>
          <w:color w:val="000000"/>
          <w:spacing w:val="-16"/>
          <w:w w:val="105"/>
          <w:szCs w:val="24"/>
        </w:rPr>
        <w:t xml:space="preserve"> </w:t>
      </w:r>
      <w:r w:rsidRPr="003A2B98">
        <w:rPr>
          <w:rFonts w:cs="Times New Roman"/>
          <w:color w:val="000000"/>
          <w:w w:val="105"/>
          <w:szCs w:val="24"/>
        </w:rPr>
        <w:t>wypowiedzenie</w:t>
      </w:r>
      <w:r w:rsidRPr="003A2B98">
        <w:rPr>
          <w:rFonts w:cs="Times New Roman"/>
          <w:color w:val="000000"/>
          <w:spacing w:val="2"/>
          <w:w w:val="105"/>
          <w:szCs w:val="24"/>
        </w:rPr>
        <w:t xml:space="preserve"> </w:t>
      </w:r>
      <w:r w:rsidRPr="003A2B98">
        <w:rPr>
          <w:rFonts w:cs="Times New Roman"/>
          <w:color w:val="000000"/>
          <w:w w:val="105"/>
          <w:szCs w:val="24"/>
        </w:rPr>
        <w:t>GUD-K</w:t>
      </w:r>
      <w:r w:rsidRPr="003A2B98">
        <w:rPr>
          <w:rFonts w:cs="Times New Roman"/>
          <w:color w:val="000000"/>
          <w:spacing w:val="-10"/>
          <w:w w:val="105"/>
          <w:szCs w:val="24"/>
        </w:rPr>
        <w:t xml:space="preserve"> </w:t>
      </w:r>
      <w:r w:rsidRPr="003A2B98">
        <w:rPr>
          <w:rFonts w:cs="Times New Roman"/>
          <w:color w:val="000000"/>
          <w:w w:val="105"/>
          <w:szCs w:val="24"/>
        </w:rPr>
        <w:t>następuje</w:t>
      </w:r>
      <w:r w:rsidRPr="003A2B98">
        <w:rPr>
          <w:rFonts w:cs="Times New Roman"/>
          <w:color w:val="000000"/>
          <w:spacing w:val="-9"/>
          <w:w w:val="105"/>
          <w:szCs w:val="24"/>
        </w:rPr>
        <w:t xml:space="preserve"> </w:t>
      </w:r>
      <w:r w:rsidRPr="003A2B98">
        <w:rPr>
          <w:rFonts w:cs="Times New Roman"/>
          <w:color w:val="000000"/>
          <w:w w:val="105"/>
          <w:szCs w:val="24"/>
        </w:rPr>
        <w:t>ze</w:t>
      </w:r>
      <w:r w:rsidRPr="003A2B98">
        <w:rPr>
          <w:rFonts w:cs="Times New Roman"/>
          <w:color w:val="000000"/>
          <w:spacing w:val="-17"/>
          <w:w w:val="105"/>
          <w:szCs w:val="24"/>
        </w:rPr>
        <w:t xml:space="preserve"> </w:t>
      </w:r>
      <w:r w:rsidRPr="003A2B98">
        <w:rPr>
          <w:rFonts w:cs="Times New Roman"/>
          <w:color w:val="000000"/>
          <w:w w:val="105"/>
          <w:szCs w:val="24"/>
        </w:rPr>
        <w:t>skutkiem</w:t>
      </w:r>
      <w:r w:rsidRPr="003A2B98">
        <w:rPr>
          <w:rFonts w:cs="Times New Roman"/>
          <w:color w:val="000000"/>
          <w:spacing w:val="-1"/>
          <w:w w:val="105"/>
          <w:szCs w:val="24"/>
        </w:rPr>
        <w:t xml:space="preserve"> </w:t>
      </w:r>
      <w:r w:rsidRPr="003A2B98">
        <w:rPr>
          <w:rFonts w:cs="Times New Roman"/>
          <w:color w:val="000000"/>
          <w:w w:val="105"/>
          <w:szCs w:val="24"/>
        </w:rPr>
        <w:t>w</w:t>
      </w:r>
      <w:r w:rsidRPr="003A2B98">
        <w:rPr>
          <w:rFonts w:cs="Times New Roman"/>
          <w:color w:val="000000"/>
          <w:spacing w:val="-19"/>
          <w:w w:val="105"/>
          <w:szCs w:val="24"/>
        </w:rPr>
        <w:t xml:space="preserve"> </w:t>
      </w:r>
      <w:r w:rsidRPr="003A2B98">
        <w:rPr>
          <w:rFonts w:cs="Times New Roman"/>
          <w:color w:val="000000"/>
          <w:w w:val="105"/>
          <w:szCs w:val="24"/>
        </w:rPr>
        <w:t xml:space="preserve">drugim dniu roboczym po dniu złożenia oświadczenia </w:t>
      </w:r>
      <w:r>
        <w:rPr>
          <w:rFonts w:cs="Times New Roman"/>
          <w:color w:val="000000"/>
          <w:w w:val="105"/>
          <w:szCs w:val="24"/>
        </w:rPr>
        <w:br/>
      </w:r>
      <w:r w:rsidRPr="003A2B98">
        <w:rPr>
          <w:rFonts w:cs="Times New Roman"/>
          <w:color w:val="000000"/>
          <w:w w:val="105"/>
          <w:szCs w:val="24"/>
        </w:rPr>
        <w:t>o wypowiedzeniu. W takim przypadku od dnia wejścia w życie zmienionej IRiESD lub WDB do dnia wypowiedzenia GUD-K obowiązują postanowienia nowej IRiESD lub</w:t>
      </w:r>
      <w:r w:rsidRPr="003A2B98">
        <w:rPr>
          <w:rFonts w:cs="Times New Roman"/>
          <w:color w:val="000000"/>
          <w:spacing w:val="16"/>
          <w:w w:val="105"/>
          <w:szCs w:val="24"/>
        </w:rPr>
        <w:t xml:space="preserve"> </w:t>
      </w:r>
      <w:r w:rsidRPr="003A2B98">
        <w:rPr>
          <w:rFonts w:cs="Times New Roman"/>
          <w:color w:val="000000"/>
          <w:w w:val="105"/>
          <w:szCs w:val="24"/>
        </w:rPr>
        <w:t>WDB.</w:t>
      </w:r>
    </w:p>
    <w:p w14:paraId="7CF90F6B" w14:textId="77777777" w:rsidR="00051FAD" w:rsidRPr="003A2B98" w:rsidRDefault="00051FAD">
      <w:pPr>
        <w:pStyle w:val="Akapitzlist"/>
        <w:widowControl w:val="0"/>
        <w:numPr>
          <w:ilvl w:val="0"/>
          <w:numId w:val="302"/>
        </w:numPr>
        <w:autoSpaceDE w:val="0"/>
        <w:autoSpaceDN w:val="0"/>
        <w:spacing w:line="245" w:lineRule="exact"/>
        <w:ind w:left="284" w:right="2" w:hanging="284"/>
        <w:jc w:val="both"/>
        <w:rPr>
          <w:rFonts w:cs="Times New Roman"/>
          <w:color w:val="000000"/>
          <w:szCs w:val="24"/>
        </w:rPr>
      </w:pPr>
      <w:r w:rsidRPr="003A2B98">
        <w:rPr>
          <w:rFonts w:cs="Times New Roman"/>
          <w:color w:val="000000"/>
          <w:w w:val="105"/>
          <w:szCs w:val="24"/>
        </w:rPr>
        <w:t>Zasady sprzedaży</w:t>
      </w:r>
      <w:r w:rsidRPr="003A2B98">
        <w:rPr>
          <w:rFonts w:cs="Times New Roman"/>
          <w:color w:val="000000"/>
          <w:spacing w:val="27"/>
          <w:w w:val="105"/>
          <w:szCs w:val="24"/>
        </w:rPr>
        <w:t xml:space="preserve"> </w:t>
      </w:r>
      <w:r w:rsidRPr="003A2B98">
        <w:rPr>
          <w:rFonts w:cs="Times New Roman"/>
          <w:color w:val="000000"/>
          <w:w w:val="105"/>
          <w:szCs w:val="24"/>
        </w:rPr>
        <w:t>rezerwowej:</w:t>
      </w:r>
    </w:p>
    <w:p w14:paraId="79D17075" w14:textId="77777777" w:rsidR="00051FAD" w:rsidRPr="003A2B98" w:rsidRDefault="00051FAD">
      <w:pPr>
        <w:pStyle w:val="Akapitzlist"/>
        <w:widowControl w:val="0"/>
        <w:numPr>
          <w:ilvl w:val="1"/>
          <w:numId w:val="302"/>
        </w:numPr>
        <w:autoSpaceDE w:val="0"/>
        <w:autoSpaceDN w:val="0"/>
        <w:spacing w:before="11" w:line="249" w:lineRule="auto"/>
        <w:ind w:left="567" w:right="2" w:hanging="283"/>
        <w:jc w:val="both"/>
        <w:rPr>
          <w:rFonts w:cs="Times New Roman"/>
          <w:color w:val="000000"/>
          <w:szCs w:val="24"/>
        </w:rPr>
      </w:pPr>
      <w:r w:rsidRPr="003A2B98">
        <w:rPr>
          <w:rFonts w:cs="Times New Roman"/>
          <w:color w:val="000000"/>
          <w:w w:val="105"/>
          <w:szCs w:val="24"/>
        </w:rPr>
        <w:t>Zasady</w:t>
      </w:r>
      <w:r w:rsidRPr="003A2B98">
        <w:rPr>
          <w:rFonts w:cs="Times New Roman"/>
          <w:color w:val="000000"/>
          <w:spacing w:val="-24"/>
          <w:w w:val="105"/>
          <w:szCs w:val="24"/>
        </w:rPr>
        <w:t xml:space="preserve"> </w:t>
      </w:r>
      <w:r w:rsidRPr="003A2B98">
        <w:rPr>
          <w:rFonts w:cs="Times New Roman"/>
          <w:color w:val="000000"/>
          <w:w w:val="105"/>
          <w:szCs w:val="24"/>
        </w:rPr>
        <w:t>sprzedaży</w:t>
      </w:r>
      <w:r w:rsidRPr="003A2B98">
        <w:rPr>
          <w:rFonts w:cs="Times New Roman"/>
          <w:color w:val="000000"/>
          <w:spacing w:val="-18"/>
          <w:w w:val="105"/>
          <w:szCs w:val="24"/>
        </w:rPr>
        <w:t xml:space="preserve"> </w:t>
      </w:r>
      <w:r w:rsidRPr="003A2B98">
        <w:rPr>
          <w:rFonts w:cs="Times New Roman"/>
          <w:color w:val="000000"/>
          <w:w w:val="105"/>
          <w:szCs w:val="24"/>
        </w:rPr>
        <w:t>rezerwowej</w:t>
      </w:r>
      <w:r w:rsidRPr="003A2B98">
        <w:rPr>
          <w:rFonts w:cs="Times New Roman"/>
          <w:color w:val="000000"/>
          <w:spacing w:val="-14"/>
          <w:w w:val="105"/>
          <w:szCs w:val="24"/>
        </w:rPr>
        <w:t xml:space="preserve"> </w:t>
      </w:r>
      <w:r w:rsidRPr="003A2B98">
        <w:rPr>
          <w:rFonts w:cs="Times New Roman"/>
          <w:color w:val="000000"/>
          <w:w w:val="105"/>
          <w:szCs w:val="24"/>
        </w:rPr>
        <w:t>na</w:t>
      </w:r>
      <w:r w:rsidRPr="003A2B98">
        <w:rPr>
          <w:rFonts w:cs="Times New Roman"/>
          <w:color w:val="000000"/>
          <w:spacing w:val="-29"/>
          <w:w w:val="105"/>
          <w:szCs w:val="24"/>
        </w:rPr>
        <w:t xml:space="preserve"> </w:t>
      </w:r>
      <w:r w:rsidRPr="003A2B98">
        <w:rPr>
          <w:rFonts w:cs="Times New Roman"/>
          <w:color w:val="000000"/>
          <w:w w:val="105"/>
          <w:szCs w:val="24"/>
        </w:rPr>
        <w:t>podstawie</w:t>
      </w:r>
      <w:r w:rsidRPr="003A2B98">
        <w:rPr>
          <w:rFonts w:cs="Times New Roman"/>
          <w:color w:val="000000"/>
          <w:spacing w:val="-20"/>
          <w:w w:val="105"/>
          <w:szCs w:val="24"/>
        </w:rPr>
        <w:t xml:space="preserve"> </w:t>
      </w:r>
      <w:r w:rsidRPr="003A2B98">
        <w:rPr>
          <w:rFonts w:cs="Times New Roman"/>
          <w:color w:val="000000"/>
          <w:w w:val="105"/>
          <w:szCs w:val="24"/>
        </w:rPr>
        <w:t>rezerwowej</w:t>
      </w:r>
      <w:r w:rsidRPr="003A2B98">
        <w:rPr>
          <w:rFonts w:cs="Times New Roman"/>
          <w:color w:val="000000"/>
          <w:spacing w:val="-11"/>
          <w:w w:val="105"/>
          <w:szCs w:val="24"/>
        </w:rPr>
        <w:t xml:space="preserve"> </w:t>
      </w:r>
      <w:r w:rsidRPr="003A2B98">
        <w:rPr>
          <w:rFonts w:cs="Times New Roman"/>
          <w:color w:val="000000"/>
          <w:w w:val="105"/>
          <w:szCs w:val="24"/>
        </w:rPr>
        <w:t>umowy</w:t>
      </w:r>
      <w:r w:rsidRPr="003A2B98">
        <w:rPr>
          <w:rFonts w:cs="Times New Roman"/>
          <w:color w:val="000000"/>
          <w:spacing w:val="-23"/>
          <w:w w:val="105"/>
          <w:szCs w:val="24"/>
        </w:rPr>
        <w:t xml:space="preserve"> </w:t>
      </w:r>
      <w:r w:rsidRPr="003A2B98">
        <w:rPr>
          <w:rFonts w:cs="Times New Roman"/>
          <w:color w:val="000000"/>
          <w:w w:val="105"/>
          <w:szCs w:val="24"/>
        </w:rPr>
        <w:t>kompleksowej</w:t>
      </w:r>
      <w:r w:rsidRPr="003A2B98">
        <w:rPr>
          <w:rFonts w:cs="Times New Roman"/>
          <w:color w:val="000000"/>
          <w:spacing w:val="-16"/>
          <w:w w:val="105"/>
          <w:szCs w:val="24"/>
        </w:rPr>
        <w:t xml:space="preserve"> </w:t>
      </w:r>
      <w:r w:rsidRPr="003A2B98">
        <w:rPr>
          <w:rFonts w:cs="Times New Roman"/>
          <w:color w:val="000000"/>
          <w:w w:val="105"/>
          <w:szCs w:val="24"/>
        </w:rPr>
        <w:t>oraz warunki</w:t>
      </w:r>
      <w:r w:rsidRPr="003A2B98">
        <w:rPr>
          <w:rFonts w:cs="Times New Roman"/>
          <w:color w:val="000000"/>
          <w:spacing w:val="-8"/>
          <w:w w:val="105"/>
          <w:szCs w:val="24"/>
        </w:rPr>
        <w:t xml:space="preserve"> </w:t>
      </w:r>
      <w:r w:rsidRPr="003A2B98">
        <w:rPr>
          <w:rFonts w:cs="Times New Roman"/>
          <w:color w:val="000000"/>
          <w:w w:val="105"/>
          <w:szCs w:val="24"/>
        </w:rPr>
        <w:t>współpracy</w:t>
      </w:r>
      <w:r w:rsidRPr="003A2B98">
        <w:rPr>
          <w:rFonts w:cs="Times New Roman"/>
          <w:color w:val="000000"/>
          <w:spacing w:val="-4"/>
          <w:w w:val="105"/>
          <w:szCs w:val="24"/>
        </w:rPr>
        <w:t xml:space="preserve"> OSDn</w:t>
      </w:r>
      <w:r w:rsidRPr="003A2B98">
        <w:rPr>
          <w:rFonts w:cs="Times New Roman"/>
          <w:color w:val="000000"/>
          <w:spacing w:val="4"/>
          <w:w w:val="105"/>
          <w:szCs w:val="24"/>
        </w:rPr>
        <w:t xml:space="preserve"> </w:t>
      </w:r>
      <w:r w:rsidRPr="003A2B98">
        <w:rPr>
          <w:rFonts w:cs="Times New Roman"/>
          <w:color w:val="000000"/>
          <w:w w:val="105"/>
          <w:szCs w:val="24"/>
        </w:rPr>
        <w:t>i</w:t>
      </w:r>
      <w:r w:rsidRPr="003A2B98">
        <w:rPr>
          <w:rFonts w:cs="Times New Roman"/>
          <w:color w:val="000000"/>
          <w:spacing w:val="-9"/>
          <w:w w:val="105"/>
          <w:szCs w:val="24"/>
        </w:rPr>
        <w:t xml:space="preserve"> </w:t>
      </w:r>
      <w:r w:rsidRPr="003A2B98">
        <w:rPr>
          <w:rFonts w:cs="Times New Roman"/>
          <w:color w:val="000000"/>
          <w:w w:val="105"/>
          <w:szCs w:val="24"/>
        </w:rPr>
        <w:t>sprzedawcy</w:t>
      </w:r>
      <w:r w:rsidRPr="003A2B98">
        <w:rPr>
          <w:rFonts w:cs="Times New Roman"/>
          <w:color w:val="000000"/>
          <w:spacing w:val="-5"/>
          <w:w w:val="105"/>
          <w:szCs w:val="24"/>
        </w:rPr>
        <w:t xml:space="preserve"> </w:t>
      </w:r>
      <w:r w:rsidRPr="003A2B98">
        <w:rPr>
          <w:rFonts w:cs="Times New Roman"/>
          <w:color w:val="000000"/>
          <w:w w:val="105"/>
          <w:szCs w:val="24"/>
        </w:rPr>
        <w:t>w</w:t>
      </w:r>
      <w:r w:rsidRPr="003A2B98">
        <w:rPr>
          <w:rFonts w:cs="Times New Roman"/>
          <w:color w:val="000000"/>
          <w:spacing w:val="-14"/>
          <w:w w:val="105"/>
          <w:szCs w:val="24"/>
        </w:rPr>
        <w:t xml:space="preserve"> </w:t>
      </w:r>
      <w:r w:rsidRPr="003A2B98">
        <w:rPr>
          <w:rFonts w:cs="Times New Roman"/>
          <w:color w:val="000000"/>
          <w:w w:val="105"/>
          <w:szCs w:val="24"/>
        </w:rPr>
        <w:t>tym</w:t>
      </w:r>
      <w:r w:rsidRPr="003A2B98">
        <w:rPr>
          <w:rFonts w:cs="Times New Roman"/>
          <w:color w:val="000000"/>
          <w:spacing w:val="-10"/>
          <w:w w:val="105"/>
          <w:szCs w:val="24"/>
        </w:rPr>
        <w:t xml:space="preserve"> </w:t>
      </w:r>
      <w:r w:rsidRPr="003A2B98">
        <w:rPr>
          <w:rFonts w:cs="Times New Roman"/>
          <w:color w:val="000000"/>
          <w:w w:val="105"/>
          <w:szCs w:val="24"/>
        </w:rPr>
        <w:t>zakresie</w:t>
      </w:r>
      <w:r w:rsidRPr="003A2B98">
        <w:rPr>
          <w:rFonts w:cs="Times New Roman"/>
          <w:color w:val="000000"/>
          <w:spacing w:val="-35"/>
          <w:w w:val="105"/>
          <w:szCs w:val="24"/>
        </w:rPr>
        <w:t>,</w:t>
      </w:r>
      <w:r w:rsidRPr="003A2B98">
        <w:rPr>
          <w:rFonts w:cs="Times New Roman"/>
          <w:color w:val="000000"/>
          <w:spacing w:val="-18"/>
          <w:w w:val="105"/>
          <w:szCs w:val="24"/>
        </w:rPr>
        <w:t xml:space="preserve"> </w:t>
      </w:r>
      <w:r w:rsidRPr="003A2B98">
        <w:rPr>
          <w:rFonts w:cs="Times New Roman"/>
          <w:color w:val="000000"/>
          <w:w w:val="105"/>
          <w:szCs w:val="24"/>
        </w:rPr>
        <w:t xml:space="preserve">zawarte są w IRiESD oraz </w:t>
      </w:r>
      <w:r>
        <w:rPr>
          <w:rFonts w:cs="Times New Roman"/>
          <w:color w:val="000000"/>
          <w:w w:val="105"/>
          <w:szCs w:val="24"/>
        </w:rPr>
        <w:br/>
      </w:r>
      <w:r w:rsidRPr="003A2B98">
        <w:rPr>
          <w:rFonts w:cs="Times New Roman"/>
          <w:color w:val="000000"/>
          <w:w w:val="105"/>
          <w:szCs w:val="24"/>
        </w:rPr>
        <w:t>w</w:t>
      </w:r>
      <w:r w:rsidRPr="003A2B98">
        <w:rPr>
          <w:rFonts w:cs="Times New Roman"/>
          <w:color w:val="000000"/>
          <w:spacing w:val="8"/>
          <w:w w:val="105"/>
          <w:szCs w:val="24"/>
        </w:rPr>
        <w:t xml:space="preserve"> </w:t>
      </w:r>
      <w:r w:rsidRPr="003A2B98">
        <w:rPr>
          <w:rFonts w:cs="Times New Roman"/>
          <w:color w:val="000000"/>
          <w:w w:val="105"/>
          <w:szCs w:val="24"/>
        </w:rPr>
        <w:t>GUD-K.</w:t>
      </w:r>
    </w:p>
    <w:p w14:paraId="72D42A9E" w14:textId="77777777" w:rsidR="00051FAD" w:rsidRPr="003A2B98" w:rsidRDefault="00051FAD">
      <w:pPr>
        <w:pStyle w:val="Akapitzlist"/>
        <w:widowControl w:val="0"/>
        <w:numPr>
          <w:ilvl w:val="1"/>
          <w:numId w:val="302"/>
        </w:numPr>
        <w:autoSpaceDE w:val="0"/>
        <w:autoSpaceDN w:val="0"/>
        <w:spacing w:before="9"/>
        <w:ind w:left="567" w:right="2" w:hanging="283"/>
        <w:jc w:val="both"/>
        <w:rPr>
          <w:rFonts w:cs="Times New Roman"/>
          <w:color w:val="000000"/>
          <w:szCs w:val="24"/>
        </w:rPr>
      </w:pPr>
      <w:r w:rsidRPr="003A2B98">
        <w:rPr>
          <w:rFonts w:cs="Times New Roman"/>
          <w:color w:val="000000"/>
          <w:w w:val="105"/>
          <w:szCs w:val="24"/>
        </w:rPr>
        <w:t>Sprzedawca, który wyraził zgodę na pełnienie funkcji sprzedawcy</w:t>
      </w:r>
      <w:r w:rsidRPr="003A2B98">
        <w:rPr>
          <w:rFonts w:cs="Times New Roman"/>
          <w:color w:val="000000"/>
          <w:spacing w:val="22"/>
          <w:w w:val="105"/>
          <w:szCs w:val="24"/>
        </w:rPr>
        <w:t xml:space="preserve"> </w:t>
      </w:r>
      <w:r w:rsidRPr="003A2B98">
        <w:rPr>
          <w:rFonts w:cs="Times New Roman"/>
          <w:color w:val="000000"/>
          <w:w w:val="105"/>
          <w:szCs w:val="24"/>
        </w:rPr>
        <w:t>rezerwowego:</w:t>
      </w:r>
    </w:p>
    <w:p w14:paraId="5073E1D0" w14:textId="1FC4D618" w:rsidR="00051FAD" w:rsidRPr="003A2B98" w:rsidRDefault="00051FAD">
      <w:pPr>
        <w:pStyle w:val="Akapitzlist"/>
        <w:widowControl w:val="0"/>
        <w:numPr>
          <w:ilvl w:val="2"/>
          <w:numId w:val="302"/>
        </w:numPr>
        <w:autoSpaceDE w:val="0"/>
        <w:autoSpaceDN w:val="0"/>
        <w:spacing w:before="11" w:line="249" w:lineRule="auto"/>
        <w:ind w:left="851" w:right="2" w:hanging="284"/>
        <w:jc w:val="both"/>
        <w:rPr>
          <w:rFonts w:cs="Times New Roman"/>
          <w:color w:val="000000"/>
          <w:szCs w:val="24"/>
        </w:rPr>
      </w:pPr>
      <w:r w:rsidRPr="003A2B98">
        <w:rPr>
          <w:rFonts w:cs="Times New Roman"/>
          <w:color w:val="000000"/>
          <w:szCs w:val="24"/>
        </w:rPr>
        <w:t xml:space="preserve">składa w stosunku do URD, którzy wskazali sprzedawcę jako sprzedawcę rezerwowego, ofertę zawarcia umowy kompleksowej zawierającej postanowienia umowy sprzedaży rezerwowej (zwanej dalej „rezerwową umową kompleksową"), </w:t>
      </w:r>
      <w:r w:rsidR="00F077EB">
        <w:rPr>
          <w:rFonts w:cs="Times New Roman"/>
          <w:color w:val="000000"/>
          <w:szCs w:val="24"/>
        </w:rPr>
        <w:br/>
      </w:r>
      <w:r w:rsidRPr="003A2B98">
        <w:rPr>
          <w:rFonts w:cs="Times New Roman"/>
          <w:color w:val="000000"/>
          <w:szCs w:val="24"/>
        </w:rPr>
        <w:t>z przyczyn wskazanych w Ustawie i IRiESD na warunkach określonych</w:t>
      </w:r>
      <w:r w:rsidRPr="003A2B98">
        <w:rPr>
          <w:rFonts w:cs="Times New Roman"/>
          <w:color w:val="000000"/>
          <w:spacing w:val="20"/>
          <w:szCs w:val="24"/>
        </w:rPr>
        <w:t xml:space="preserve"> </w:t>
      </w:r>
      <w:r w:rsidRPr="003A2B98">
        <w:rPr>
          <w:rFonts w:cs="Times New Roman"/>
          <w:color w:val="000000"/>
          <w:szCs w:val="24"/>
        </w:rPr>
        <w:t>w:</w:t>
      </w:r>
    </w:p>
    <w:p w14:paraId="08AAD07E" w14:textId="77777777" w:rsidR="00051FAD" w:rsidRPr="003A2B98" w:rsidRDefault="00051FAD">
      <w:pPr>
        <w:pStyle w:val="Akapitzlist"/>
        <w:widowControl w:val="0"/>
        <w:numPr>
          <w:ilvl w:val="3"/>
          <w:numId w:val="302"/>
        </w:numPr>
        <w:autoSpaceDE w:val="0"/>
        <w:autoSpaceDN w:val="0"/>
        <w:spacing w:before="11" w:line="249" w:lineRule="auto"/>
        <w:ind w:left="1134" w:right="2" w:hanging="283"/>
        <w:jc w:val="both"/>
        <w:rPr>
          <w:rFonts w:cs="Times New Roman"/>
          <w:color w:val="000000"/>
          <w:szCs w:val="24"/>
        </w:rPr>
      </w:pPr>
      <w:r w:rsidRPr="003A2B98">
        <w:rPr>
          <w:rFonts w:cs="Times New Roman"/>
          <w:color w:val="000000"/>
          <w:w w:val="105"/>
          <w:szCs w:val="24"/>
        </w:rPr>
        <w:t>ofercie dotyczącej warunków sprzedaży rezerwowej, zawierającej m.in. wzór rezerwowej umowy kompleksowej, zestawienie aktualnych cen i warunków ich stosowania oraz zasady rozliczeń dla sprzedaży rezerwowej;</w:t>
      </w:r>
    </w:p>
    <w:p w14:paraId="1C0D22C7" w14:textId="77777777" w:rsidR="00051FAD" w:rsidRPr="003A2B98" w:rsidRDefault="00051FAD">
      <w:pPr>
        <w:pStyle w:val="Akapitzlist"/>
        <w:widowControl w:val="0"/>
        <w:numPr>
          <w:ilvl w:val="3"/>
          <w:numId w:val="302"/>
        </w:numPr>
        <w:autoSpaceDE w:val="0"/>
        <w:autoSpaceDN w:val="0"/>
        <w:spacing w:before="5"/>
        <w:ind w:left="1134" w:right="2" w:hanging="283"/>
        <w:rPr>
          <w:rFonts w:cs="Times New Roman"/>
          <w:color w:val="000000"/>
          <w:szCs w:val="24"/>
        </w:rPr>
      </w:pPr>
      <w:r w:rsidRPr="003A2B98">
        <w:rPr>
          <w:rFonts w:cs="Times New Roman"/>
          <w:color w:val="000000"/>
          <w:szCs w:val="24"/>
        </w:rPr>
        <w:t>IRiESD.</w:t>
      </w:r>
    </w:p>
    <w:p w14:paraId="3EFBFE31" w14:textId="77777777" w:rsidR="00051FAD" w:rsidRPr="003A2B98" w:rsidRDefault="00051FAD">
      <w:pPr>
        <w:pStyle w:val="Akapitzlist"/>
        <w:widowControl w:val="0"/>
        <w:numPr>
          <w:ilvl w:val="2"/>
          <w:numId w:val="302"/>
        </w:numPr>
        <w:autoSpaceDE w:val="0"/>
        <w:autoSpaceDN w:val="0"/>
        <w:spacing w:before="11" w:line="252" w:lineRule="auto"/>
        <w:ind w:left="851" w:right="2" w:hanging="284"/>
        <w:jc w:val="both"/>
        <w:rPr>
          <w:rFonts w:cs="Times New Roman"/>
          <w:color w:val="000000"/>
          <w:szCs w:val="24"/>
        </w:rPr>
      </w:pPr>
      <w:r w:rsidRPr="003A2B98">
        <w:rPr>
          <w:rFonts w:cs="Times New Roman"/>
          <w:color w:val="000000"/>
          <w:w w:val="105"/>
          <w:szCs w:val="24"/>
        </w:rPr>
        <w:t>przekazuje OSDn aktualną informację o adresie strony internetowej, na której zostały opublikowane dokumenty, o których mowa w ppkt 1) lit. a). W przypadku zmiany ww. adresu strony internetowej, sprzedawca</w:t>
      </w:r>
      <w:r w:rsidRPr="003A2B98">
        <w:rPr>
          <w:rFonts w:cs="Times New Roman"/>
          <w:color w:val="000000"/>
          <w:spacing w:val="-17"/>
          <w:w w:val="105"/>
          <w:szCs w:val="24"/>
        </w:rPr>
        <w:t xml:space="preserve"> </w:t>
      </w:r>
      <w:r w:rsidRPr="003A2B98">
        <w:rPr>
          <w:rFonts w:cs="Times New Roman"/>
          <w:color w:val="000000"/>
          <w:w w:val="105"/>
          <w:szCs w:val="24"/>
        </w:rPr>
        <w:t>przekazuje</w:t>
      </w:r>
      <w:r w:rsidRPr="003A2B98">
        <w:rPr>
          <w:rFonts w:cs="Times New Roman"/>
          <w:color w:val="000000"/>
          <w:spacing w:val="-12"/>
          <w:w w:val="105"/>
          <w:szCs w:val="24"/>
        </w:rPr>
        <w:t xml:space="preserve"> OSDn </w:t>
      </w:r>
      <w:r w:rsidRPr="003A2B98">
        <w:rPr>
          <w:rFonts w:cs="Times New Roman"/>
          <w:color w:val="000000"/>
          <w:w w:val="105"/>
          <w:szCs w:val="24"/>
        </w:rPr>
        <w:t>nowy</w:t>
      </w:r>
      <w:r w:rsidRPr="003A2B98">
        <w:rPr>
          <w:rFonts w:cs="Times New Roman"/>
          <w:color w:val="000000"/>
          <w:spacing w:val="-17"/>
          <w:w w:val="105"/>
          <w:szCs w:val="24"/>
        </w:rPr>
        <w:t xml:space="preserve"> </w:t>
      </w:r>
      <w:r w:rsidRPr="003A2B98">
        <w:rPr>
          <w:rFonts w:cs="Times New Roman"/>
          <w:color w:val="000000"/>
          <w:w w:val="105"/>
          <w:szCs w:val="24"/>
        </w:rPr>
        <w:t>adres</w:t>
      </w:r>
      <w:r w:rsidRPr="003A2B98">
        <w:rPr>
          <w:rFonts w:cs="Times New Roman"/>
          <w:color w:val="000000"/>
          <w:spacing w:val="-24"/>
          <w:w w:val="105"/>
          <w:szCs w:val="24"/>
        </w:rPr>
        <w:t xml:space="preserve"> </w:t>
      </w:r>
      <w:r w:rsidRPr="003A2B98">
        <w:rPr>
          <w:rFonts w:cs="Times New Roman"/>
          <w:color w:val="000000"/>
          <w:w w:val="105"/>
          <w:szCs w:val="24"/>
        </w:rPr>
        <w:t>strony</w:t>
      </w:r>
      <w:r w:rsidRPr="003A2B98">
        <w:rPr>
          <w:rFonts w:cs="Times New Roman"/>
          <w:color w:val="000000"/>
          <w:spacing w:val="-17"/>
          <w:w w:val="105"/>
          <w:szCs w:val="24"/>
        </w:rPr>
        <w:t xml:space="preserve"> </w:t>
      </w:r>
      <w:r w:rsidRPr="003A2B98">
        <w:rPr>
          <w:rFonts w:cs="Times New Roman"/>
          <w:color w:val="000000"/>
          <w:w w:val="105"/>
          <w:szCs w:val="24"/>
        </w:rPr>
        <w:t>internetowej, co najmniej 14 dni przed terminem zmiany tego adresu. Powyższe informacje przekazuje OSDn w formie elektronicznej na adres poczty elektronicznej wskazany w</w:t>
      </w:r>
      <w:r w:rsidRPr="003A2B98">
        <w:rPr>
          <w:rFonts w:cs="Times New Roman"/>
          <w:color w:val="000000"/>
          <w:spacing w:val="-2"/>
          <w:w w:val="105"/>
          <w:szCs w:val="24"/>
        </w:rPr>
        <w:t xml:space="preserve"> </w:t>
      </w:r>
      <w:r w:rsidRPr="003A2B98">
        <w:rPr>
          <w:rFonts w:cs="Times New Roman"/>
          <w:color w:val="000000"/>
          <w:w w:val="105"/>
          <w:szCs w:val="24"/>
        </w:rPr>
        <w:t>GUD-K.</w:t>
      </w:r>
    </w:p>
    <w:p w14:paraId="645365BB" w14:textId="5D562CE3" w:rsidR="00051FAD" w:rsidRPr="003A2B98" w:rsidRDefault="00051FAD">
      <w:pPr>
        <w:pStyle w:val="Akapitzlist"/>
        <w:widowControl w:val="0"/>
        <w:numPr>
          <w:ilvl w:val="2"/>
          <w:numId w:val="302"/>
        </w:numPr>
        <w:autoSpaceDE w:val="0"/>
        <w:autoSpaceDN w:val="0"/>
        <w:spacing w:line="252" w:lineRule="auto"/>
        <w:ind w:left="851" w:hanging="284"/>
        <w:jc w:val="both"/>
        <w:rPr>
          <w:rFonts w:cs="Times New Roman"/>
          <w:color w:val="000000"/>
          <w:szCs w:val="24"/>
        </w:rPr>
      </w:pPr>
      <w:r w:rsidRPr="003A2B98">
        <w:rPr>
          <w:rFonts w:cs="Times New Roman"/>
          <w:color w:val="000000"/>
          <w:w w:val="105"/>
          <w:szCs w:val="24"/>
        </w:rPr>
        <w:t xml:space="preserve">w razie </w:t>
      </w:r>
      <w:r w:rsidRPr="003A2B98">
        <w:rPr>
          <w:rFonts w:cs="Times New Roman"/>
          <w:color w:val="000000"/>
          <w:spacing w:val="-3"/>
          <w:w w:val="105"/>
          <w:szCs w:val="24"/>
        </w:rPr>
        <w:t xml:space="preserve">zaistnienia, </w:t>
      </w:r>
      <w:r w:rsidRPr="003A2B98">
        <w:rPr>
          <w:rFonts w:cs="Times New Roman"/>
          <w:color w:val="000000"/>
          <w:w w:val="105"/>
          <w:szCs w:val="24"/>
        </w:rPr>
        <w:t>określonych w Ustawie i IRiESD, podstaw do rozpoczęcia sprzedaży rezerwowej, otrzymuje od OSDn działającego w imieniu i na rzecz URD oświadczenie o przyjęciu jego oferty. Zawarcie rezerwowej</w:t>
      </w:r>
      <w:r w:rsidRPr="003A2B98">
        <w:rPr>
          <w:rFonts w:cs="Times New Roman"/>
          <w:color w:val="000000"/>
          <w:spacing w:val="-5"/>
          <w:w w:val="105"/>
          <w:szCs w:val="24"/>
        </w:rPr>
        <w:t xml:space="preserve"> </w:t>
      </w:r>
      <w:r w:rsidRPr="003A2B98">
        <w:rPr>
          <w:rFonts w:cs="Times New Roman"/>
          <w:color w:val="000000"/>
          <w:w w:val="105"/>
          <w:szCs w:val="24"/>
        </w:rPr>
        <w:t>umowy</w:t>
      </w:r>
      <w:r w:rsidRPr="003A2B98">
        <w:rPr>
          <w:rFonts w:cs="Times New Roman"/>
          <w:color w:val="000000"/>
          <w:spacing w:val="-7"/>
          <w:w w:val="105"/>
          <w:szCs w:val="24"/>
        </w:rPr>
        <w:t xml:space="preserve"> </w:t>
      </w:r>
      <w:r w:rsidRPr="003A2B98">
        <w:rPr>
          <w:rFonts w:cs="Times New Roman"/>
          <w:color w:val="000000"/>
          <w:w w:val="105"/>
          <w:szCs w:val="24"/>
        </w:rPr>
        <w:t>kompleksowej</w:t>
      </w:r>
      <w:r w:rsidRPr="003A2B98">
        <w:rPr>
          <w:rFonts w:cs="Times New Roman"/>
          <w:color w:val="000000"/>
          <w:spacing w:val="-6"/>
          <w:w w:val="105"/>
          <w:szCs w:val="24"/>
        </w:rPr>
        <w:t xml:space="preserve"> </w:t>
      </w:r>
      <w:r w:rsidRPr="003A2B98">
        <w:rPr>
          <w:rFonts w:cs="Times New Roman"/>
          <w:color w:val="000000"/>
          <w:w w:val="105"/>
          <w:szCs w:val="24"/>
        </w:rPr>
        <w:t>następuje</w:t>
      </w:r>
      <w:r w:rsidRPr="003A2B98">
        <w:rPr>
          <w:rFonts w:cs="Times New Roman"/>
          <w:color w:val="000000"/>
          <w:spacing w:val="-11"/>
          <w:w w:val="105"/>
          <w:szCs w:val="24"/>
        </w:rPr>
        <w:t xml:space="preserve"> </w:t>
      </w:r>
      <w:r w:rsidRPr="003A2B98">
        <w:rPr>
          <w:rFonts w:cs="Times New Roman"/>
          <w:color w:val="000000"/>
          <w:w w:val="105"/>
          <w:szCs w:val="24"/>
        </w:rPr>
        <w:t>poprzez</w:t>
      </w:r>
      <w:r w:rsidRPr="003A2B98">
        <w:rPr>
          <w:rFonts w:cs="Times New Roman"/>
          <w:color w:val="000000"/>
          <w:spacing w:val="-9"/>
          <w:w w:val="105"/>
          <w:szCs w:val="24"/>
        </w:rPr>
        <w:t xml:space="preserve"> </w:t>
      </w:r>
      <w:r w:rsidRPr="003A2B98">
        <w:rPr>
          <w:rFonts w:cs="Times New Roman"/>
          <w:color w:val="000000"/>
          <w:w w:val="105"/>
          <w:szCs w:val="24"/>
        </w:rPr>
        <w:t>złożenie</w:t>
      </w:r>
      <w:r w:rsidRPr="003A2B98">
        <w:rPr>
          <w:rFonts w:cs="Times New Roman"/>
          <w:color w:val="000000"/>
          <w:spacing w:val="-9"/>
          <w:w w:val="105"/>
          <w:szCs w:val="24"/>
        </w:rPr>
        <w:t xml:space="preserve"> </w:t>
      </w:r>
      <w:r w:rsidRPr="003A2B98">
        <w:rPr>
          <w:rFonts w:cs="Times New Roman"/>
          <w:color w:val="000000"/>
          <w:w w:val="105"/>
          <w:szCs w:val="24"/>
        </w:rPr>
        <w:t>przez</w:t>
      </w:r>
      <w:r w:rsidRPr="003A2B98">
        <w:rPr>
          <w:rFonts w:cs="Times New Roman"/>
          <w:color w:val="000000"/>
          <w:spacing w:val="-11"/>
          <w:w w:val="105"/>
          <w:szCs w:val="24"/>
        </w:rPr>
        <w:t xml:space="preserve"> OSDn </w:t>
      </w:r>
      <w:r w:rsidRPr="003A2B98">
        <w:rPr>
          <w:rFonts w:cs="Times New Roman"/>
          <w:color w:val="000000"/>
          <w:w w:val="105"/>
          <w:szCs w:val="24"/>
        </w:rPr>
        <w:t>oświadczenia o przyjęciu oferty sprzedawcy w terminie wynikającym z Ustawy. Oświadczenie może obejmować łącznie wszystkich URD, dla których zaistniały podstawy do rozpoczęcia sprzedaży</w:t>
      </w:r>
      <w:r w:rsidRPr="003A2B98">
        <w:rPr>
          <w:rFonts w:cs="Times New Roman"/>
          <w:color w:val="000000"/>
          <w:spacing w:val="-21"/>
          <w:w w:val="105"/>
          <w:szCs w:val="24"/>
        </w:rPr>
        <w:t xml:space="preserve"> </w:t>
      </w:r>
      <w:r w:rsidRPr="003A2B98">
        <w:rPr>
          <w:rFonts w:cs="Times New Roman"/>
          <w:color w:val="000000"/>
          <w:w w:val="105"/>
          <w:szCs w:val="24"/>
        </w:rPr>
        <w:t>rezerwowej.</w:t>
      </w:r>
    </w:p>
    <w:p w14:paraId="6E729F28" w14:textId="77777777" w:rsidR="00051FAD" w:rsidRPr="00DC613E" w:rsidRDefault="00051FAD">
      <w:pPr>
        <w:pStyle w:val="Akapitzlist"/>
        <w:widowControl w:val="0"/>
        <w:numPr>
          <w:ilvl w:val="2"/>
          <w:numId w:val="302"/>
        </w:numPr>
        <w:autoSpaceDE w:val="0"/>
        <w:autoSpaceDN w:val="0"/>
        <w:spacing w:line="242" w:lineRule="auto"/>
        <w:ind w:left="851" w:hanging="284"/>
        <w:jc w:val="both"/>
        <w:rPr>
          <w:rFonts w:cs="Times New Roman"/>
          <w:color w:val="000000"/>
          <w:szCs w:val="24"/>
        </w:rPr>
      </w:pPr>
      <w:r w:rsidRPr="003A2B98">
        <w:rPr>
          <w:rFonts w:cs="Times New Roman"/>
          <w:color w:val="000000"/>
          <w:szCs w:val="24"/>
        </w:rPr>
        <w:t xml:space="preserve">otrzymuje oświadczenie, o którym mowa w ppkt 3), wraz z danymi URD określonymi </w:t>
      </w:r>
      <w:r>
        <w:rPr>
          <w:rFonts w:cs="Times New Roman"/>
          <w:color w:val="000000"/>
          <w:szCs w:val="24"/>
        </w:rPr>
        <w:br/>
      </w:r>
      <w:r w:rsidRPr="00DC613E">
        <w:rPr>
          <w:rFonts w:cs="Times New Roman"/>
          <w:color w:val="000000"/>
          <w:szCs w:val="24"/>
        </w:rPr>
        <w:t>w paszporcie PPE, w formie, o której mowa w GUD-K lub formie e-mail na adres poczty elektronicznej wskazany w</w:t>
      </w:r>
      <w:r w:rsidRPr="00DC613E">
        <w:rPr>
          <w:rFonts w:cs="Times New Roman"/>
          <w:color w:val="000000"/>
          <w:spacing w:val="-34"/>
          <w:szCs w:val="24"/>
        </w:rPr>
        <w:t xml:space="preserve"> </w:t>
      </w:r>
      <w:r w:rsidRPr="00DC613E">
        <w:rPr>
          <w:rFonts w:cs="Times New Roman"/>
          <w:color w:val="000000"/>
          <w:szCs w:val="24"/>
        </w:rPr>
        <w:t>GUD-K.</w:t>
      </w:r>
    </w:p>
    <w:p w14:paraId="3E50B4C5" w14:textId="77777777" w:rsidR="00051FAD" w:rsidRPr="00DC613E" w:rsidRDefault="00051FAD">
      <w:pPr>
        <w:pStyle w:val="Akapitzlist"/>
        <w:widowControl w:val="0"/>
        <w:numPr>
          <w:ilvl w:val="0"/>
          <w:numId w:val="302"/>
        </w:numPr>
        <w:autoSpaceDE w:val="0"/>
        <w:autoSpaceDN w:val="0"/>
        <w:spacing w:line="258" w:lineRule="exact"/>
        <w:ind w:left="426" w:hanging="426"/>
        <w:jc w:val="both"/>
        <w:rPr>
          <w:rFonts w:cs="Times New Roman"/>
          <w:color w:val="000000"/>
          <w:szCs w:val="24"/>
        </w:rPr>
      </w:pPr>
      <w:r w:rsidRPr="00DC613E">
        <w:rPr>
          <w:rFonts w:cs="Times New Roman"/>
          <w:szCs w:val="24"/>
        </w:rPr>
        <w:t>Zabezpieczenia finansowe:</w:t>
      </w:r>
    </w:p>
    <w:p w14:paraId="3933D17E" w14:textId="77777777" w:rsidR="00051FAD" w:rsidRPr="00DC613E" w:rsidRDefault="00051FAD">
      <w:pPr>
        <w:pStyle w:val="Akapitzlist"/>
        <w:widowControl w:val="0"/>
        <w:numPr>
          <w:ilvl w:val="1"/>
          <w:numId w:val="302"/>
        </w:numPr>
        <w:autoSpaceDE w:val="0"/>
        <w:autoSpaceDN w:val="0"/>
        <w:spacing w:line="258" w:lineRule="exact"/>
        <w:ind w:left="709" w:hanging="425"/>
        <w:jc w:val="both"/>
        <w:rPr>
          <w:rFonts w:cs="Times New Roman"/>
          <w:color w:val="000000"/>
          <w:szCs w:val="24"/>
        </w:rPr>
      </w:pPr>
      <w:r w:rsidRPr="00DC613E">
        <w:rPr>
          <w:rFonts w:cs="Times New Roman"/>
          <w:szCs w:val="24"/>
        </w:rPr>
        <w:t xml:space="preserve">Sprzedawca ma obowiązek ustanowienia, uzupełniania oraz odnawiania na rzecz </w:t>
      </w:r>
      <w:r>
        <w:rPr>
          <w:rFonts w:cs="Times New Roman"/>
          <w:szCs w:val="24"/>
        </w:rPr>
        <w:t>OSDn</w:t>
      </w:r>
      <w:r w:rsidRPr="00DC613E">
        <w:rPr>
          <w:rFonts w:cs="Times New Roman"/>
          <w:szCs w:val="24"/>
        </w:rPr>
        <w:t xml:space="preserve"> zabezpieczenia należytego wykonania GUD-k, na zasadach określonych </w:t>
      </w:r>
      <w:r>
        <w:rPr>
          <w:rFonts w:cs="Times New Roman"/>
          <w:szCs w:val="24"/>
        </w:rPr>
        <w:br/>
      </w:r>
      <w:r w:rsidRPr="00DC613E">
        <w:rPr>
          <w:rFonts w:cs="Times New Roman"/>
          <w:szCs w:val="24"/>
        </w:rPr>
        <w:t>w załączniku do GUD-k.</w:t>
      </w:r>
    </w:p>
    <w:p w14:paraId="13F8A625" w14:textId="77777777" w:rsidR="00051FAD" w:rsidRPr="003A2B98" w:rsidRDefault="00051FAD">
      <w:pPr>
        <w:pStyle w:val="Akapitzlist"/>
        <w:widowControl w:val="0"/>
        <w:numPr>
          <w:ilvl w:val="0"/>
          <w:numId w:val="302"/>
        </w:numPr>
        <w:autoSpaceDE w:val="0"/>
        <w:autoSpaceDN w:val="0"/>
        <w:spacing w:line="258" w:lineRule="exact"/>
        <w:ind w:left="426" w:hanging="426"/>
        <w:jc w:val="both"/>
        <w:rPr>
          <w:rFonts w:cs="Times New Roman"/>
          <w:color w:val="000000"/>
          <w:szCs w:val="24"/>
        </w:rPr>
      </w:pPr>
      <w:r w:rsidRPr="003A2B98">
        <w:rPr>
          <w:rFonts w:cs="Times New Roman"/>
          <w:color w:val="000000"/>
          <w:szCs w:val="24"/>
        </w:rPr>
        <w:t>Postępowanie w przypadku stwierdzenia nieprawidłowości u</w:t>
      </w:r>
      <w:r w:rsidRPr="003A2B98">
        <w:rPr>
          <w:rFonts w:cs="Times New Roman"/>
          <w:color w:val="000000"/>
          <w:spacing w:val="-39"/>
          <w:szCs w:val="24"/>
        </w:rPr>
        <w:t xml:space="preserve"> </w:t>
      </w:r>
      <w:r w:rsidRPr="003A2B98">
        <w:rPr>
          <w:rFonts w:cs="Times New Roman"/>
          <w:color w:val="000000"/>
          <w:szCs w:val="24"/>
        </w:rPr>
        <w:t>URD:</w:t>
      </w:r>
    </w:p>
    <w:p w14:paraId="450A84FA" w14:textId="4E04D5F5" w:rsidR="00051FAD" w:rsidRPr="003A2B98" w:rsidRDefault="00051FAD">
      <w:pPr>
        <w:pStyle w:val="Akapitzlist"/>
        <w:widowControl w:val="0"/>
        <w:numPr>
          <w:ilvl w:val="1"/>
          <w:numId w:val="302"/>
        </w:numPr>
        <w:autoSpaceDE w:val="0"/>
        <w:autoSpaceDN w:val="0"/>
        <w:spacing w:line="264" w:lineRule="auto"/>
        <w:ind w:left="567" w:hanging="283"/>
        <w:jc w:val="both"/>
        <w:rPr>
          <w:rFonts w:cs="Times New Roman"/>
          <w:color w:val="000000"/>
          <w:szCs w:val="24"/>
        </w:rPr>
      </w:pPr>
      <w:r w:rsidRPr="003A2B98">
        <w:rPr>
          <w:rFonts w:cs="Times New Roman"/>
          <w:color w:val="000000"/>
          <w:szCs w:val="24"/>
        </w:rPr>
        <w:t xml:space="preserve">W przypadku stwierdzenia, w wyniku wykonywania przez OSDn czynności związanych </w:t>
      </w:r>
      <w:r>
        <w:rPr>
          <w:rFonts w:cs="Times New Roman"/>
          <w:color w:val="000000"/>
          <w:szCs w:val="24"/>
        </w:rPr>
        <w:br/>
      </w:r>
      <w:r w:rsidRPr="003A2B98">
        <w:rPr>
          <w:rFonts w:cs="Times New Roman"/>
          <w:color w:val="000000"/>
          <w:szCs w:val="24"/>
        </w:rPr>
        <w:t xml:space="preserve">z dystrybucją energii elektrycznej lub kontroli dotrzymywania przez URD warunków umowy kompleksowej w części dystrybucyjnej, niewykonywania lub nienależytego wykonywania przez URD obowiązków wynikających z zawartej pomiędzy sprzedawcą </w:t>
      </w:r>
      <w:r w:rsidR="00F077EB">
        <w:rPr>
          <w:rFonts w:cs="Times New Roman"/>
          <w:color w:val="000000"/>
          <w:szCs w:val="24"/>
        </w:rPr>
        <w:br/>
      </w:r>
      <w:r w:rsidRPr="003A2B98">
        <w:rPr>
          <w:rFonts w:cs="Times New Roman"/>
          <w:color w:val="000000"/>
          <w:szCs w:val="24"/>
        </w:rPr>
        <w:t>a tym URD umowy kompleksowej, w szczególności w przypadku stwierdzenia nieprawidłowości o których mowa w pkt 2 poniżej, OSDn ma prawo wezwać URD do niezwłocznego usunięcia wskazanej nieprawidłowości, określając termin do ich usunięcia, nie</w:t>
      </w:r>
      <w:r w:rsidRPr="003A2B98">
        <w:rPr>
          <w:rFonts w:cs="Times New Roman"/>
          <w:color w:val="000000"/>
          <w:spacing w:val="-11"/>
          <w:szCs w:val="24"/>
        </w:rPr>
        <w:t xml:space="preserve"> </w:t>
      </w:r>
      <w:r w:rsidRPr="003A2B98">
        <w:rPr>
          <w:rFonts w:cs="Times New Roman"/>
          <w:color w:val="000000"/>
          <w:szCs w:val="24"/>
        </w:rPr>
        <w:t>krótszy</w:t>
      </w:r>
      <w:r w:rsidRPr="003A2B98">
        <w:rPr>
          <w:rFonts w:cs="Times New Roman"/>
          <w:color w:val="000000"/>
          <w:spacing w:val="-5"/>
          <w:szCs w:val="24"/>
        </w:rPr>
        <w:t xml:space="preserve"> </w:t>
      </w:r>
      <w:r w:rsidRPr="003A2B98">
        <w:rPr>
          <w:rFonts w:cs="Times New Roman"/>
          <w:color w:val="000000"/>
          <w:szCs w:val="24"/>
        </w:rPr>
        <w:t>niż</w:t>
      </w:r>
      <w:r w:rsidRPr="003A2B98">
        <w:rPr>
          <w:rFonts w:cs="Times New Roman"/>
          <w:color w:val="000000"/>
          <w:spacing w:val="-20"/>
          <w:szCs w:val="24"/>
        </w:rPr>
        <w:t xml:space="preserve"> </w:t>
      </w:r>
      <w:r w:rsidRPr="003A2B98">
        <w:rPr>
          <w:rFonts w:cs="Times New Roman"/>
          <w:color w:val="000000"/>
          <w:szCs w:val="24"/>
        </w:rPr>
        <w:t>7</w:t>
      </w:r>
      <w:r w:rsidRPr="003A2B98">
        <w:rPr>
          <w:rFonts w:cs="Times New Roman"/>
          <w:color w:val="000000"/>
          <w:spacing w:val="-22"/>
          <w:szCs w:val="24"/>
        </w:rPr>
        <w:t xml:space="preserve"> </w:t>
      </w:r>
      <w:r w:rsidRPr="003A2B98">
        <w:rPr>
          <w:rFonts w:cs="Times New Roman"/>
          <w:color w:val="000000"/>
          <w:szCs w:val="24"/>
        </w:rPr>
        <w:t>dni,</w:t>
      </w:r>
      <w:r w:rsidRPr="003A2B98">
        <w:rPr>
          <w:rFonts w:cs="Times New Roman"/>
          <w:color w:val="000000"/>
          <w:spacing w:val="-18"/>
          <w:szCs w:val="24"/>
        </w:rPr>
        <w:t xml:space="preserve"> </w:t>
      </w:r>
      <w:r w:rsidRPr="003A2B98">
        <w:rPr>
          <w:rFonts w:cs="Times New Roman"/>
          <w:color w:val="000000"/>
          <w:szCs w:val="24"/>
        </w:rPr>
        <w:t>z</w:t>
      </w:r>
      <w:r w:rsidRPr="003A2B98">
        <w:rPr>
          <w:rFonts w:cs="Times New Roman"/>
          <w:color w:val="000000"/>
          <w:spacing w:val="-19"/>
          <w:szCs w:val="24"/>
        </w:rPr>
        <w:t xml:space="preserve"> </w:t>
      </w:r>
      <w:r w:rsidRPr="003A2B98">
        <w:rPr>
          <w:rFonts w:cs="Times New Roman"/>
          <w:color w:val="000000"/>
          <w:szCs w:val="24"/>
        </w:rPr>
        <w:t>zastrzeżeniem,</w:t>
      </w:r>
      <w:r w:rsidRPr="003A2B98">
        <w:rPr>
          <w:rFonts w:cs="Times New Roman"/>
          <w:color w:val="000000"/>
          <w:spacing w:val="-18"/>
          <w:szCs w:val="24"/>
        </w:rPr>
        <w:t xml:space="preserve"> </w:t>
      </w:r>
      <w:r w:rsidRPr="003A2B98">
        <w:rPr>
          <w:rFonts w:cs="Times New Roman"/>
          <w:color w:val="000000"/>
          <w:szCs w:val="24"/>
        </w:rPr>
        <w:t>że</w:t>
      </w:r>
      <w:r w:rsidRPr="003A2B98">
        <w:rPr>
          <w:rFonts w:cs="Times New Roman"/>
          <w:color w:val="000000"/>
          <w:spacing w:val="-19"/>
          <w:szCs w:val="24"/>
        </w:rPr>
        <w:t xml:space="preserve"> </w:t>
      </w:r>
      <w:r w:rsidRPr="003A2B98">
        <w:rPr>
          <w:rFonts w:cs="Times New Roman"/>
          <w:color w:val="000000"/>
          <w:szCs w:val="24"/>
        </w:rPr>
        <w:t>po</w:t>
      </w:r>
      <w:r w:rsidRPr="003A2B98">
        <w:rPr>
          <w:rFonts w:cs="Times New Roman"/>
          <w:color w:val="000000"/>
          <w:spacing w:val="-17"/>
          <w:szCs w:val="24"/>
        </w:rPr>
        <w:t xml:space="preserve"> </w:t>
      </w:r>
      <w:r w:rsidRPr="003A2B98">
        <w:rPr>
          <w:rFonts w:cs="Times New Roman"/>
          <w:color w:val="000000"/>
          <w:szCs w:val="24"/>
        </w:rPr>
        <w:t>jego</w:t>
      </w:r>
      <w:r w:rsidRPr="003A2B98">
        <w:rPr>
          <w:rFonts w:cs="Times New Roman"/>
          <w:color w:val="000000"/>
          <w:spacing w:val="-8"/>
          <w:szCs w:val="24"/>
        </w:rPr>
        <w:t xml:space="preserve"> </w:t>
      </w:r>
      <w:r w:rsidRPr="003A2B98">
        <w:rPr>
          <w:rFonts w:cs="Times New Roman"/>
          <w:color w:val="000000"/>
          <w:szCs w:val="24"/>
        </w:rPr>
        <w:t>bezskutecznym</w:t>
      </w:r>
      <w:r w:rsidRPr="003A2B98">
        <w:rPr>
          <w:rFonts w:cs="Times New Roman"/>
          <w:color w:val="000000"/>
          <w:spacing w:val="3"/>
          <w:szCs w:val="24"/>
        </w:rPr>
        <w:t xml:space="preserve"> </w:t>
      </w:r>
      <w:r w:rsidRPr="003A2B98">
        <w:rPr>
          <w:rFonts w:cs="Times New Roman"/>
          <w:color w:val="000000"/>
          <w:szCs w:val="24"/>
        </w:rPr>
        <w:t>upływie umowa</w:t>
      </w:r>
      <w:r w:rsidRPr="003A2B98">
        <w:rPr>
          <w:rFonts w:cs="Times New Roman"/>
          <w:color w:val="000000"/>
          <w:spacing w:val="-10"/>
          <w:szCs w:val="24"/>
        </w:rPr>
        <w:t xml:space="preserve"> </w:t>
      </w:r>
      <w:r w:rsidRPr="003A2B98">
        <w:rPr>
          <w:rFonts w:cs="Times New Roman"/>
          <w:color w:val="000000"/>
          <w:szCs w:val="24"/>
        </w:rPr>
        <w:t>kompleksowa</w:t>
      </w:r>
      <w:r w:rsidRPr="003A2B98">
        <w:rPr>
          <w:rFonts w:cs="Times New Roman"/>
          <w:color w:val="000000"/>
          <w:spacing w:val="-7"/>
          <w:szCs w:val="24"/>
        </w:rPr>
        <w:t xml:space="preserve"> </w:t>
      </w:r>
      <w:r w:rsidRPr="003A2B98">
        <w:rPr>
          <w:rFonts w:cs="Times New Roman"/>
          <w:color w:val="000000"/>
          <w:szCs w:val="24"/>
        </w:rPr>
        <w:t>zostanie</w:t>
      </w:r>
      <w:r w:rsidRPr="003A2B98">
        <w:rPr>
          <w:rFonts w:cs="Times New Roman"/>
          <w:color w:val="000000"/>
          <w:spacing w:val="-5"/>
          <w:szCs w:val="24"/>
        </w:rPr>
        <w:t xml:space="preserve"> </w:t>
      </w:r>
      <w:r w:rsidRPr="003A2B98">
        <w:rPr>
          <w:rFonts w:cs="Times New Roman"/>
          <w:color w:val="000000"/>
          <w:szCs w:val="24"/>
        </w:rPr>
        <w:t>rozwiązana</w:t>
      </w:r>
      <w:r w:rsidRPr="003A2B98">
        <w:rPr>
          <w:rFonts w:cs="Times New Roman"/>
          <w:color w:val="000000"/>
          <w:spacing w:val="-1"/>
          <w:szCs w:val="24"/>
        </w:rPr>
        <w:t xml:space="preserve"> </w:t>
      </w:r>
      <w:r w:rsidRPr="003A2B98">
        <w:rPr>
          <w:rFonts w:cs="Times New Roman"/>
          <w:color w:val="000000"/>
          <w:szCs w:val="24"/>
        </w:rPr>
        <w:t>przez</w:t>
      </w:r>
      <w:r w:rsidRPr="003A2B98">
        <w:rPr>
          <w:rFonts w:cs="Times New Roman"/>
          <w:color w:val="000000"/>
          <w:spacing w:val="-18"/>
          <w:szCs w:val="24"/>
        </w:rPr>
        <w:t xml:space="preserve"> </w:t>
      </w:r>
      <w:r w:rsidRPr="003A2B98">
        <w:rPr>
          <w:rFonts w:cs="Times New Roman"/>
          <w:color w:val="000000"/>
          <w:szCs w:val="24"/>
        </w:rPr>
        <w:t>sprzedawcę</w:t>
      </w:r>
      <w:r w:rsidRPr="003A2B98">
        <w:rPr>
          <w:rFonts w:cs="Times New Roman"/>
          <w:color w:val="000000"/>
          <w:spacing w:val="-6"/>
          <w:szCs w:val="24"/>
        </w:rPr>
        <w:t xml:space="preserve"> </w:t>
      </w:r>
      <w:r w:rsidRPr="003A2B98">
        <w:rPr>
          <w:rFonts w:cs="Times New Roman"/>
          <w:color w:val="000000"/>
          <w:szCs w:val="24"/>
        </w:rPr>
        <w:t>na</w:t>
      </w:r>
      <w:r w:rsidRPr="003A2B98">
        <w:rPr>
          <w:rFonts w:cs="Times New Roman"/>
          <w:color w:val="000000"/>
          <w:spacing w:val="-16"/>
          <w:szCs w:val="24"/>
        </w:rPr>
        <w:t xml:space="preserve"> </w:t>
      </w:r>
      <w:r w:rsidRPr="003A2B98">
        <w:rPr>
          <w:rFonts w:cs="Times New Roman"/>
          <w:color w:val="000000"/>
          <w:szCs w:val="24"/>
        </w:rPr>
        <w:t>żądanie</w:t>
      </w:r>
      <w:r w:rsidRPr="003A2B98">
        <w:rPr>
          <w:rFonts w:cs="Times New Roman"/>
          <w:color w:val="000000"/>
          <w:spacing w:val="-3"/>
          <w:szCs w:val="24"/>
        </w:rPr>
        <w:t xml:space="preserve"> OSDn </w:t>
      </w:r>
      <w:r w:rsidRPr="003A2B98">
        <w:rPr>
          <w:rFonts w:cs="Times New Roman"/>
          <w:color w:val="000000"/>
          <w:szCs w:val="24"/>
        </w:rPr>
        <w:t>, zgodnie z pkt 3</w:t>
      </w:r>
      <w:r w:rsidRPr="003A2B98">
        <w:rPr>
          <w:rFonts w:cs="Times New Roman"/>
          <w:color w:val="000000"/>
          <w:spacing w:val="39"/>
          <w:szCs w:val="24"/>
        </w:rPr>
        <w:t xml:space="preserve"> </w:t>
      </w:r>
      <w:r w:rsidRPr="003A2B98">
        <w:rPr>
          <w:rFonts w:cs="Times New Roman"/>
          <w:color w:val="000000"/>
          <w:szCs w:val="24"/>
        </w:rPr>
        <w:t>poniżej.</w:t>
      </w:r>
    </w:p>
    <w:p w14:paraId="3F9C32C0" w14:textId="77777777" w:rsidR="00051FAD" w:rsidRPr="003A2B98" w:rsidRDefault="00051FAD">
      <w:pPr>
        <w:pStyle w:val="Akapitzlist"/>
        <w:widowControl w:val="0"/>
        <w:numPr>
          <w:ilvl w:val="1"/>
          <w:numId w:val="302"/>
        </w:numPr>
        <w:autoSpaceDE w:val="0"/>
        <w:autoSpaceDN w:val="0"/>
        <w:spacing w:before="5" w:line="264" w:lineRule="auto"/>
        <w:ind w:left="567" w:right="2" w:hanging="283"/>
        <w:jc w:val="both"/>
        <w:rPr>
          <w:rFonts w:cs="Times New Roman"/>
          <w:color w:val="000000"/>
          <w:szCs w:val="24"/>
        </w:rPr>
      </w:pPr>
      <w:r w:rsidRPr="003A2B98">
        <w:rPr>
          <w:rFonts w:cs="Times New Roman"/>
          <w:color w:val="000000"/>
          <w:szCs w:val="24"/>
        </w:rPr>
        <w:t xml:space="preserve">OSDn wezwie URD do zaprzestania niewykonywania lub nienależytego wykonywania obowiązków wynikających z zawartej pomiędzy sprzedawcą a tym URD umowy kompleksowej w części dystrybucyjnej, zgodnie z pkt 1 powyżej, w szczególności </w:t>
      </w:r>
      <w:r>
        <w:rPr>
          <w:rFonts w:cs="Times New Roman"/>
          <w:color w:val="000000"/>
          <w:szCs w:val="24"/>
        </w:rPr>
        <w:br/>
      </w:r>
      <w:r w:rsidRPr="003A2B98">
        <w:rPr>
          <w:rFonts w:cs="Times New Roman"/>
          <w:color w:val="000000"/>
          <w:szCs w:val="24"/>
        </w:rPr>
        <w:t>w</w:t>
      </w:r>
      <w:r w:rsidRPr="003A2B98">
        <w:rPr>
          <w:rFonts w:cs="Times New Roman"/>
          <w:color w:val="000000"/>
          <w:spacing w:val="-14"/>
          <w:szCs w:val="24"/>
        </w:rPr>
        <w:t xml:space="preserve"> </w:t>
      </w:r>
      <w:r w:rsidRPr="003A2B98">
        <w:rPr>
          <w:rFonts w:cs="Times New Roman"/>
          <w:color w:val="000000"/>
          <w:szCs w:val="24"/>
        </w:rPr>
        <w:t>przypadku:</w:t>
      </w:r>
    </w:p>
    <w:p w14:paraId="6653D7F9" w14:textId="77777777" w:rsidR="00051FAD" w:rsidRPr="003A2B98" w:rsidRDefault="00051FAD">
      <w:pPr>
        <w:pStyle w:val="Tekstpodstawowy"/>
        <w:widowControl w:val="0"/>
        <w:numPr>
          <w:ilvl w:val="0"/>
          <w:numId w:val="324"/>
        </w:numPr>
        <w:tabs>
          <w:tab w:val="clear" w:pos="4536"/>
          <w:tab w:val="clear" w:pos="9072"/>
        </w:tabs>
        <w:autoSpaceDE w:val="0"/>
        <w:autoSpaceDN w:val="0"/>
        <w:spacing w:before="0" w:line="240" w:lineRule="auto"/>
        <w:ind w:left="851" w:right="2" w:hanging="284"/>
      </w:pPr>
      <w:r w:rsidRPr="003A2B98">
        <w:t>wprowadzania do sieci OSDn zakłóceń przekraczających dopuszczalne poziomy, określone zgodnie z obowiązującymi przepisami</w:t>
      </w:r>
      <w:r w:rsidRPr="003A2B98">
        <w:rPr>
          <w:spacing w:val="-26"/>
        </w:rPr>
        <w:t xml:space="preserve"> </w:t>
      </w:r>
      <w:r w:rsidRPr="003A2B98">
        <w:t>prawa;</w:t>
      </w:r>
    </w:p>
    <w:p w14:paraId="39915EB3" w14:textId="77777777" w:rsidR="00051FAD" w:rsidRPr="003A2B98" w:rsidRDefault="00051FAD">
      <w:pPr>
        <w:pStyle w:val="Akapitzlist"/>
        <w:widowControl w:val="0"/>
        <w:numPr>
          <w:ilvl w:val="0"/>
          <w:numId w:val="306"/>
        </w:numPr>
        <w:autoSpaceDE w:val="0"/>
        <w:autoSpaceDN w:val="0"/>
        <w:spacing w:before="4"/>
        <w:ind w:left="1701" w:right="2" w:hanging="425"/>
        <w:jc w:val="both"/>
        <w:rPr>
          <w:rFonts w:cs="Times New Roman"/>
          <w:color w:val="000000"/>
          <w:szCs w:val="24"/>
        </w:rPr>
      </w:pPr>
      <w:r w:rsidRPr="003A2B98">
        <w:rPr>
          <w:rFonts w:cs="Times New Roman"/>
          <w:color w:val="000000"/>
          <w:szCs w:val="24"/>
        </w:rPr>
        <w:t xml:space="preserve">utrzymywania przez URD obiektu, własnej sieci, instalacji lub obiektów budowlanych </w:t>
      </w:r>
      <w:r>
        <w:rPr>
          <w:rFonts w:cs="Times New Roman"/>
          <w:color w:val="000000"/>
          <w:szCs w:val="24"/>
        </w:rPr>
        <w:br/>
      </w:r>
      <w:r w:rsidRPr="003A2B98">
        <w:rPr>
          <w:rFonts w:cs="Times New Roman"/>
          <w:color w:val="000000"/>
          <w:szCs w:val="24"/>
        </w:rPr>
        <w:t>w sposób zagrażający prawidłowemu funkcjonowaniu sieci zasilającej;</w:t>
      </w:r>
    </w:p>
    <w:p w14:paraId="18EABA71" w14:textId="77777777" w:rsidR="00051FAD" w:rsidRPr="003A2B98" w:rsidRDefault="00051FAD">
      <w:pPr>
        <w:pStyle w:val="Akapitzlist"/>
        <w:widowControl w:val="0"/>
        <w:numPr>
          <w:ilvl w:val="0"/>
          <w:numId w:val="306"/>
        </w:numPr>
        <w:autoSpaceDE w:val="0"/>
        <w:autoSpaceDN w:val="0"/>
        <w:ind w:left="1670" w:right="2" w:hanging="348"/>
        <w:jc w:val="both"/>
        <w:rPr>
          <w:rFonts w:cs="Times New Roman"/>
          <w:color w:val="000000"/>
          <w:szCs w:val="24"/>
        </w:rPr>
      </w:pPr>
      <w:r w:rsidRPr="003A2B98">
        <w:rPr>
          <w:rFonts w:cs="Times New Roman"/>
          <w:color w:val="000000"/>
          <w:szCs w:val="24"/>
        </w:rPr>
        <w:t>uniemożliwienia upoważnionym przedstawicielom OSDn dostępu,</w:t>
      </w:r>
      <w:r w:rsidRPr="003A2B98">
        <w:rPr>
          <w:rFonts w:cs="Times New Roman"/>
          <w:color w:val="000000"/>
          <w:spacing w:val="-6"/>
          <w:szCs w:val="24"/>
        </w:rPr>
        <w:t xml:space="preserve"> </w:t>
      </w:r>
      <w:r w:rsidRPr="003A2B98">
        <w:rPr>
          <w:rFonts w:cs="Times New Roman"/>
          <w:color w:val="000000"/>
          <w:szCs w:val="24"/>
        </w:rPr>
        <w:t>wraz</w:t>
      </w:r>
      <w:r w:rsidRPr="003A2B98">
        <w:rPr>
          <w:rFonts w:cs="Times New Roman"/>
          <w:color w:val="000000"/>
          <w:spacing w:val="-3"/>
          <w:szCs w:val="24"/>
        </w:rPr>
        <w:t xml:space="preserve"> </w:t>
      </w:r>
      <w:r>
        <w:rPr>
          <w:rFonts w:cs="Times New Roman"/>
          <w:color w:val="000000"/>
          <w:spacing w:val="-3"/>
          <w:szCs w:val="24"/>
        </w:rPr>
        <w:br/>
      </w:r>
      <w:r w:rsidRPr="003A2B98">
        <w:rPr>
          <w:rFonts w:cs="Times New Roman"/>
          <w:color w:val="000000"/>
          <w:szCs w:val="24"/>
        </w:rPr>
        <w:t>z</w:t>
      </w:r>
      <w:r w:rsidRPr="003A2B98">
        <w:rPr>
          <w:rFonts w:cs="Times New Roman"/>
          <w:color w:val="000000"/>
          <w:spacing w:val="-16"/>
          <w:szCs w:val="24"/>
        </w:rPr>
        <w:t xml:space="preserve"> </w:t>
      </w:r>
      <w:r w:rsidRPr="003A2B98">
        <w:rPr>
          <w:rFonts w:cs="Times New Roman"/>
          <w:color w:val="000000"/>
          <w:szCs w:val="24"/>
        </w:rPr>
        <w:t>niezbędnym sprzętem,</w:t>
      </w:r>
      <w:r w:rsidRPr="003A2B98">
        <w:rPr>
          <w:rFonts w:cs="Times New Roman"/>
          <w:color w:val="000000"/>
          <w:spacing w:val="-3"/>
          <w:szCs w:val="24"/>
        </w:rPr>
        <w:t xml:space="preserve"> </w:t>
      </w:r>
      <w:r w:rsidRPr="003A2B98">
        <w:rPr>
          <w:rFonts w:cs="Times New Roman"/>
          <w:color w:val="000000"/>
          <w:szCs w:val="24"/>
        </w:rPr>
        <w:t>do</w:t>
      </w:r>
      <w:r w:rsidRPr="003A2B98">
        <w:rPr>
          <w:rFonts w:cs="Times New Roman"/>
          <w:color w:val="000000"/>
          <w:spacing w:val="-15"/>
          <w:szCs w:val="24"/>
        </w:rPr>
        <w:t xml:space="preserve"> </w:t>
      </w:r>
      <w:r w:rsidRPr="003A2B98">
        <w:rPr>
          <w:rFonts w:cs="Times New Roman"/>
          <w:color w:val="000000"/>
          <w:szCs w:val="24"/>
        </w:rPr>
        <w:t>elementów sieci</w:t>
      </w:r>
      <w:r w:rsidRPr="003A2B98">
        <w:rPr>
          <w:rFonts w:cs="Times New Roman"/>
          <w:color w:val="000000"/>
          <w:spacing w:val="-4"/>
          <w:szCs w:val="24"/>
        </w:rPr>
        <w:t xml:space="preserve"> </w:t>
      </w:r>
      <w:r w:rsidRPr="003A2B98">
        <w:rPr>
          <w:rFonts w:cs="Times New Roman"/>
          <w:color w:val="000000"/>
          <w:szCs w:val="24"/>
        </w:rPr>
        <w:t>i</w:t>
      </w:r>
      <w:r w:rsidRPr="003A2B98">
        <w:rPr>
          <w:rFonts w:cs="Times New Roman"/>
          <w:color w:val="000000"/>
          <w:spacing w:val="-5"/>
          <w:szCs w:val="24"/>
        </w:rPr>
        <w:t xml:space="preserve"> </w:t>
      </w:r>
      <w:r w:rsidRPr="003A2B98">
        <w:rPr>
          <w:rFonts w:cs="Times New Roman"/>
          <w:color w:val="000000"/>
          <w:szCs w:val="24"/>
        </w:rPr>
        <w:t>urządzeń, będących własnością OSDn, znajdujących się na terenie lub w obiekcie URD, w celu usunięcia awarii w</w:t>
      </w:r>
      <w:r w:rsidRPr="003A2B98">
        <w:rPr>
          <w:rFonts w:cs="Times New Roman"/>
          <w:color w:val="000000"/>
          <w:spacing w:val="27"/>
          <w:szCs w:val="24"/>
        </w:rPr>
        <w:t xml:space="preserve"> </w:t>
      </w:r>
      <w:r w:rsidRPr="003A2B98">
        <w:rPr>
          <w:rFonts w:cs="Times New Roman"/>
          <w:color w:val="000000"/>
          <w:szCs w:val="24"/>
        </w:rPr>
        <w:t>sieci;</w:t>
      </w:r>
    </w:p>
    <w:p w14:paraId="7FFF4A7A" w14:textId="77777777" w:rsidR="00051FAD" w:rsidRPr="003A2B98" w:rsidRDefault="00051FAD">
      <w:pPr>
        <w:pStyle w:val="Akapitzlist"/>
        <w:widowControl w:val="0"/>
        <w:numPr>
          <w:ilvl w:val="0"/>
          <w:numId w:val="306"/>
        </w:numPr>
        <w:autoSpaceDE w:val="0"/>
        <w:autoSpaceDN w:val="0"/>
        <w:spacing w:line="264" w:lineRule="exact"/>
        <w:ind w:left="1679" w:right="2" w:hanging="352"/>
        <w:jc w:val="both"/>
        <w:rPr>
          <w:rFonts w:cs="Times New Roman"/>
          <w:color w:val="000000"/>
          <w:szCs w:val="24"/>
        </w:rPr>
      </w:pPr>
      <w:r w:rsidRPr="003A2B98">
        <w:rPr>
          <w:rFonts w:cs="Times New Roman"/>
          <w:color w:val="000000"/>
          <w:szCs w:val="24"/>
        </w:rPr>
        <w:t>pobierania mocy w wysokości przekraczającej wielkość mocy</w:t>
      </w:r>
      <w:r w:rsidRPr="003A2B98">
        <w:rPr>
          <w:rFonts w:cs="Times New Roman"/>
          <w:color w:val="000000"/>
          <w:spacing w:val="20"/>
          <w:szCs w:val="24"/>
        </w:rPr>
        <w:t xml:space="preserve"> </w:t>
      </w:r>
      <w:r w:rsidRPr="003A2B98">
        <w:rPr>
          <w:rFonts w:cs="Times New Roman"/>
          <w:color w:val="000000"/>
          <w:szCs w:val="24"/>
        </w:rPr>
        <w:t>przyłączeniowej;</w:t>
      </w:r>
    </w:p>
    <w:p w14:paraId="7FD92AD2" w14:textId="77777777" w:rsidR="00051FAD" w:rsidRPr="003A2B98" w:rsidRDefault="00051FAD">
      <w:pPr>
        <w:pStyle w:val="Akapitzlist"/>
        <w:widowControl w:val="0"/>
        <w:numPr>
          <w:ilvl w:val="0"/>
          <w:numId w:val="306"/>
        </w:numPr>
        <w:autoSpaceDE w:val="0"/>
        <w:autoSpaceDN w:val="0"/>
        <w:spacing w:before="4"/>
        <w:ind w:left="1678" w:right="2" w:hanging="348"/>
        <w:jc w:val="both"/>
        <w:rPr>
          <w:rFonts w:cs="Times New Roman"/>
          <w:color w:val="000000"/>
          <w:szCs w:val="24"/>
        </w:rPr>
      </w:pPr>
      <w:r w:rsidRPr="003A2B98">
        <w:rPr>
          <w:rFonts w:cs="Times New Roman"/>
          <w:color w:val="000000"/>
          <w:szCs w:val="24"/>
        </w:rPr>
        <w:t>w przypadku gdy OSDn stwierdzi, że URD użytkuje źródło wytwórcze przyłączone do instalacji URD bez uprzedniego zgłoszenia/przyłączenia do sieci OSDn instalacji wytwórczej lub braku uregulowania</w:t>
      </w:r>
      <w:r w:rsidRPr="003A2B98">
        <w:rPr>
          <w:rFonts w:cs="Times New Roman"/>
          <w:color w:val="000000"/>
          <w:spacing w:val="5"/>
          <w:szCs w:val="24"/>
        </w:rPr>
        <w:t xml:space="preserve"> </w:t>
      </w:r>
      <w:r w:rsidRPr="003A2B98">
        <w:rPr>
          <w:rFonts w:cs="Times New Roman"/>
          <w:color w:val="000000"/>
          <w:szCs w:val="24"/>
        </w:rPr>
        <w:t>umownego;</w:t>
      </w:r>
    </w:p>
    <w:p w14:paraId="494CA7E9" w14:textId="77777777" w:rsidR="00051FAD" w:rsidRPr="003A2B98" w:rsidRDefault="00051FAD">
      <w:pPr>
        <w:pStyle w:val="Akapitzlist"/>
        <w:widowControl w:val="0"/>
        <w:numPr>
          <w:ilvl w:val="0"/>
          <w:numId w:val="306"/>
        </w:numPr>
        <w:autoSpaceDE w:val="0"/>
        <w:autoSpaceDN w:val="0"/>
        <w:ind w:left="1679" w:right="2" w:hanging="348"/>
        <w:jc w:val="both"/>
        <w:rPr>
          <w:rFonts w:cs="Times New Roman"/>
          <w:color w:val="000000"/>
          <w:szCs w:val="24"/>
        </w:rPr>
      </w:pPr>
      <w:r w:rsidRPr="003A2B98">
        <w:rPr>
          <w:rFonts w:cs="Times New Roman"/>
          <w:color w:val="000000"/>
          <w:szCs w:val="24"/>
        </w:rPr>
        <w:t>uniemożliwiania dostępu do urządzeń OSDn znajdujących się w obiekcie URD, celem przeprowadzenia kontroli, wykonania prac eksploatacyjnych, odczytu wskazań układu pomiarowo-rozliczeniowego;</w:t>
      </w:r>
    </w:p>
    <w:p w14:paraId="1CD26598" w14:textId="77777777" w:rsidR="00051FAD" w:rsidRPr="003A2B98" w:rsidRDefault="00051FAD">
      <w:pPr>
        <w:pStyle w:val="Akapitzlist"/>
        <w:widowControl w:val="0"/>
        <w:numPr>
          <w:ilvl w:val="0"/>
          <w:numId w:val="306"/>
        </w:numPr>
        <w:autoSpaceDE w:val="0"/>
        <w:autoSpaceDN w:val="0"/>
        <w:ind w:left="1681" w:right="2" w:hanging="344"/>
        <w:jc w:val="both"/>
        <w:rPr>
          <w:rFonts w:cs="Times New Roman"/>
          <w:color w:val="000000"/>
          <w:szCs w:val="24"/>
        </w:rPr>
      </w:pPr>
      <w:r w:rsidRPr="003A2B98">
        <w:rPr>
          <w:rFonts w:cs="Times New Roman"/>
          <w:color w:val="000000"/>
          <w:szCs w:val="24"/>
        </w:rPr>
        <w:t>niedostosowania urządzeń do zmienionych parametrów sieci, o których został wcześniej</w:t>
      </w:r>
      <w:r w:rsidRPr="003A2B98">
        <w:rPr>
          <w:rFonts w:cs="Times New Roman"/>
          <w:color w:val="000000"/>
          <w:spacing w:val="16"/>
          <w:szCs w:val="24"/>
        </w:rPr>
        <w:t xml:space="preserve"> </w:t>
      </w:r>
      <w:r w:rsidRPr="003A2B98">
        <w:rPr>
          <w:rFonts w:cs="Times New Roman"/>
          <w:color w:val="000000"/>
          <w:szCs w:val="24"/>
        </w:rPr>
        <w:t>poinformowany;</w:t>
      </w:r>
    </w:p>
    <w:p w14:paraId="4E904ACA" w14:textId="77777777" w:rsidR="00051FAD" w:rsidRPr="003A2B98" w:rsidRDefault="00051FAD">
      <w:pPr>
        <w:pStyle w:val="Akapitzlist"/>
        <w:widowControl w:val="0"/>
        <w:numPr>
          <w:ilvl w:val="0"/>
          <w:numId w:val="306"/>
        </w:numPr>
        <w:autoSpaceDE w:val="0"/>
        <w:autoSpaceDN w:val="0"/>
        <w:ind w:left="1679" w:right="2" w:hanging="342"/>
        <w:jc w:val="both"/>
        <w:rPr>
          <w:rFonts w:cs="Times New Roman"/>
          <w:color w:val="000000"/>
          <w:szCs w:val="24"/>
        </w:rPr>
      </w:pPr>
      <w:r w:rsidRPr="003A2B98">
        <w:rPr>
          <w:rFonts w:cs="Times New Roman"/>
          <w:color w:val="000000"/>
          <w:szCs w:val="24"/>
        </w:rPr>
        <w:t>nieposiadania aktualnej Instrukcji Współpracy Ruchowej (IWR), jeżeli obowiązek jej uzgodnienia wynika z</w:t>
      </w:r>
      <w:r w:rsidRPr="003A2B98">
        <w:rPr>
          <w:rFonts w:cs="Times New Roman"/>
          <w:color w:val="000000"/>
          <w:spacing w:val="-10"/>
          <w:szCs w:val="24"/>
        </w:rPr>
        <w:t xml:space="preserve"> </w:t>
      </w:r>
      <w:r w:rsidRPr="003A2B98">
        <w:rPr>
          <w:rFonts w:cs="Times New Roman"/>
          <w:color w:val="000000"/>
          <w:szCs w:val="24"/>
        </w:rPr>
        <w:t>IRiESD;</w:t>
      </w:r>
    </w:p>
    <w:p w14:paraId="109207AB" w14:textId="77777777" w:rsidR="00051FAD" w:rsidRPr="003A2B98" w:rsidRDefault="00051FAD">
      <w:pPr>
        <w:pStyle w:val="Akapitzlist"/>
        <w:widowControl w:val="0"/>
        <w:numPr>
          <w:ilvl w:val="0"/>
          <w:numId w:val="306"/>
        </w:numPr>
        <w:autoSpaceDE w:val="0"/>
        <w:autoSpaceDN w:val="0"/>
        <w:spacing w:line="264" w:lineRule="exact"/>
        <w:ind w:left="1684" w:right="2" w:hanging="348"/>
        <w:jc w:val="both"/>
        <w:rPr>
          <w:rFonts w:cs="Times New Roman"/>
          <w:color w:val="000000"/>
          <w:szCs w:val="24"/>
        </w:rPr>
      </w:pPr>
      <w:r w:rsidRPr="003A2B98">
        <w:rPr>
          <w:rFonts w:cs="Times New Roman"/>
          <w:color w:val="000000"/>
          <w:szCs w:val="24"/>
        </w:rPr>
        <w:t>pobierania energii elektrycznej niezgodnie z taryfą OSDn;</w:t>
      </w:r>
    </w:p>
    <w:p w14:paraId="4D3CEE42" w14:textId="77777777" w:rsidR="00051FAD" w:rsidRPr="003A2B98" w:rsidRDefault="00051FAD">
      <w:pPr>
        <w:pStyle w:val="Tekstpodstawowy"/>
        <w:widowControl w:val="0"/>
        <w:numPr>
          <w:ilvl w:val="0"/>
          <w:numId w:val="306"/>
        </w:numPr>
        <w:tabs>
          <w:tab w:val="clear" w:pos="4536"/>
          <w:tab w:val="clear" w:pos="9072"/>
        </w:tabs>
        <w:autoSpaceDE w:val="0"/>
        <w:autoSpaceDN w:val="0"/>
        <w:spacing w:before="4" w:line="240" w:lineRule="auto"/>
        <w:ind w:left="1684" w:right="2" w:hanging="382"/>
      </w:pPr>
      <w:r w:rsidRPr="003A2B98">
        <w:t>z przyczyn przewidzianych przepisami prawa, w szczególności, jeżeli dalsza realizacja umowy kompleksowej naraziłaby OSDn na odpowiedzialność wobec osób trzecich.</w:t>
      </w:r>
    </w:p>
    <w:p w14:paraId="358D2A3A" w14:textId="2A90FB83" w:rsidR="00051FAD" w:rsidRPr="003A2B98" w:rsidRDefault="00051FAD">
      <w:pPr>
        <w:pStyle w:val="Akapitzlist"/>
        <w:widowControl w:val="0"/>
        <w:numPr>
          <w:ilvl w:val="1"/>
          <w:numId w:val="302"/>
        </w:numPr>
        <w:autoSpaceDE w:val="0"/>
        <w:autoSpaceDN w:val="0"/>
        <w:spacing w:before="91" w:line="249" w:lineRule="auto"/>
        <w:ind w:left="567" w:right="2" w:hanging="283"/>
        <w:jc w:val="both"/>
        <w:rPr>
          <w:rFonts w:cs="Times New Roman"/>
          <w:color w:val="000000"/>
          <w:szCs w:val="24"/>
        </w:rPr>
      </w:pPr>
      <w:r w:rsidRPr="003A2B98">
        <w:rPr>
          <w:rFonts w:cs="Times New Roman"/>
          <w:color w:val="000000"/>
          <w:szCs w:val="24"/>
        </w:rPr>
        <w:t>Sprzedawca</w:t>
      </w:r>
      <w:r w:rsidRPr="003A2B98">
        <w:rPr>
          <w:rFonts w:cs="Times New Roman"/>
          <w:color w:val="000000"/>
          <w:spacing w:val="-10"/>
          <w:szCs w:val="24"/>
        </w:rPr>
        <w:t xml:space="preserve"> </w:t>
      </w:r>
      <w:r w:rsidRPr="003A2B98">
        <w:rPr>
          <w:rFonts w:cs="Times New Roman"/>
          <w:color w:val="000000"/>
          <w:szCs w:val="24"/>
        </w:rPr>
        <w:t>zobowiązuje</w:t>
      </w:r>
      <w:r w:rsidRPr="003A2B98">
        <w:rPr>
          <w:rFonts w:cs="Times New Roman"/>
          <w:color w:val="000000"/>
          <w:spacing w:val="-8"/>
          <w:szCs w:val="24"/>
        </w:rPr>
        <w:t xml:space="preserve"> </w:t>
      </w:r>
      <w:r w:rsidRPr="003A2B98">
        <w:rPr>
          <w:rFonts w:cs="Times New Roman"/>
          <w:color w:val="000000"/>
          <w:szCs w:val="24"/>
        </w:rPr>
        <w:t>się</w:t>
      </w:r>
      <w:r w:rsidRPr="003A2B98">
        <w:rPr>
          <w:rFonts w:cs="Times New Roman"/>
          <w:color w:val="000000"/>
          <w:spacing w:val="-17"/>
          <w:szCs w:val="24"/>
        </w:rPr>
        <w:t xml:space="preserve"> </w:t>
      </w:r>
      <w:r w:rsidRPr="003A2B98">
        <w:rPr>
          <w:rFonts w:cs="Times New Roman"/>
          <w:color w:val="000000"/>
          <w:szCs w:val="24"/>
        </w:rPr>
        <w:t>do</w:t>
      </w:r>
      <w:r w:rsidRPr="003A2B98">
        <w:rPr>
          <w:rFonts w:cs="Times New Roman"/>
          <w:color w:val="000000"/>
          <w:spacing w:val="-19"/>
          <w:szCs w:val="24"/>
        </w:rPr>
        <w:t xml:space="preserve"> </w:t>
      </w:r>
      <w:r w:rsidRPr="003A2B98">
        <w:rPr>
          <w:rFonts w:cs="Times New Roman"/>
          <w:color w:val="000000"/>
          <w:szCs w:val="24"/>
        </w:rPr>
        <w:t>wypowiedzenia</w:t>
      </w:r>
      <w:r w:rsidRPr="003A2B98">
        <w:rPr>
          <w:rFonts w:cs="Times New Roman"/>
          <w:color w:val="000000"/>
          <w:spacing w:val="2"/>
          <w:szCs w:val="24"/>
        </w:rPr>
        <w:t xml:space="preserve"> </w:t>
      </w:r>
      <w:r w:rsidRPr="003A2B98">
        <w:rPr>
          <w:rFonts w:cs="Times New Roman"/>
          <w:color w:val="000000"/>
          <w:szCs w:val="24"/>
        </w:rPr>
        <w:t>na</w:t>
      </w:r>
      <w:r w:rsidRPr="003A2B98">
        <w:rPr>
          <w:rFonts w:cs="Times New Roman"/>
          <w:color w:val="000000"/>
          <w:spacing w:val="-18"/>
          <w:szCs w:val="24"/>
        </w:rPr>
        <w:t xml:space="preserve"> </w:t>
      </w:r>
      <w:r w:rsidRPr="003A2B98">
        <w:rPr>
          <w:rFonts w:cs="Times New Roman"/>
          <w:color w:val="000000"/>
          <w:szCs w:val="24"/>
        </w:rPr>
        <w:t>żądanie</w:t>
      </w:r>
      <w:r w:rsidRPr="003A2B98">
        <w:rPr>
          <w:rFonts w:cs="Times New Roman"/>
          <w:color w:val="000000"/>
          <w:spacing w:val="-13"/>
          <w:szCs w:val="24"/>
        </w:rPr>
        <w:t xml:space="preserve"> OSDn </w:t>
      </w:r>
      <w:r w:rsidRPr="003A2B98">
        <w:rPr>
          <w:rFonts w:cs="Times New Roman"/>
          <w:color w:val="000000"/>
          <w:szCs w:val="24"/>
        </w:rPr>
        <w:t xml:space="preserve">umowy kompleksowej dla URD w terminie 7 dni od otrzymania przez sprzedawcę od OSDn informacji </w:t>
      </w:r>
      <w:r>
        <w:rPr>
          <w:rFonts w:cs="Times New Roman"/>
          <w:color w:val="000000"/>
          <w:szCs w:val="24"/>
        </w:rPr>
        <w:br/>
      </w:r>
      <w:r w:rsidRPr="003A2B98">
        <w:rPr>
          <w:rFonts w:cs="Times New Roman"/>
          <w:color w:val="000000"/>
          <w:szCs w:val="24"/>
        </w:rPr>
        <w:t>o bezskutecznym upływie terminu wyznaczonego</w:t>
      </w:r>
      <w:r w:rsidRPr="003A2B98">
        <w:rPr>
          <w:rFonts w:cs="Times New Roman"/>
          <w:color w:val="000000"/>
          <w:spacing w:val="-5"/>
          <w:szCs w:val="24"/>
        </w:rPr>
        <w:t xml:space="preserve"> </w:t>
      </w:r>
      <w:r w:rsidRPr="003A2B98">
        <w:rPr>
          <w:rFonts w:cs="Times New Roman"/>
          <w:color w:val="000000"/>
          <w:szCs w:val="24"/>
        </w:rPr>
        <w:t>zgodnie</w:t>
      </w:r>
      <w:r w:rsidRPr="003A2B98">
        <w:rPr>
          <w:rFonts w:cs="Times New Roman"/>
          <w:color w:val="000000"/>
          <w:spacing w:val="-8"/>
          <w:szCs w:val="24"/>
        </w:rPr>
        <w:t xml:space="preserve"> </w:t>
      </w:r>
      <w:r w:rsidRPr="003A2B98">
        <w:rPr>
          <w:rFonts w:cs="Times New Roman"/>
          <w:color w:val="000000"/>
          <w:szCs w:val="24"/>
        </w:rPr>
        <w:t>z</w:t>
      </w:r>
      <w:r w:rsidRPr="003A2B98">
        <w:rPr>
          <w:rFonts w:cs="Times New Roman"/>
          <w:color w:val="000000"/>
          <w:spacing w:val="-13"/>
          <w:szCs w:val="24"/>
        </w:rPr>
        <w:t xml:space="preserve"> </w:t>
      </w:r>
      <w:r w:rsidRPr="003A2B98">
        <w:rPr>
          <w:rFonts w:cs="Times New Roman"/>
          <w:color w:val="000000"/>
          <w:szCs w:val="24"/>
        </w:rPr>
        <w:t>pkt</w:t>
      </w:r>
      <w:r w:rsidRPr="003A2B98">
        <w:rPr>
          <w:rFonts w:cs="Times New Roman"/>
          <w:color w:val="000000"/>
          <w:spacing w:val="-12"/>
          <w:szCs w:val="24"/>
        </w:rPr>
        <w:t xml:space="preserve"> </w:t>
      </w:r>
      <w:r w:rsidRPr="003A2B98">
        <w:rPr>
          <w:rFonts w:cs="Times New Roman"/>
          <w:color w:val="000000"/>
          <w:szCs w:val="24"/>
        </w:rPr>
        <w:t>1</w:t>
      </w:r>
      <w:r w:rsidRPr="003A2B98">
        <w:rPr>
          <w:rFonts w:cs="Times New Roman"/>
          <w:color w:val="000000"/>
          <w:spacing w:val="-10"/>
          <w:szCs w:val="24"/>
        </w:rPr>
        <w:t xml:space="preserve"> </w:t>
      </w:r>
      <w:r w:rsidRPr="003A2B98">
        <w:rPr>
          <w:rFonts w:cs="Times New Roman"/>
          <w:color w:val="000000"/>
          <w:szCs w:val="24"/>
        </w:rPr>
        <w:t>powyżej</w:t>
      </w:r>
      <w:r w:rsidRPr="003A2B98">
        <w:rPr>
          <w:rFonts w:cs="Times New Roman"/>
          <w:color w:val="000000"/>
          <w:spacing w:val="-6"/>
          <w:szCs w:val="24"/>
        </w:rPr>
        <w:t xml:space="preserve"> </w:t>
      </w:r>
      <w:r w:rsidR="00F077EB">
        <w:rPr>
          <w:rFonts w:cs="Times New Roman"/>
          <w:color w:val="000000"/>
          <w:spacing w:val="-6"/>
          <w:szCs w:val="24"/>
        </w:rPr>
        <w:br/>
      </w:r>
      <w:r w:rsidRPr="003A2B98">
        <w:rPr>
          <w:rFonts w:cs="Times New Roman"/>
          <w:color w:val="000000"/>
          <w:szCs w:val="24"/>
        </w:rPr>
        <w:t>z</w:t>
      </w:r>
      <w:r w:rsidRPr="003A2B98">
        <w:rPr>
          <w:rFonts w:cs="Times New Roman"/>
          <w:color w:val="000000"/>
          <w:spacing w:val="-10"/>
          <w:szCs w:val="24"/>
        </w:rPr>
        <w:t xml:space="preserve"> </w:t>
      </w:r>
      <w:r w:rsidRPr="003A2B98">
        <w:rPr>
          <w:rFonts w:cs="Times New Roman"/>
          <w:color w:val="000000"/>
          <w:szCs w:val="24"/>
        </w:rPr>
        <w:t>zachowaniem</w:t>
      </w:r>
      <w:r w:rsidRPr="003A2B98">
        <w:rPr>
          <w:rFonts w:cs="Times New Roman"/>
          <w:color w:val="000000"/>
          <w:spacing w:val="18"/>
          <w:szCs w:val="24"/>
        </w:rPr>
        <w:t xml:space="preserve"> </w:t>
      </w:r>
      <w:r w:rsidRPr="003A2B98">
        <w:rPr>
          <w:rFonts w:cs="Times New Roman"/>
          <w:color w:val="000000"/>
          <w:szCs w:val="24"/>
        </w:rPr>
        <w:t>przewidzianego</w:t>
      </w:r>
      <w:r w:rsidRPr="003A2B98">
        <w:rPr>
          <w:rFonts w:cs="Times New Roman"/>
          <w:color w:val="000000"/>
          <w:spacing w:val="-18"/>
          <w:szCs w:val="24"/>
        </w:rPr>
        <w:t xml:space="preserve"> </w:t>
      </w:r>
      <w:r w:rsidRPr="003A2B98">
        <w:rPr>
          <w:rFonts w:cs="Times New Roman"/>
          <w:color w:val="000000"/>
          <w:szCs w:val="24"/>
        </w:rPr>
        <w:t>w</w:t>
      </w:r>
      <w:r w:rsidRPr="003A2B98">
        <w:rPr>
          <w:rFonts w:cs="Times New Roman"/>
          <w:color w:val="000000"/>
          <w:spacing w:val="-7"/>
          <w:szCs w:val="24"/>
        </w:rPr>
        <w:t xml:space="preserve"> </w:t>
      </w:r>
      <w:r w:rsidRPr="003A2B98">
        <w:rPr>
          <w:rFonts w:cs="Times New Roman"/>
          <w:color w:val="000000"/>
          <w:szCs w:val="24"/>
        </w:rPr>
        <w:t>umowie kompleksowej okresu wypowiedzenia, przy czym okres wypowiedzenia winien być nie dłuższy niż 30</w:t>
      </w:r>
      <w:r w:rsidRPr="003A2B98">
        <w:rPr>
          <w:rFonts w:cs="Times New Roman"/>
          <w:color w:val="000000"/>
          <w:spacing w:val="-14"/>
          <w:szCs w:val="24"/>
        </w:rPr>
        <w:t xml:space="preserve"> </w:t>
      </w:r>
      <w:r w:rsidRPr="003A2B98">
        <w:rPr>
          <w:rFonts w:cs="Times New Roman"/>
          <w:color w:val="000000"/>
          <w:szCs w:val="24"/>
        </w:rPr>
        <w:t>dni.</w:t>
      </w:r>
    </w:p>
    <w:p w14:paraId="0399BB28" w14:textId="170D8C76" w:rsidR="00051FAD" w:rsidRDefault="00051FAD">
      <w:pPr>
        <w:pStyle w:val="Akapitzlist"/>
        <w:widowControl w:val="0"/>
        <w:numPr>
          <w:ilvl w:val="1"/>
          <w:numId w:val="302"/>
        </w:numPr>
        <w:autoSpaceDE w:val="0"/>
        <w:autoSpaceDN w:val="0"/>
        <w:spacing w:before="7" w:line="249" w:lineRule="auto"/>
        <w:ind w:left="567" w:right="2" w:hanging="283"/>
        <w:jc w:val="both"/>
        <w:rPr>
          <w:rFonts w:cs="Times New Roman"/>
          <w:color w:val="000000"/>
          <w:szCs w:val="24"/>
        </w:rPr>
      </w:pPr>
      <w:r w:rsidRPr="003A2B98">
        <w:rPr>
          <w:rFonts w:cs="Times New Roman"/>
          <w:color w:val="000000"/>
          <w:szCs w:val="24"/>
        </w:rPr>
        <w:t>Zobowiązanie do wypowiedzenia umowy kompleksowej w trybie pkt 3 powyżej pozostaje niezależne od uprawnienia OSDn do wstrzymania dostarczania URD energii, zgodnie z przepisem art. 6b</w:t>
      </w:r>
      <w:r w:rsidRPr="003A2B98">
        <w:rPr>
          <w:rFonts w:cs="Times New Roman"/>
          <w:color w:val="000000"/>
          <w:spacing w:val="16"/>
          <w:szCs w:val="24"/>
        </w:rPr>
        <w:t xml:space="preserve"> </w:t>
      </w:r>
      <w:r w:rsidRPr="003A2B98">
        <w:rPr>
          <w:rFonts w:cs="Times New Roman"/>
          <w:color w:val="000000"/>
          <w:szCs w:val="24"/>
        </w:rPr>
        <w:t>Ustawy.</w:t>
      </w:r>
    </w:p>
    <w:p w14:paraId="3BAD96F8" w14:textId="77777777" w:rsidR="00051FAD" w:rsidRPr="003A2B98" w:rsidRDefault="00051FAD" w:rsidP="00051FAD">
      <w:pPr>
        <w:pStyle w:val="Akapitzlist"/>
        <w:widowControl w:val="0"/>
        <w:autoSpaceDE w:val="0"/>
        <w:autoSpaceDN w:val="0"/>
        <w:spacing w:before="7" w:line="249" w:lineRule="auto"/>
        <w:ind w:right="2"/>
        <w:jc w:val="right"/>
        <w:rPr>
          <w:rFonts w:cs="Times New Roman"/>
          <w:color w:val="000000"/>
          <w:szCs w:val="24"/>
        </w:rPr>
      </w:pPr>
    </w:p>
    <w:p w14:paraId="0D856CBB" w14:textId="77777777" w:rsidR="00051FAD" w:rsidRDefault="00051FAD">
      <w:pPr>
        <w:pStyle w:val="Akapitzlist"/>
        <w:widowControl w:val="0"/>
        <w:numPr>
          <w:ilvl w:val="0"/>
          <w:numId w:val="302"/>
        </w:numPr>
        <w:autoSpaceDE w:val="0"/>
        <w:autoSpaceDN w:val="0"/>
        <w:spacing w:line="258" w:lineRule="exact"/>
        <w:ind w:left="567" w:hanging="567"/>
        <w:jc w:val="both"/>
        <w:rPr>
          <w:rFonts w:cs="Times New Roman"/>
          <w:color w:val="000000"/>
          <w:szCs w:val="24"/>
        </w:rPr>
      </w:pPr>
      <w:r>
        <w:rPr>
          <w:rFonts w:cs="Times New Roman"/>
          <w:color w:val="000000"/>
          <w:szCs w:val="24"/>
        </w:rPr>
        <w:t>Postanowienia końcowe:</w:t>
      </w:r>
    </w:p>
    <w:p w14:paraId="52A90418" w14:textId="77777777" w:rsidR="00051FAD" w:rsidRPr="004A68C7" w:rsidRDefault="00051FAD">
      <w:pPr>
        <w:numPr>
          <w:ilvl w:val="1"/>
          <w:numId w:val="302"/>
        </w:numPr>
        <w:ind w:left="709" w:right="2" w:hanging="425"/>
        <w:jc w:val="both"/>
        <w:rPr>
          <w:rFonts w:cs="Times New Roman"/>
          <w:b/>
          <w:color w:val="000000"/>
          <w:w w:val="105"/>
          <w:szCs w:val="24"/>
        </w:rPr>
      </w:pPr>
      <w:r w:rsidRPr="004A68C7">
        <w:rPr>
          <w:rFonts w:cs="Times New Roman"/>
          <w:szCs w:val="24"/>
        </w:rPr>
        <w:t xml:space="preserve">Prawem właściwym dla GUD-k jest prawo polskie. </w:t>
      </w:r>
    </w:p>
    <w:p w14:paraId="390EF578" w14:textId="77777777" w:rsidR="00051FAD" w:rsidRPr="004A68C7" w:rsidRDefault="00051FAD">
      <w:pPr>
        <w:numPr>
          <w:ilvl w:val="1"/>
          <w:numId w:val="302"/>
        </w:numPr>
        <w:ind w:left="709" w:right="2" w:hanging="425"/>
        <w:jc w:val="both"/>
        <w:rPr>
          <w:rFonts w:cs="Times New Roman"/>
          <w:b/>
          <w:color w:val="000000"/>
          <w:w w:val="105"/>
          <w:szCs w:val="24"/>
        </w:rPr>
      </w:pPr>
      <w:r w:rsidRPr="004A68C7">
        <w:rPr>
          <w:rFonts w:cs="Times New Roman"/>
          <w:szCs w:val="24"/>
        </w:rPr>
        <w:t xml:space="preserve">Wszelkie spory pomiędzy </w:t>
      </w:r>
      <w:r>
        <w:rPr>
          <w:rFonts w:cs="Times New Roman"/>
          <w:szCs w:val="24"/>
        </w:rPr>
        <w:t>OSDn</w:t>
      </w:r>
      <w:r w:rsidRPr="004A68C7">
        <w:rPr>
          <w:rFonts w:cs="Times New Roman"/>
          <w:szCs w:val="24"/>
        </w:rPr>
        <w:t xml:space="preserve"> a Sprzedawcą wynikające z GUD-</w:t>
      </w:r>
      <w:r>
        <w:rPr>
          <w:rFonts w:cs="Times New Roman"/>
          <w:szCs w:val="24"/>
        </w:rPr>
        <w:t>K</w:t>
      </w:r>
      <w:r w:rsidRPr="004A68C7">
        <w:rPr>
          <w:rFonts w:cs="Times New Roman"/>
          <w:szCs w:val="24"/>
        </w:rPr>
        <w:t xml:space="preserve"> będą rozpoznawane przez sąd właściwy miejscowo dla siedziby </w:t>
      </w:r>
      <w:r>
        <w:rPr>
          <w:rFonts w:cs="Times New Roman"/>
          <w:szCs w:val="24"/>
        </w:rPr>
        <w:t>OSDn</w:t>
      </w:r>
      <w:r w:rsidRPr="004A68C7">
        <w:rPr>
          <w:rFonts w:cs="Times New Roman"/>
          <w:szCs w:val="24"/>
        </w:rPr>
        <w:t xml:space="preserve">. </w:t>
      </w:r>
    </w:p>
    <w:p w14:paraId="0DEBD3E3" w14:textId="77777777" w:rsidR="00051FAD" w:rsidRPr="004A68C7" w:rsidRDefault="00051FAD">
      <w:pPr>
        <w:numPr>
          <w:ilvl w:val="1"/>
          <w:numId w:val="302"/>
        </w:numPr>
        <w:ind w:left="709" w:right="2" w:hanging="425"/>
        <w:jc w:val="both"/>
        <w:rPr>
          <w:rFonts w:cs="Times New Roman"/>
          <w:b/>
          <w:color w:val="000000"/>
          <w:w w:val="105"/>
          <w:szCs w:val="24"/>
        </w:rPr>
      </w:pPr>
      <w:r w:rsidRPr="004A68C7">
        <w:rPr>
          <w:rFonts w:cs="Times New Roman"/>
          <w:szCs w:val="24"/>
        </w:rPr>
        <w:t>GUD-</w:t>
      </w:r>
      <w:r>
        <w:rPr>
          <w:rFonts w:cs="Times New Roman"/>
          <w:szCs w:val="24"/>
        </w:rPr>
        <w:t>K</w:t>
      </w:r>
      <w:r w:rsidRPr="004A68C7">
        <w:rPr>
          <w:rFonts w:cs="Times New Roman"/>
          <w:szCs w:val="24"/>
        </w:rPr>
        <w:t xml:space="preserve"> jest sporządzona w języku polskim. </w:t>
      </w:r>
    </w:p>
    <w:p w14:paraId="2B2C7665" w14:textId="77777777" w:rsidR="00051FAD" w:rsidRPr="004A68C7" w:rsidRDefault="00051FAD">
      <w:pPr>
        <w:numPr>
          <w:ilvl w:val="1"/>
          <w:numId w:val="302"/>
        </w:numPr>
        <w:ind w:left="709" w:right="2" w:hanging="425"/>
        <w:jc w:val="both"/>
        <w:rPr>
          <w:rFonts w:cs="Times New Roman"/>
          <w:b/>
          <w:color w:val="000000"/>
          <w:w w:val="105"/>
          <w:szCs w:val="24"/>
        </w:rPr>
      </w:pPr>
      <w:r w:rsidRPr="004A68C7">
        <w:rPr>
          <w:rFonts w:cs="Times New Roman"/>
          <w:szCs w:val="24"/>
        </w:rPr>
        <w:t>Jeżeli którekolwiek z postanowień GUD-</w:t>
      </w:r>
      <w:r>
        <w:rPr>
          <w:rFonts w:cs="Times New Roman"/>
          <w:szCs w:val="24"/>
        </w:rPr>
        <w:t>K</w:t>
      </w:r>
      <w:r w:rsidRPr="004A68C7">
        <w:rPr>
          <w:rFonts w:cs="Times New Roman"/>
          <w:szCs w:val="24"/>
        </w:rPr>
        <w:t xml:space="preserve"> uznane zostanie za nieważne na mocy prawomocnego wyroku sądu lub ostatecznej decyzji innego uprawnionego do tego organu władzy publicznej, pozostaje to bez wpływu na ważność pozostałych postanowień GUD-</w:t>
      </w:r>
      <w:r>
        <w:rPr>
          <w:rFonts w:cs="Times New Roman"/>
          <w:szCs w:val="24"/>
        </w:rPr>
        <w:t>K</w:t>
      </w:r>
      <w:r w:rsidRPr="004A68C7">
        <w:rPr>
          <w:rFonts w:cs="Times New Roman"/>
          <w:szCs w:val="24"/>
        </w:rPr>
        <w:t xml:space="preserve">. W takim przypadku </w:t>
      </w:r>
      <w:r>
        <w:rPr>
          <w:rFonts w:cs="Times New Roman"/>
          <w:szCs w:val="24"/>
        </w:rPr>
        <w:t>OSDn</w:t>
      </w:r>
      <w:r w:rsidRPr="004A68C7">
        <w:rPr>
          <w:rFonts w:cs="Times New Roman"/>
          <w:szCs w:val="24"/>
        </w:rPr>
        <w:t xml:space="preserve"> i Sprzedawca niezwłocznie podejmą negocjacje w celu zastąpienia postanowień nieważnych innymi postanowieniami, które będą realizować możliwie zbliżony cel. Postanowienia powyższe stosuje się również, jeżeli po zawarciu GUD-</w:t>
      </w:r>
      <w:r>
        <w:rPr>
          <w:rFonts w:cs="Times New Roman"/>
          <w:szCs w:val="24"/>
        </w:rPr>
        <w:t>K</w:t>
      </w:r>
      <w:r w:rsidRPr="004A68C7">
        <w:rPr>
          <w:rFonts w:cs="Times New Roman"/>
          <w:szCs w:val="24"/>
        </w:rPr>
        <w:t xml:space="preserve"> wejdą w życie przepisy, na skutek których jakiekolwiek z postanowień GUD-</w:t>
      </w:r>
      <w:r>
        <w:rPr>
          <w:rFonts w:cs="Times New Roman"/>
          <w:szCs w:val="24"/>
        </w:rPr>
        <w:t>K</w:t>
      </w:r>
      <w:r w:rsidRPr="004A68C7">
        <w:rPr>
          <w:rFonts w:cs="Times New Roman"/>
          <w:szCs w:val="24"/>
        </w:rPr>
        <w:t xml:space="preserve"> stanie się nieważne. </w:t>
      </w:r>
    </w:p>
    <w:p w14:paraId="63C6CCBE" w14:textId="77777777" w:rsidR="00051FAD" w:rsidRDefault="00051FAD">
      <w:pPr>
        <w:numPr>
          <w:ilvl w:val="1"/>
          <w:numId w:val="302"/>
        </w:numPr>
        <w:ind w:left="709" w:right="2" w:hanging="425"/>
        <w:jc w:val="both"/>
        <w:rPr>
          <w:rFonts w:cs="Times New Roman"/>
          <w:b/>
          <w:color w:val="000000"/>
          <w:w w:val="105"/>
          <w:szCs w:val="24"/>
        </w:rPr>
      </w:pPr>
      <w:r w:rsidRPr="004A68C7">
        <w:rPr>
          <w:rFonts w:cs="Times New Roman"/>
          <w:szCs w:val="24"/>
        </w:rPr>
        <w:t xml:space="preserve">W przypadku zmian w zakresie stanu prawnego lub faktycznego mających związek </w:t>
      </w:r>
      <w:r>
        <w:rPr>
          <w:rFonts w:cs="Times New Roman"/>
          <w:szCs w:val="24"/>
        </w:rPr>
        <w:br/>
      </w:r>
      <w:r w:rsidRPr="004A68C7">
        <w:rPr>
          <w:rFonts w:cs="Times New Roman"/>
          <w:szCs w:val="24"/>
        </w:rPr>
        <w:t>z postanowieniami GUD-</w:t>
      </w:r>
      <w:r>
        <w:rPr>
          <w:rFonts w:cs="Times New Roman"/>
          <w:szCs w:val="24"/>
        </w:rPr>
        <w:t>K</w:t>
      </w:r>
      <w:r w:rsidRPr="004A68C7">
        <w:rPr>
          <w:rFonts w:cs="Times New Roman"/>
          <w:szCs w:val="24"/>
        </w:rPr>
        <w:t xml:space="preserve">, </w:t>
      </w:r>
      <w:r>
        <w:rPr>
          <w:rFonts w:cs="Times New Roman"/>
          <w:szCs w:val="24"/>
        </w:rPr>
        <w:t xml:space="preserve">OSDn </w:t>
      </w:r>
      <w:r w:rsidRPr="004A68C7">
        <w:rPr>
          <w:rFonts w:cs="Times New Roman"/>
          <w:szCs w:val="24"/>
        </w:rPr>
        <w:t>i Sprzedawca zobowiązują się do podjęcia w dobrej wierze jej renegocjacji pod kątem dostosowania GUD-</w:t>
      </w:r>
      <w:r>
        <w:rPr>
          <w:rFonts w:cs="Times New Roman"/>
          <w:szCs w:val="24"/>
        </w:rPr>
        <w:t>K</w:t>
      </w:r>
      <w:r w:rsidRPr="004A68C7">
        <w:rPr>
          <w:rFonts w:cs="Times New Roman"/>
          <w:szCs w:val="24"/>
        </w:rPr>
        <w:t xml:space="preserve"> do nowych okoliczności</w:t>
      </w:r>
      <w:r>
        <w:t>.</w:t>
      </w:r>
    </w:p>
    <w:p w14:paraId="5CA97CDF" w14:textId="77777777" w:rsidR="00051FAD" w:rsidRPr="003A2B98" w:rsidRDefault="00051FAD" w:rsidP="00051FAD">
      <w:pPr>
        <w:ind w:right="2"/>
        <w:rPr>
          <w:rFonts w:cs="Times New Roman"/>
          <w:b/>
          <w:color w:val="000000"/>
          <w:w w:val="105"/>
          <w:szCs w:val="24"/>
        </w:rPr>
      </w:pPr>
    </w:p>
    <w:p w14:paraId="6D286DC5" w14:textId="77777777" w:rsidR="00051FAD" w:rsidRDefault="00051FAD" w:rsidP="00051FAD">
      <w:pPr>
        <w:ind w:right="2"/>
        <w:rPr>
          <w:rFonts w:cs="Times New Roman"/>
          <w:b/>
          <w:color w:val="000000"/>
          <w:w w:val="105"/>
          <w:szCs w:val="24"/>
        </w:rPr>
      </w:pPr>
    </w:p>
    <w:p w14:paraId="43081AF3" w14:textId="77777777" w:rsidR="00051FAD" w:rsidRPr="003A2B98" w:rsidRDefault="00051FAD" w:rsidP="00051FAD">
      <w:pPr>
        <w:ind w:right="2"/>
        <w:rPr>
          <w:rFonts w:cs="Times New Roman"/>
          <w:b/>
          <w:color w:val="000000"/>
          <w:szCs w:val="24"/>
        </w:rPr>
      </w:pPr>
      <w:r w:rsidRPr="003A2B98">
        <w:rPr>
          <w:rFonts w:cs="Times New Roman"/>
          <w:b/>
          <w:color w:val="000000"/>
          <w:w w:val="105"/>
          <w:szCs w:val="24"/>
        </w:rPr>
        <w:t>Cześć B</w:t>
      </w:r>
    </w:p>
    <w:p w14:paraId="28FEA3D6" w14:textId="77777777" w:rsidR="00051FAD" w:rsidRPr="003A2B98" w:rsidRDefault="00051FAD" w:rsidP="00051FAD">
      <w:pPr>
        <w:spacing w:before="190"/>
        <w:ind w:right="2"/>
        <w:jc w:val="center"/>
        <w:rPr>
          <w:rFonts w:cs="Times New Roman"/>
          <w:b/>
          <w:color w:val="000000"/>
          <w:szCs w:val="24"/>
        </w:rPr>
      </w:pPr>
      <w:r w:rsidRPr="003A2B98">
        <w:rPr>
          <w:rFonts w:cs="Times New Roman"/>
          <w:b/>
          <w:color w:val="000000"/>
          <w:w w:val="105"/>
          <w:szCs w:val="24"/>
        </w:rPr>
        <w:t>Istotne postanowienia GUD</w:t>
      </w:r>
    </w:p>
    <w:p w14:paraId="4BE00E20" w14:textId="77777777" w:rsidR="00051FAD" w:rsidRPr="003A2B98" w:rsidRDefault="00051FAD" w:rsidP="00051FAD">
      <w:pPr>
        <w:pStyle w:val="Tekstpodstawowy"/>
        <w:spacing w:before="1"/>
        <w:ind w:right="2"/>
        <w:rPr>
          <w:b/>
        </w:rPr>
      </w:pPr>
    </w:p>
    <w:p w14:paraId="6D8AC31B" w14:textId="77777777" w:rsidR="00051FAD" w:rsidRPr="003A2B98" w:rsidRDefault="00051FAD" w:rsidP="00051FAD">
      <w:pPr>
        <w:spacing w:before="91"/>
        <w:ind w:right="2"/>
        <w:rPr>
          <w:rFonts w:cs="Times New Roman"/>
          <w:color w:val="000000"/>
          <w:szCs w:val="24"/>
        </w:rPr>
      </w:pPr>
      <w:r w:rsidRPr="003A2B98">
        <w:rPr>
          <w:rFonts w:cs="Times New Roman"/>
          <w:color w:val="000000"/>
          <w:w w:val="105"/>
          <w:szCs w:val="24"/>
        </w:rPr>
        <w:t>GUD zawiera następujące istotne postanowienia:</w:t>
      </w:r>
    </w:p>
    <w:p w14:paraId="7F6BC8B5" w14:textId="77777777" w:rsidR="00051FAD" w:rsidRPr="003A2B98" w:rsidRDefault="00051FAD">
      <w:pPr>
        <w:pStyle w:val="Akapitzlist"/>
        <w:widowControl w:val="0"/>
        <w:numPr>
          <w:ilvl w:val="0"/>
          <w:numId w:val="308"/>
        </w:numPr>
        <w:autoSpaceDE w:val="0"/>
        <w:autoSpaceDN w:val="0"/>
        <w:spacing w:before="180"/>
        <w:ind w:left="284" w:right="2" w:hanging="284"/>
        <w:rPr>
          <w:rFonts w:cs="Times New Roman"/>
          <w:color w:val="000000"/>
          <w:szCs w:val="24"/>
        </w:rPr>
      </w:pPr>
      <w:r w:rsidRPr="003A2B98">
        <w:rPr>
          <w:rFonts w:cs="Times New Roman"/>
          <w:color w:val="000000"/>
          <w:w w:val="105"/>
          <w:szCs w:val="24"/>
        </w:rPr>
        <w:t>Postanowienia</w:t>
      </w:r>
      <w:r w:rsidRPr="003A2B98">
        <w:rPr>
          <w:rFonts w:cs="Times New Roman"/>
          <w:color w:val="000000"/>
          <w:spacing w:val="23"/>
          <w:w w:val="105"/>
          <w:szCs w:val="24"/>
        </w:rPr>
        <w:t xml:space="preserve"> </w:t>
      </w:r>
      <w:r w:rsidRPr="003A2B98">
        <w:rPr>
          <w:rFonts w:cs="Times New Roman"/>
          <w:color w:val="000000"/>
          <w:w w:val="105"/>
          <w:szCs w:val="24"/>
        </w:rPr>
        <w:t>wstępne:</w:t>
      </w:r>
    </w:p>
    <w:p w14:paraId="64FFC927" w14:textId="77777777" w:rsidR="00051FAD" w:rsidRPr="003A2B98" w:rsidRDefault="00051FAD">
      <w:pPr>
        <w:pStyle w:val="Akapitzlist"/>
        <w:widowControl w:val="0"/>
        <w:numPr>
          <w:ilvl w:val="1"/>
          <w:numId w:val="308"/>
        </w:numPr>
        <w:autoSpaceDE w:val="0"/>
        <w:autoSpaceDN w:val="0"/>
        <w:spacing w:line="247" w:lineRule="auto"/>
        <w:ind w:left="567" w:right="2" w:hanging="283"/>
        <w:rPr>
          <w:rFonts w:cs="Times New Roman"/>
          <w:color w:val="000000"/>
          <w:szCs w:val="24"/>
        </w:rPr>
      </w:pPr>
      <w:r w:rsidRPr="003A2B98">
        <w:rPr>
          <w:rFonts w:cs="Times New Roman"/>
          <w:color w:val="000000"/>
          <w:w w:val="105"/>
          <w:szCs w:val="24"/>
        </w:rPr>
        <w:t>OSDn i</w:t>
      </w:r>
      <w:r w:rsidRPr="003A2B98">
        <w:rPr>
          <w:rFonts w:cs="Times New Roman"/>
          <w:color w:val="000000"/>
          <w:spacing w:val="-21"/>
          <w:w w:val="105"/>
          <w:szCs w:val="24"/>
        </w:rPr>
        <w:t xml:space="preserve"> </w:t>
      </w:r>
      <w:r w:rsidRPr="003A2B98">
        <w:rPr>
          <w:rFonts w:cs="Times New Roman"/>
          <w:color w:val="000000"/>
          <w:w w:val="105"/>
          <w:szCs w:val="24"/>
        </w:rPr>
        <w:t>sprzedawca</w:t>
      </w:r>
      <w:r w:rsidRPr="003A2B98">
        <w:rPr>
          <w:rFonts w:cs="Times New Roman"/>
          <w:color w:val="000000"/>
          <w:spacing w:val="-8"/>
          <w:w w:val="105"/>
          <w:szCs w:val="24"/>
        </w:rPr>
        <w:t xml:space="preserve"> </w:t>
      </w:r>
      <w:r w:rsidRPr="003A2B98">
        <w:rPr>
          <w:rFonts w:cs="Times New Roman"/>
          <w:color w:val="000000"/>
          <w:w w:val="105"/>
          <w:szCs w:val="24"/>
        </w:rPr>
        <w:t>przyjmują,</w:t>
      </w:r>
      <w:r w:rsidRPr="003A2B98">
        <w:rPr>
          <w:rFonts w:cs="Times New Roman"/>
          <w:color w:val="000000"/>
          <w:spacing w:val="-10"/>
          <w:w w:val="105"/>
          <w:szCs w:val="24"/>
        </w:rPr>
        <w:t xml:space="preserve"> </w:t>
      </w:r>
      <w:r w:rsidRPr="003A2B98">
        <w:rPr>
          <w:rFonts w:cs="Times New Roman"/>
          <w:color w:val="000000"/>
          <w:w w:val="105"/>
          <w:szCs w:val="24"/>
        </w:rPr>
        <w:t>że</w:t>
      </w:r>
      <w:r w:rsidRPr="003A2B98">
        <w:rPr>
          <w:rFonts w:cs="Times New Roman"/>
          <w:color w:val="000000"/>
          <w:spacing w:val="-22"/>
          <w:w w:val="105"/>
          <w:szCs w:val="24"/>
        </w:rPr>
        <w:t xml:space="preserve"> </w:t>
      </w:r>
      <w:r w:rsidRPr="003A2B98">
        <w:rPr>
          <w:rFonts w:cs="Times New Roman"/>
          <w:color w:val="000000"/>
          <w:w w:val="105"/>
          <w:szCs w:val="24"/>
        </w:rPr>
        <w:t>podstawę</w:t>
      </w:r>
      <w:r w:rsidRPr="003A2B98">
        <w:rPr>
          <w:rFonts w:cs="Times New Roman"/>
          <w:color w:val="000000"/>
          <w:spacing w:val="-16"/>
          <w:w w:val="105"/>
          <w:szCs w:val="24"/>
        </w:rPr>
        <w:t xml:space="preserve"> </w:t>
      </w:r>
      <w:r w:rsidRPr="003A2B98">
        <w:rPr>
          <w:rFonts w:cs="Times New Roman"/>
          <w:color w:val="000000"/>
          <w:w w:val="105"/>
          <w:szCs w:val="24"/>
        </w:rPr>
        <w:t>do</w:t>
      </w:r>
      <w:r w:rsidRPr="003A2B98">
        <w:rPr>
          <w:rFonts w:cs="Times New Roman"/>
          <w:color w:val="000000"/>
          <w:spacing w:val="-24"/>
          <w:w w:val="105"/>
          <w:szCs w:val="24"/>
        </w:rPr>
        <w:t xml:space="preserve"> </w:t>
      </w:r>
      <w:r w:rsidRPr="003A2B98">
        <w:rPr>
          <w:rFonts w:cs="Times New Roman"/>
          <w:color w:val="000000"/>
          <w:w w:val="105"/>
          <w:szCs w:val="24"/>
        </w:rPr>
        <w:t>ustalenia</w:t>
      </w:r>
      <w:r w:rsidRPr="003A2B98">
        <w:rPr>
          <w:rFonts w:cs="Times New Roman"/>
          <w:color w:val="000000"/>
          <w:spacing w:val="-16"/>
          <w:w w:val="105"/>
          <w:szCs w:val="24"/>
        </w:rPr>
        <w:t xml:space="preserve"> </w:t>
      </w:r>
      <w:r w:rsidRPr="003A2B98">
        <w:rPr>
          <w:rFonts w:cs="Times New Roman"/>
          <w:color w:val="000000"/>
          <w:w w:val="105"/>
          <w:szCs w:val="24"/>
        </w:rPr>
        <w:t>i</w:t>
      </w:r>
      <w:r w:rsidRPr="003A2B98">
        <w:rPr>
          <w:rFonts w:cs="Times New Roman"/>
          <w:color w:val="000000"/>
          <w:spacing w:val="-18"/>
          <w:w w:val="105"/>
          <w:szCs w:val="24"/>
        </w:rPr>
        <w:t xml:space="preserve"> </w:t>
      </w:r>
      <w:r w:rsidRPr="003A2B98">
        <w:rPr>
          <w:rFonts w:cs="Times New Roman"/>
          <w:color w:val="000000"/>
          <w:w w:val="105"/>
          <w:szCs w:val="24"/>
        </w:rPr>
        <w:t>realizacji warunków GUD stanowią w</w:t>
      </w:r>
      <w:r w:rsidRPr="003A2B98">
        <w:rPr>
          <w:rFonts w:cs="Times New Roman"/>
          <w:color w:val="000000"/>
          <w:spacing w:val="26"/>
          <w:w w:val="105"/>
          <w:szCs w:val="24"/>
        </w:rPr>
        <w:t xml:space="preserve"> </w:t>
      </w:r>
      <w:r w:rsidRPr="003A2B98">
        <w:rPr>
          <w:rFonts w:cs="Times New Roman"/>
          <w:color w:val="000000"/>
          <w:w w:val="105"/>
          <w:szCs w:val="24"/>
        </w:rPr>
        <w:t>szczególności:</w:t>
      </w:r>
    </w:p>
    <w:p w14:paraId="43D4D1AE" w14:textId="77777777" w:rsidR="00051FAD" w:rsidRPr="003A2B98" w:rsidRDefault="00051FAD">
      <w:pPr>
        <w:pStyle w:val="Akapitzlist"/>
        <w:widowControl w:val="0"/>
        <w:numPr>
          <w:ilvl w:val="2"/>
          <w:numId w:val="308"/>
        </w:numPr>
        <w:autoSpaceDE w:val="0"/>
        <w:autoSpaceDN w:val="0"/>
        <w:spacing w:before="5"/>
        <w:ind w:left="851" w:right="2" w:hanging="284"/>
        <w:rPr>
          <w:rFonts w:cs="Times New Roman"/>
          <w:color w:val="000000"/>
          <w:szCs w:val="24"/>
        </w:rPr>
      </w:pPr>
      <w:r w:rsidRPr="003A2B98">
        <w:rPr>
          <w:rFonts w:cs="Times New Roman"/>
          <w:color w:val="000000"/>
          <w:szCs w:val="24"/>
        </w:rPr>
        <w:t>ustawa Prawo energetyczne</w:t>
      </w:r>
      <w:r w:rsidRPr="003A2B98">
        <w:rPr>
          <w:rFonts w:cs="Times New Roman"/>
          <w:color w:val="000000"/>
          <w:spacing w:val="-8"/>
          <w:szCs w:val="24"/>
        </w:rPr>
        <w:t xml:space="preserve"> </w:t>
      </w:r>
      <w:r w:rsidRPr="003A2B98">
        <w:rPr>
          <w:rFonts w:cs="Times New Roman"/>
          <w:color w:val="000000"/>
          <w:szCs w:val="24"/>
        </w:rPr>
        <w:t>(Ustawa),</w:t>
      </w:r>
    </w:p>
    <w:p w14:paraId="567CEB5B" w14:textId="77777777" w:rsidR="00051FAD" w:rsidRPr="003A2B98" w:rsidRDefault="00051FAD">
      <w:pPr>
        <w:pStyle w:val="Akapitzlist"/>
        <w:widowControl w:val="0"/>
        <w:numPr>
          <w:ilvl w:val="1"/>
          <w:numId w:val="306"/>
        </w:numPr>
        <w:autoSpaceDE w:val="0"/>
        <w:autoSpaceDN w:val="0"/>
        <w:spacing w:before="11"/>
        <w:ind w:left="851" w:right="2" w:hanging="284"/>
        <w:rPr>
          <w:rFonts w:cs="Times New Roman"/>
          <w:color w:val="000000"/>
          <w:szCs w:val="24"/>
        </w:rPr>
      </w:pPr>
      <w:r w:rsidRPr="003A2B98">
        <w:rPr>
          <w:rFonts w:cs="Times New Roman"/>
          <w:color w:val="000000"/>
          <w:w w:val="105"/>
          <w:szCs w:val="24"/>
        </w:rPr>
        <w:t>ustawa</w:t>
      </w:r>
      <w:r w:rsidRPr="003A2B98">
        <w:rPr>
          <w:rFonts w:cs="Times New Roman"/>
          <w:color w:val="000000"/>
          <w:spacing w:val="5"/>
          <w:w w:val="105"/>
          <w:szCs w:val="24"/>
        </w:rPr>
        <w:t xml:space="preserve"> </w:t>
      </w:r>
      <w:r w:rsidRPr="003A2B98">
        <w:rPr>
          <w:rFonts w:cs="Times New Roman"/>
          <w:color w:val="000000"/>
          <w:w w:val="105"/>
          <w:szCs w:val="24"/>
        </w:rPr>
        <w:t>OZE,</w:t>
      </w:r>
    </w:p>
    <w:p w14:paraId="115DF886" w14:textId="77777777" w:rsidR="00051FAD" w:rsidRPr="003A2B98" w:rsidRDefault="00051FAD">
      <w:pPr>
        <w:pStyle w:val="Akapitzlist"/>
        <w:widowControl w:val="0"/>
        <w:numPr>
          <w:ilvl w:val="1"/>
          <w:numId w:val="306"/>
        </w:numPr>
        <w:autoSpaceDE w:val="0"/>
        <w:autoSpaceDN w:val="0"/>
        <w:spacing w:before="12"/>
        <w:ind w:left="851" w:right="2" w:hanging="284"/>
        <w:rPr>
          <w:rFonts w:cs="Times New Roman"/>
          <w:color w:val="000000"/>
          <w:szCs w:val="24"/>
        </w:rPr>
      </w:pPr>
      <w:r w:rsidRPr="003A2B98">
        <w:rPr>
          <w:rFonts w:cs="Times New Roman"/>
          <w:color w:val="000000"/>
          <w:w w:val="105"/>
          <w:szCs w:val="24"/>
        </w:rPr>
        <w:t>IRiESD,</w:t>
      </w:r>
    </w:p>
    <w:p w14:paraId="5D13E6D3" w14:textId="77777777" w:rsidR="00051FAD" w:rsidRPr="003A2B98" w:rsidRDefault="00051FAD">
      <w:pPr>
        <w:pStyle w:val="Akapitzlist"/>
        <w:widowControl w:val="0"/>
        <w:numPr>
          <w:ilvl w:val="1"/>
          <w:numId w:val="306"/>
        </w:numPr>
        <w:autoSpaceDE w:val="0"/>
        <w:autoSpaceDN w:val="0"/>
        <w:spacing w:before="11"/>
        <w:ind w:left="851" w:right="2" w:hanging="284"/>
        <w:rPr>
          <w:rFonts w:cs="Times New Roman"/>
          <w:color w:val="000000"/>
          <w:szCs w:val="24"/>
        </w:rPr>
      </w:pPr>
      <w:r w:rsidRPr="003A2B98">
        <w:rPr>
          <w:rFonts w:cs="Times New Roman"/>
          <w:color w:val="000000"/>
          <w:szCs w:val="24"/>
        </w:rPr>
        <w:t>WDB,</w:t>
      </w:r>
    </w:p>
    <w:p w14:paraId="5F8B04B1" w14:textId="77777777" w:rsidR="00051FAD" w:rsidRPr="003A2B98" w:rsidRDefault="00051FAD">
      <w:pPr>
        <w:pStyle w:val="Akapitzlist"/>
        <w:widowControl w:val="0"/>
        <w:numPr>
          <w:ilvl w:val="1"/>
          <w:numId w:val="306"/>
        </w:numPr>
        <w:autoSpaceDE w:val="0"/>
        <w:autoSpaceDN w:val="0"/>
        <w:spacing w:before="11"/>
        <w:ind w:left="851" w:right="2" w:hanging="284"/>
        <w:rPr>
          <w:rFonts w:cs="Times New Roman"/>
          <w:color w:val="000000"/>
          <w:szCs w:val="24"/>
        </w:rPr>
      </w:pPr>
      <w:r w:rsidRPr="003A2B98">
        <w:rPr>
          <w:rFonts w:cs="Times New Roman"/>
          <w:color w:val="000000"/>
          <w:w w:val="105"/>
          <w:szCs w:val="24"/>
        </w:rPr>
        <w:t>Taryfa OSDn.</w:t>
      </w:r>
    </w:p>
    <w:p w14:paraId="733FE48C" w14:textId="1CD2F426" w:rsidR="00051FAD" w:rsidRPr="00B67C06" w:rsidRDefault="00051FAD">
      <w:pPr>
        <w:widowControl w:val="0"/>
        <w:numPr>
          <w:ilvl w:val="1"/>
          <w:numId w:val="308"/>
        </w:numPr>
        <w:autoSpaceDE w:val="0"/>
        <w:autoSpaceDN w:val="0"/>
        <w:spacing w:before="4"/>
        <w:ind w:left="567" w:right="2" w:hanging="283"/>
        <w:jc w:val="both"/>
        <w:rPr>
          <w:rFonts w:cs="Times New Roman"/>
          <w:color w:val="000000"/>
          <w:szCs w:val="24"/>
        </w:rPr>
      </w:pPr>
      <w:r w:rsidRPr="00B67C06">
        <w:rPr>
          <w:rFonts w:cs="Times New Roman"/>
          <w:szCs w:val="24"/>
        </w:rPr>
        <w:t xml:space="preserve">IRiESD zatwierdzona przez Zarząd </w:t>
      </w:r>
      <w:r w:rsidR="00D57274">
        <w:rPr>
          <w:i/>
          <w:iCs/>
        </w:rPr>
        <w:t>ERG S.A.</w:t>
      </w:r>
      <w:r w:rsidR="009E56A4" w:rsidRPr="00A12506">
        <w:rPr>
          <w:rFonts w:cs="Times New Roman"/>
          <w:i/>
          <w:szCs w:val="24"/>
        </w:rPr>
        <w:t xml:space="preserve"> </w:t>
      </w:r>
      <w:r w:rsidRPr="00B67C06">
        <w:rPr>
          <w:rFonts w:cs="Times New Roman"/>
          <w:szCs w:val="24"/>
        </w:rPr>
        <w:t xml:space="preserve">stanowi część GUD. Dokonane po wejściu w życie GUD zmiany IRiESD lub WDB zatwierdzone przez Prezesa URE, obowiązują OSDn i Sprzedawcę bez konieczności sporządzania aneksu do GUD. </w:t>
      </w:r>
      <w:r>
        <w:rPr>
          <w:rFonts w:cs="Times New Roman"/>
          <w:szCs w:val="24"/>
        </w:rPr>
        <w:br/>
      </w:r>
      <w:r w:rsidRPr="00B67C06">
        <w:rPr>
          <w:rFonts w:cs="Times New Roman"/>
          <w:szCs w:val="24"/>
        </w:rPr>
        <w:t xml:space="preserve">W przypadku niezgodności zapisów GUD i IRiESD, obowiązują zapisy IRiESD. Nie wyklucza to prawa do rozwiązania GUD, zgodnie z GUD. </w:t>
      </w:r>
    </w:p>
    <w:p w14:paraId="752FBE6D" w14:textId="77777777" w:rsidR="00051FAD" w:rsidRPr="003A2B98" w:rsidRDefault="00051FAD">
      <w:pPr>
        <w:pStyle w:val="Akapitzlist"/>
        <w:widowControl w:val="0"/>
        <w:numPr>
          <w:ilvl w:val="1"/>
          <w:numId w:val="308"/>
        </w:numPr>
        <w:autoSpaceDE w:val="0"/>
        <w:autoSpaceDN w:val="0"/>
        <w:spacing w:before="17" w:line="252" w:lineRule="auto"/>
        <w:ind w:left="567" w:right="2" w:hanging="283"/>
        <w:jc w:val="both"/>
        <w:rPr>
          <w:rFonts w:cs="Times New Roman"/>
          <w:color w:val="000000"/>
          <w:szCs w:val="24"/>
        </w:rPr>
      </w:pPr>
      <w:r w:rsidRPr="003A2B98">
        <w:rPr>
          <w:rFonts w:cs="Times New Roman"/>
          <w:color w:val="000000"/>
          <w:w w:val="105"/>
          <w:szCs w:val="24"/>
        </w:rPr>
        <w:t xml:space="preserve">Warunkiem realizacji zobowiązań OSDn wobec sprzedawcy wynikających </w:t>
      </w:r>
      <w:r w:rsidRPr="003A2B98">
        <w:rPr>
          <w:rFonts w:cs="Times New Roman"/>
          <w:color w:val="000000"/>
          <w:w w:val="105"/>
          <w:szCs w:val="24"/>
        </w:rPr>
        <w:br/>
        <w:t>z GUD jest jednoczesne obowiązywanie</w:t>
      </w:r>
      <w:r w:rsidRPr="003A2B98">
        <w:rPr>
          <w:rFonts w:cs="Times New Roman"/>
          <w:color w:val="000000"/>
          <w:spacing w:val="-6"/>
          <w:w w:val="105"/>
          <w:szCs w:val="24"/>
        </w:rPr>
        <w:t xml:space="preserve"> </w:t>
      </w:r>
      <w:r w:rsidRPr="003A2B98">
        <w:rPr>
          <w:rFonts w:cs="Times New Roman"/>
          <w:color w:val="000000"/>
          <w:w w:val="105"/>
          <w:szCs w:val="24"/>
        </w:rPr>
        <w:t>umów:</w:t>
      </w:r>
    </w:p>
    <w:p w14:paraId="43A94745" w14:textId="77777777" w:rsidR="00051FAD" w:rsidRPr="003A2B98" w:rsidRDefault="00051FAD">
      <w:pPr>
        <w:pStyle w:val="Akapitzlist"/>
        <w:widowControl w:val="0"/>
        <w:numPr>
          <w:ilvl w:val="1"/>
          <w:numId w:val="307"/>
        </w:numPr>
        <w:autoSpaceDE w:val="0"/>
        <w:autoSpaceDN w:val="0"/>
        <w:spacing w:line="249" w:lineRule="auto"/>
        <w:ind w:left="851" w:right="2" w:hanging="284"/>
        <w:jc w:val="both"/>
        <w:rPr>
          <w:rFonts w:cs="Times New Roman"/>
          <w:color w:val="000000"/>
          <w:szCs w:val="24"/>
        </w:rPr>
      </w:pPr>
      <w:r w:rsidRPr="003A2B98">
        <w:rPr>
          <w:rFonts w:cs="Times New Roman"/>
          <w:color w:val="000000"/>
          <w:szCs w:val="24"/>
        </w:rPr>
        <w:t>o świadczenie usług przesyłania energii elektrycznej zawartej pomiędzy OSDn a OSP;</w:t>
      </w:r>
    </w:p>
    <w:p w14:paraId="501FFCA7" w14:textId="77777777" w:rsidR="00051FAD" w:rsidRPr="003A2B98" w:rsidRDefault="00051FAD">
      <w:pPr>
        <w:pStyle w:val="Akapitzlist"/>
        <w:widowControl w:val="0"/>
        <w:numPr>
          <w:ilvl w:val="1"/>
          <w:numId w:val="307"/>
        </w:numPr>
        <w:autoSpaceDE w:val="0"/>
        <w:autoSpaceDN w:val="0"/>
        <w:spacing w:line="247" w:lineRule="auto"/>
        <w:ind w:left="851" w:right="2" w:hanging="284"/>
        <w:jc w:val="both"/>
        <w:rPr>
          <w:rFonts w:cs="Times New Roman"/>
          <w:color w:val="000000"/>
          <w:szCs w:val="24"/>
        </w:rPr>
      </w:pPr>
      <w:r w:rsidRPr="003A2B98">
        <w:rPr>
          <w:rFonts w:cs="Times New Roman"/>
          <w:color w:val="000000"/>
          <w:w w:val="105"/>
          <w:szCs w:val="24"/>
        </w:rPr>
        <w:t>o świadczenie usług dystrybucji zawartych pomiędzy OSDn a</w:t>
      </w:r>
      <w:r w:rsidRPr="003A2B98">
        <w:rPr>
          <w:rFonts w:cs="Times New Roman"/>
          <w:color w:val="000000"/>
          <w:spacing w:val="-4"/>
          <w:w w:val="105"/>
          <w:szCs w:val="24"/>
        </w:rPr>
        <w:t xml:space="preserve"> </w:t>
      </w:r>
      <w:r w:rsidRPr="003A2B98">
        <w:rPr>
          <w:rFonts w:cs="Times New Roman"/>
          <w:color w:val="000000"/>
          <w:w w:val="105"/>
          <w:szCs w:val="24"/>
        </w:rPr>
        <w:t>URD;</w:t>
      </w:r>
    </w:p>
    <w:p w14:paraId="762C83A8" w14:textId="77777777" w:rsidR="00051FAD" w:rsidRPr="003A2B98" w:rsidRDefault="00051FAD">
      <w:pPr>
        <w:pStyle w:val="Akapitzlist"/>
        <w:widowControl w:val="0"/>
        <w:numPr>
          <w:ilvl w:val="1"/>
          <w:numId w:val="307"/>
        </w:numPr>
        <w:autoSpaceDE w:val="0"/>
        <w:autoSpaceDN w:val="0"/>
        <w:spacing w:before="7" w:line="249" w:lineRule="auto"/>
        <w:ind w:left="851" w:right="2" w:hanging="284"/>
        <w:jc w:val="both"/>
        <w:rPr>
          <w:rFonts w:cs="Times New Roman"/>
          <w:color w:val="000000"/>
          <w:szCs w:val="24"/>
        </w:rPr>
      </w:pPr>
      <w:r w:rsidRPr="003A2B98">
        <w:rPr>
          <w:rFonts w:cs="Times New Roman"/>
          <w:color w:val="000000"/>
          <w:w w:val="105"/>
          <w:szCs w:val="24"/>
        </w:rPr>
        <w:t>o świadczenie usług dystrybucji zawartej pomiędzy OSDn a OSDp;</w:t>
      </w:r>
    </w:p>
    <w:p w14:paraId="24C3C0F0" w14:textId="77777777" w:rsidR="00051FAD" w:rsidRPr="003A2B98" w:rsidRDefault="00051FAD">
      <w:pPr>
        <w:pStyle w:val="Akapitzlist"/>
        <w:widowControl w:val="0"/>
        <w:numPr>
          <w:ilvl w:val="1"/>
          <w:numId w:val="307"/>
        </w:numPr>
        <w:autoSpaceDE w:val="0"/>
        <w:autoSpaceDN w:val="0"/>
        <w:spacing w:before="7" w:line="249" w:lineRule="auto"/>
        <w:ind w:left="851" w:right="2" w:hanging="284"/>
        <w:jc w:val="both"/>
        <w:rPr>
          <w:rFonts w:cs="Times New Roman"/>
          <w:color w:val="000000"/>
          <w:szCs w:val="24"/>
        </w:rPr>
      </w:pPr>
      <w:r w:rsidRPr="003A2B98">
        <w:rPr>
          <w:rFonts w:cs="Times New Roman"/>
          <w:color w:val="000000"/>
          <w:w w:val="105"/>
          <w:szCs w:val="24"/>
        </w:rPr>
        <w:t>o świadczenie usług dystrybucji zawartej pomiędzy OSD a POB wskazanym przez sprzedawcę - przez wskazanie POB rozumie się również oznaczenie samego sprzedawcy jako podmiotu odpowiedzialnego za bilansowanie</w:t>
      </w:r>
      <w:r w:rsidRPr="003A2B98">
        <w:rPr>
          <w:rFonts w:cs="Times New Roman"/>
          <w:color w:val="000000"/>
          <w:spacing w:val="22"/>
          <w:w w:val="105"/>
          <w:szCs w:val="24"/>
        </w:rPr>
        <w:t xml:space="preserve"> </w:t>
      </w:r>
      <w:r w:rsidRPr="003A2B98">
        <w:rPr>
          <w:rFonts w:cs="Times New Roman"/>
          <w:color w:val="000000"/>
          <w:w w:val="105"/>
          <w:szCs w:val="24"/>
        </w:rPr>
        <w:t>handlowe;</w:t>
      </w:r>
    </w:p>
    <w:p w14:paraId="04CD893D" w14:textId="77777777" w:rsidR="00051FAD" w:rsidRPr="003A2B98" w:rsidRDefault="00051FAD">
      <w:pPr>
        <w:pStyle w:val="Akapitzlist"/>
        <w:widowControl w:val="0"/>
        <w:numPr>
          <w:ilvl w:val="1"/>
          <w:numId w:val="307"/>
        </w:numPr>
        <w:autoSpaceDE w:val="0"/>
        <w:autoSpaceDN w:val="0"/>
        <w:spacing w:before="5" w:line="249" w:lineRule="auto"/>
        <w:ind w:left="851" w:right="2" w:hanging="284"/>
        <w:jc w:val="both"/>
        <w:rPr>
          <w:rFonts w:cs="Times New Roman"/>
          <w:color w:val="000000"/>
          <w:szCs w:val="24"/>
        </w:rPr>
      </w:pPr>
      <w:r w:rsidRPr="003A2B98">
        <w:rPr>
          <w:rFonts w:cs="Times New Roman"/>
          <w:color w:val="000000"/>
          <w:w w:val="105"/>
          <w:szCs w:val="24"/>
        </w:rPr>
        <w:t>o świadczenie usług przesyłania energii elektrycznej zawartej pomiędzy wskazanym przez sprzedawcę POB a</w:t>
      </w:r>
      <w:r w:rsidRPr="003A2B98">
        <w:rPr>
          <w:rFonts w:cs="Times New Roman"/>
          <w:color w:val="000000"/>
          <w:spacing w:val="48"/>
          <w:w w:val="105"/>
          <w:szCs w:val="24"/>
        </w:rPr>
        <w:t xml:space="preserve"> </w:t>
      </w:r>
      <w:r w:rsidRPr="003A2B98">
        <w:rPr>
          <w:rFonts w:cs="Times New Roman"/>
          <w:color w:val="000000"/>
          <w:w w:val="105"/>
          <w:szCs w:val="24"/>
        </w:rPr>
        <w:t>OSP.</w:t>
      </w:r>
    </w:p>
    <w:p w14:paraId="5C1698AA" w14:textId="740C9ABE" w:rsidR="00051FAD" w:rsidRPr="003A2B98" w:rsidRDefault="00051FAD">
      <w:pPr>
        <w:pStyle w:val="Akapitzlist"/>
        <w:widowControl w:val="0"/>
        <w:numPr>
          <w:ilvl w:val="0"/>
          <w:numId w:val="328"/>
        </w:numPr>
        <w:autoSpaceDE w:val="0"/>
        <w:autoSpaceDN w:val="0"/>
        <w:spacing w:before="91" w:line="249" w:lineRule="auto"/>
        <w:ind w:left="567" w:right="2" w:hanging="283"/>
        <w:jc w:val="both"/>
        <w:rPr>
          <w:rFonts w:cs="Times New Roman"/>
          <w:color w:val="000000"/>
          <w:szCs w:val="24"/>
        </w:rPr>
      </w:pPr>
      <w:r w:rsidRPr="003A2B98">
        <w:rPr>
          <w:rFonts w:cs="Times New Roman"/>
          <w:color w:val="000000"/>
          <w:w w:val="105"/>
          <w:szCs w:val="24"/>
        </w:rPr>
        <w:t xml:space="preserve">OSDn wstrzymuje realizację GUD w całości lub w części, jeżeli którakolwiek </w:t>
      </w:r>
      <w:r w:rsidR="00F077EB">
        <w:rPr>
          <w:rFonts w:cs="Times New Roman"/>
          <w:color w:val="000000"/>
          <w:w w:val="105"/>
          <w:szCs w:val="24"/>
        </w:rPr>
        <w:br/>
      </w:r>
      <w:r w:rsidRPr="003A2B98">
        <w:rPr>
          <w:rFonts w:cs="Times New Roman"/>
          <w:color w:val="000000"/>
          <w:w w:val="105"/>
          <w:szCs w:val="24"/>
        </w:rPr>
        <w:t>z umów, o których mowa w pkt 3, nie obowiązuje lub nie</w:t>
      </w:r>
      <w:r w:rsidRPr="003A2B98">
        <w:rPr>
          <w:rFonts w:cs="Times New Roman"/>
          <w:color w:val="000000"/>
          <w:spacing w:val="49"/>
          <w:w w:val="105"/>
          <w:szCs w:val="24"/>
        </w:rPr>
        <w:t xml:space="preserve"> </w:t>
      </w:r>
      <w:r w:rsidRPr="003A2B98">
        <w:rPr>
          <w:rFonts w:cs="Times New Roman"/>
          <w:color w:val="000000"/>
          <w:w w:val="105"/>
          <w:szCs w:val="24"/>
        </w:rPr>
        <w:t xml:space="preserve">jest </w:t>
      </w:r>
      <w:r w:rsidRPr="003A2B98">
        <w:rPr>
          <w:rFonts w:cs="Times New Roman"/>
          <w:color w:val="000000"/>
          <w:szCs w:val="24"/>
        </w:rPr>
        <w:t>realizowana, w zakresie w jakim nie będzie możliwa realizacja GUD bez obowiązywania lub realizacji danej umowy.</w:t>
      </w:r>
    </w:p>
    <w:p w14:paraId="69EB91BD" w14:textId="77777777" w:rsidR="00051FAD" w:rsidRPr="003A2B98" w:rsidRDefault="00051FAD">
      <w:pPr>
        <w:pStyle w:val="Akapitzlist"/>
        <w:widowControl w:val="0"/>
        <w:numPr>
          <w:ilvl w:val="0"/>
          <w:numId w:val="308"/>
        </w:numPr>
        <w:autoSpaceDE w:val="0"/>
        <w:autoSpaceDN w:val="0"/>
        <w:spacing w:line="264" w:lineRule="exact"/>
        <w:ind w:left="284" w:right="2" w:hanging="284"/>
        <w:rPr>
          <w:rFonts w:cs="Times New Roman"/>
          <w:color w:val="000000"/>
          <w:szCs w:val="24"/>
        </w:rPr>
      </w:pPr>
      <w:r w:rsidRPr="003A2B98">
        <w:rPr>
          <w:rFonts w:cs="Times New Roman"/>
          <w:color w:val="000000"/>
          <w:szCs w:val="24"/>
        </w:rPr>
        <w:t>Przedmiot</w:t>
      </w:r>
      <w:r w:rsidRPr="003A2B98">
        <w:rPr>
          <w:rFonts w:cs="Times New Roman"/>
          <w:color w:val="000000"/>
          <w:spacing w:val="18"/>
          <w:szCs w:val="24"/>
        </w:rPr>
        <w:t xml:space="preserve"> </w:t>
      </w:r>
      <w:r w:rsidRPr="003A2B98">
        <w:rPr>
          <w:rFonts w:cs="Times New Roman"/>
          <w:color w:val="000000"/>
          <w:szCs w:val="24"/>
        </w:rPr>
        <w:t>GUD:</w:t>
      </w:r>
    </w:p>
    <w:p w14:paraId="0D42F3A7" w14:textId="77777777" w:rsidR="00051FAD" w:rsidRPr="003A2B98" w:rsidRDefault="00051FAD">
      <w:pPr>
        <w:pStyle w:val="Akapitzlist"/>
        <w:widowControl w:val="0"/>
        <w:numPr>
          <w:ilvl w:val="0"/>
          <w:numId w:val="311"/>
        </w:numPr>
        <w:autoSpaceDE w:val="0"/>
        <w:autoSpaceDN w:val="0"/>
        <w:spacing w:before="4"/>
        <w:ind w:left="567" w:right="2" w:hanging="283"/>
        <w:jc w:val="both"/>
        <w:rPr>
          <w:rFonts w:cs="Times New Roman"/>
          <w:color w:val="000000"/>
          <w:szCs w:val="24"/>
        </w:rPr>
      </w:pPr>
      <w:r w:rsidRPr="003A2B98">
        <w:rPr>
          <w:rFonts w:cs="Times New Roman"/>
          <w:color w:val="000000"/>
          <w:szCs w:val="24"/>
        </w:rPr>
        <w:t>Na mocy GUD OSDn zobowiązuje się wobec sprzedawcy do świadczenia usług dystrybucji na rzecz URD, w</w:t>
      </w:r>
      <w:r w:rsidRPr="003A2B98">
        <w:rPr>
          <w:rFonts w:cs="Times New Roman"/>
          <w:color w:val="000000"/>
          <w:spacing w:val="1"/>
          <w:szCs w:val="24"/>
        </w:rPr>
        <w:t xml:space="preserve"> </w:t>
      </w:r>
      <w:r w:rsidRPr="003A2B98">
        <w:rPr>
          <w:rFonts w:cs="Times New Roman"/>
          <w:color w:val="000000"/>
          <w:szCs w:val="24"/>
        </w:rPr>
        <w:t>przypadku:</w:t>
      </w:r>
    </w:p>
    <w:p w14:paraId="5C8A0809" w14:textId="77777777" w:rsidR="00051FAD" w:rsidRPr="003A2B98" w:rsidRDefault="00051FAD">
      <w:pPr>
        <w:pStyle w:val="Akapitzlist"/>
        <w:widowControl w:val="0"/>
        <w:numPr>
          <w:ilvl w:val="1"/>
          <w:numId w:val="311"/>
        </w:numPr>
        <w:autoSpaceDE w:val="0"/>
        <w:autoSpaceDN w:val="0"/>
        <w:ind w:left="709" w:right="2" w:hanging="283"/>
        <w:jc w:val="both"/>
        <w:rPr>
          <w:rFonts w:cs="Times New Roman"/>
          <w:color w:val="000000"/>
          <w:szCs w:val="24"/>
        </w:rPr>
      </w:pPr>
      <w:r w:rsidRPr="003A2B98">
        <w:rPr>
          <w:rFonts w:cs="Times New Roman"/>
          <w:color w:val="000000"/>
          <w:szCs w:val="24"/>
        </w:rPr>
        <w:t>sprzedaży energii elektrycznej na podstawie urnowy sprzedaży - dotyczy energii elektrycznej pobranej z sieci dystrybucyjnej OSDn;</w:t>
      </w:r>
    </w:p>
    <w:p w14:paraId="36632E37" w14:textId="77777777" w:rsidR="00051FAD" w:rsidRPr="003A2B98" w:rsidRDefault="00051FAD" w:rsidP="00051FAD">
      <w:pPr>
        <w:pStyle w:val="Tekstpodstawowy"/>
        <w:ind w:left="709" w:right="2" w:hanging="283"/>
      </w:pPr>
      <w:r w:rsidRPr="003A2B98">
        <w:t>2) zakupu energii elektrycznej na podstawie umowy sprzedaży- dotyczy energii elektrycznej wprowadzonej do sieci dystrybucyjnej OSDn.</w:t>
      </w:r>
    </w:p>
    <w:p w14:paraId="15F0D1DE" w14:textId="77777777" w:rsidR="00051FAD" w:rsidRPr="003A2B98" w:rsidRDefault="00051FAD">
      <w:pPr>
        <w:pStyle w:val="Akapitzlist"/>
        <w:widowControl w:val="0"/>
        <w:numPr>
          <w:ilvl w:val="0"/>
          <w:numId w:val="310"/>
        </w:numPr>
        <w:autoSpaceDE w:val="0"/>
        <w:autoSpaceDN w:val="0"/>
        <w:spacing w:before="4"/>
        <w:ind w:left="567" w:right="2" w:hanging="283"/>
        <w:jc w:val="both"/>
        <w:rPr>
          <w:rFonts w:cs="Times New Roman"/>
          <w:color w:val="000000"/>
          <w:szCs w:val="24"/>
        </w:rPr>
      </w:pPr>
      <w:r w:rsidRPr="003A2B98">
        <w:rPr>
          <w:rFonts w:cs="Times New Roman"/>
          <w:color w:val="000000"/>
          <w:szCs w:val="24"/>
        </w:rPr>
        <w:t>GUD wraz z IRiESD i Taryfą OSDn określa szczegółowe warunki świadczenia przez OSDn usług dystrybucji oraz</w:t>
      </w:r>
      <w:r w:rsidRPr="003A2B98">
        <w:rPr>
          <w:rFonts w:cs="Times New Roman"/>
          <w:color w:val="000000"/>
          <w:spacing w:val="-44"/>
          <w:szCs w:val="24"/>
        </w:rPr>
        <w:t xml:space="preserve"> </w:t>
      </w:r>
      <w:r w:rsidRPr="003A2B98">
        <w:rPr>
          <w:rFonts w:cs="Times New Roman"/>
          <w:color w:val="000000"/>
          <w:szCs w:val="24"/>
        </w:rPr>
        <w:t xml:space="preserve">zasady współpracy OSDn i sprzedawcy w tym zakresie, </w:t>
      </w:r>
      <w:r>
        <w:rPr>
          <w:rFonts w:cs="Times New Roman"/>
          <w:color w:val="000000"/>
          <w:szCs w:val="24"/>
        </w:rPr>
        <w:br/>
      </w:r>
      <w:r w:rsidRPr="003A2B98">
        <w:rPr>
          <w:rFonts w:cs="Times New Roman"/>
          <w:color w:val="000000"/>
          <w:szCs w:val="24"/>
        </w:rPr>
        <w:t>w</w:t>
      </w:r>
      <w:r w:rsidRPr="003A2B98">
        <w:rPr>
          <w:rFonts w:cs="Times New Roman"/>
          <w:color w:val="000000"/>
          <w:spacing w:val="-14"/>
          <w:szCs w:val="24"/>
        </w:rPr>
        <w:t xml:space="preserve"> </w:t>
      </w:r>
      <w:r w:rsidRPr="003A2B98">
        <w:rPr>
          <w:rFonts w:cs="Times New Roman"/>
          <w:color w:val="000000"/>
          <w:szCs w:val="24"/>
        </w:rPr>
        <w:t>szczególności:</w:t>
      </w:r>
    </w:p>
    <w:p w14:paraId="52AFFBFA" w14:textId="77777777" w:rsidR="00051FAD" w:rsidRPr="003A2B98" w:rsidRDefault="00051FAD" w:rsidP="00051FAD">
      <w:pPr>
        <w:pStyle w:val="Tekstpodstawowy"/>
        <w:spacing w:before="4" w:line="235" w:lineRule="auto"/>
        <w:ind w:left="567" w:right="2" w:hanging="283"/>
      </w:pPr>
      <w:r w:rsidRPr="003A2B98">
        <w:t>l) zasady i terminy zgłaszania przez sprzedawcę do OSDn umów sprzedaży;</w:t>
      </w:r>
    </w:p>
    <w:p w14:paraId="446286DA" w14:textId="77777777" w:rsidR="00051FAD" w:rsidRPr="003A2B98" w:rsidRDefault="00051FAD">
      <w:pPr>
        <w:pStyle w:val="Akapitzlist"/>
        <w:widowControl w:val="0"/>
        <w:numPr>
          <w:ilvl w:val="0"/>
          <w:numId w:val="309"/>
        </w:numPr>
        <w:autoSpaceDE w:val="0"/>
        <w:autoSpaceDN w:val="0"/>
        <w:spacing w:before="6"/>
        <w:ind w:left="567" w:right="2" w:hanging="283"/>
        <w:jc w:val="both"/>
        <w:rPr>
          <w:rFonts w:cs="Times New Roman"/>
          <w:color w:val="000000"/>
          <w:szCs w:val="24"/>
        </w:rPr>
      </w:pPr>
      <w:r w:rsidRPr="003A2B98">
        <w:rPr>
          <w:rFonts w:cs="Times New Roman"/>
          <w:color w:val="000000"/>
          <w:szCs w:val="24"/>
        </w:rPr>
        <w:t xml:space="preserve">zasady obejmowania postanowieniami GUD kolejnych URD i zobowiązania OSDn </w:t>
      </w:r>
      <w:r>
        <w:rPr>
          <w:rFonts w:cs="Times New Roman"/>
          <w:color w:val="000000"/>
          <w:szCs w:val="24"/>
        </w:rPr>
        <w:br/>
      </w:r>
      <w:r w:rsidRPr="003A2B98">
        <w:rPr>
          <w:rFonts w:cs="Times New Roman"/>
          <w:color w:val="000000"/>
          <w:szCs w:val="24"/>
        </w:rPr>
        <w:t>i sprzedawcy w tym</w:t>
      </w:r>
      <w:r w:rsidRPr="003A2B98">
        <w:rPr>
          <w:rFonts w:cs="Times New Roman"/>
          <w:color w:val="000000"/>
          <w:spacing w:val="8"/>
          <w:szCs w:val="24"/>
        </w:rPr>
        <w:t xml:space="preserve"> </w:t>
      </w:r>
      <w:r w:rsidRPr="003A2B98">
        <w:rPr>
          <w:rFonts w:cs="Times New Roman"/>
          <w:color w:val="000000"/>
          <w:szCs w:val="24"/>
        </w:rPr>
        <w:t>zakresie;</w:t>
      </w:r>
    </w:p>
    <w:p w14:paraId="12DC3BA7" w14:textId="77777777" w:rsidR="00051FAD" w:rsidRPr="003A2B98" w:rsidRDefault="00051FAD">
      <w:pPr>
        <w:pStyle w:val="Akapitzlist"/>
        <w:widowControl w:val="0"/>
        <w:numPr>
          <w:ilvl w:val="0"/>
          <w:numId w:val="309"/>
        </w:numPr>
        <w:autoSpaceDE w:val="0"/>
        <w:autoSpaceDN w:val="0"/>
        <w:ind w:left="567" w:right="2" w:hanging="283"/>
        <w:jc w:val="both"/>
        <w:rPr>
          <w:rFonts w:cs="Times New Roman"/>
          <w:color w:val="000000"/>
          <w:szCs w:val="24"/>
        </w:rPr>
      </w:pPr>
      <w:r w:rsidRPr="003A2B98">
        <w:rPr>
          <w:rFonts w:cs="Times New Roman"/>
          <w:color w:val="000000"/>
          <w:szCs w:val="24"/>
        </w:rPr>
        <w:t>zasady wyłączania z zakresu GUD tych URD, z którymi zawarte urnowy sprzedaży lub umowy o świadczenie usług dystrybucji wygasły lub zostały rozwiązane;</w:t>
      </w:r>
    </w:p>
    <w:p w14:paraId="25E94312" w14:textId="77777777" w:rsidR="00051FAD" w:rsidRPr="003A2B98" w:rsidRDefault="00051FAD">
      <w:pPr>
        <w:pStyle w:val="Akapitzlist"/>
        <w:widowControl w:val="0"/>
        <w:numPr>
          <w:ilvl w:val="0"/>
          <w:numId w:val="309"/>
        </w:numPr>
        <w:autoSpaceDE w:val="0"/>
        <w:autoSpaceDN w:val="0"/>
        <w:spacing w:before="9" w:line="235" w:lineRule="auto"/>
        <w:ind w:left="567" w:right="2" w:hanging="283"/>
        <w:jc w:val="both"/>
        <w:rPr>
          <w:rFonts w:cs="Times New Roman"/>
          <w:color w:val="000000"/>
          <w:szCs w:val="24"/>
        </w:rPr>
      </w:pPr>
      <w:r w:rsidRPr="003A2B98">
        <w:rPr>
          <w:rFonts w:cs="Times New Roman"/>
          <w:color w:val="000000"/>
          <w:szCs w:val="24"/>
        </w:rPr>
        <w:t>wskazanie POB oraz zasady i warunki jego zmiany, w tym umocowanie wskazanego przez Sprzedawcę</w:t>
      </w:r>
      <w:r w:rsidRPr="003A2B98">
        <w:rPr>
          <w:rFonts w:cs="Times New Roman"/>
          <w:color w:val="000000"/>
          <w:spacing w:val="2"/>
          <w:szCs w:val="24"/>
        </w:rPr>
        <w:t xml:space="preserve"> </w:t>
      </w:r>
      <w:r w:rsidRPr="003A2B98">
        <w:rPr>
          <w:rFonts w:cs="Times New Roman"/>
          <w:color w:val="000000"/>
          <w:szCs w:val="24"/>
        </w:rPr>
        <w:t>POB;</w:t>
      </w:r>
    </w:p>
    <w:p w14:paraId="00BED55F" w14:textId="77777777" w:rsidR="00051FAD" w:rsidRPr="003A2B98" w:rsidRDefault="00051FAD">
      <w:pPr>
        <w:pStyle w:val="Akapitzlist"/>
        <w:widowControl w:val="0"/>
        <w:numPr>
          <w:ilvl w:val="0"/>
          <w:numId w:val="309"/>
        </w:numPr>
        <w:autoSpaceDE w:val="0"/>
        <w:autoSpaceDN w:val="0"/>
        <w:spacing w:before="10" w:line="235" w:lineRule="auto"/>
        <w:ind w:left="567" w:right="2" w:hanging="283"/>
        <w:jc w:val="both"/>
        <w:rPr>
          <w:rFonts w:cs="Times New Roman"/>
          <w:color w:val="000000"/>
          <w:szCs w:val="24"/>
        </w:rPr>
      </w:pPr>
      <w:r w:rsidRPr="003A2B98">
        <w:rPr>
          <w:rFonts w:cs="Times New Roman"/>
          <w:color w:val="000000"/>
          <w:szCs w:val="24"/>
        </w:rPr>
        <w:t>zasady</w:t>
      </w:r>
      <w:r w:rsidRPr="003A2B98">
        <w:rPr>
          <w:rFonts w:cs="Times New Roman"/>
          <w:color w:val="000000"/>
          <w:spacing w:val="-13"/>
          <w:szCs w:val="24"/>
        </w:rPr>
        <w:t xml:space="preserve"> </w:t>
      </w:r>
      <w:r w:rsidRPr="003A2B98">
        <w:rPr>
          <w:rFonts w:cs="Times New Roman"/>
          <w:color w:val="000000"/>
          <w:szCs w:val="24"/>
        </w:rPr>
        <w:t>i</w:t>
      </w:r>
      <w:r w:rsidRPr="003A2B98">
        <w:rPr>
          <w:rFonts w:cs="Times New Roman"/>
          <w:color w:val="000000"/>
          <w:spacing w:val="-19"/>
          <w:szCs w:val="24"/>
        </w:rPr>
        <w:t xml:space="preserve"> </w:t>
      </w:r>
      <w:r w:rsidRPr="003A2B98">
        <w:rPr>
          <w:rFonts w:cs="Times New Roman"/>
          <w:color w:val="000000"/>
          <w:szCs w:val="24"/>
        </w:rPr>
        <w:t>terminy</w:t>
      </w:r>
      <w:r w:rsidRPr="003A2B98">
        <w:rPr>
          <w:rFonts w:cs="Times New Roman"/>
          <w:color w:val="000000"/>
          <w:spacing w:val="-4"/>
          <w:szCs w:val="24"/>
        </w:rPr>
        <w:t xml:space="preserve"> </w:t>
      </w:r>
      <w:r w:rsidRPr="003A2B98">
        <w:rPr>
          <w:rFonts w:cs="Times New Roman"/>
          <w:color w:val="000000"/>
          <w:szCs w:val="24"/>
        </w:rPr>
        <w:t>przekazywania</w:t>
      </w:r>
      <w:r w:rsidRPr="003A2B98">
        <w:rPr>
          <w:rFonts w:cs="Times New Roman"/>
          <w:color w:val="000000"/>
          <w:spacing w:val="-4"/>
          <w:szCs w:val="24"/>
        </w:rPr>
        <w:t xml:space="preserve"> </w:t>
      </w:r>
      <w:r w:rsidRPr="003A2B98">
        <w:rPr>
          <w:rFonts w:cs="Times New Roman"/>
          <w:color w:val="000000"/>
          <w:szCs w:val="24"/>
        </w:rPr>
        <w:t>informacji</w:t>
      </w:r>
      <w:r w:rsidRPr="003A2B98">
        <w:rPr>
          <w:rFonts w:cs="Times New Roman"/>
          <w:color w:val="000000"/>
          <w:spacing w:val="-2"/>
          <w:szCs w:val="24"/>
        </w:rPr>
        <w:t xml:space="preserve"> </w:t>
      </w:r>
      <w:r w:rsidRPr="003A2B98">
        <w:rPr>
          <w:rFonts w:cs="Times New Roman"/>
          <w:color w:val="000000"/>
          <w:szCs w:val="24"/>
        </w:rPr>
        <w:t>dotyczących</w:t>
      </w:r>
      <w:r w:rsidRPr="003A2B98">
        <w:rPr>
          <w:rFonts w:cs="Times New Roman"/>
          <w:color w:val="000000"/>
          <w:spacing w:val="-2"/>
          <w:szCs w:val="24"/>
        </w:rPr>
        <w:t xml:space="preserve"> </w:t>
      </w:r>
      <w:r w:rsidRPr="003A2B98">
        <w:rPr>
          <w:rFonts w:cs="Times New Roman"/>
          <w:color w:val="000000"/>
          <w:szCs w:val="24"/>
        </w:rPr>
        <w:t>rozwiązywania</w:t>
      </w:r>
      <w:r w:rsidRPr="003A2B98">
        <w:rPr>
          <w:rFonts w:cs="Times New Roman"/>
          <w:color w:val="000000"/>
          <w:spacing w:val="-3"/>
          <w:szCs w:val="24"/>
        </w:rPr>
        <w:t xml:space="preserve"> </w:t>
      </w:r>
      <w:r w:rsidRPr="003A2B98">
        <w:rPr>
          <w:rFonts w:cs="Times New Roman"/>
          <w:color w:val="000000"/>
          <w:szCs w:val="24"/>
        </w:rPr>
        <w:t>umów sprzedaży;</w:t>
      </w:r>
    </w:p>
    <w:p w14:paraId="340C4A18" w14:textId="77777777" w:rsidR="00051FAD" w:rsidRPr="003A2B98" w:rsidRDefault="00051FAD">
      <w:pPr>
        <w:pStyle w:val="Akapitzlist"/>
        <w:widowControl w:val="0"/>
        <w:numPr>
          <w:ilvl w:val="0"/>
          <w:numId w:val="309"/>
        </w:numPr>
        <w:autoSpaceDE w:val="0"/>
        <w:autoSpaceDN w:val="0"/>
        <w:spacing w:before="6"/>
        <w:ind w:left="567" w:right="2" w:hanging="283"/>
        <w:jc w:val="both"/>
        <w:rPr>
          <w:rFonts w:cs="Times New Roman"/>
          <w:color w:val="000000"/>
          <w:szCs w:val="24"/>
        </w:rPr>
      </w:pPr>
      <w:r w:rsidRPr="003A2B98">
        <w:rPr>
          <w:rFonts w:cs="Times New Roman"/>
          <w:color w:val="000000"/>
          <w:szCs w:val="24"/>
        </w:rPr>
        <w:t>zasady wstrzymywania i wznawiania dostarczania energii elektrycznej URD przez OSDn;</w:t>
      </w:r>
    </w:p>
    <w:p w14:paraId="5683577B" w14:textId="77777777" w:rsidR="00051FAD" w:rsidRPr="003A2B98" w:rsidRDefault="00051FAD">
      <w:pPr>
        <w:pStyle w:val="Akapitzlist"/>
        <w:widowControl w:val="0"/>
        <w:numPr>
          <w:ilvl w:val="0"/>
          <w:numId w:val="309"/>
        </w:numPr>
        <w:autoSpaceDE w:val="0"/>
        <w:autoSpaceDN w:val="0"/>
        <w:spacing w:line="264" w:lineRule="exact"/>
        <w:ind w:left="567" w:right="2" w:hanging="283"/>
        <w:rPr>
          <w:rFonts w:cs="Times New Roman"/>
          <w:color w:val="000000"/>
          <w:szCs w:val="24"/>
        </w:rPr>
      </w:pPr>
      <w:r w:rsidRPr="003A2B98">
        <w:rPr>
          <w:rFonts w:cs="Times New Roman"/>
          <w:color w:val="000000"/>
          <w:szCs w:val="24"/>
        </w:rPr>
        <w:t>zakres, zasady i terminy udostępniania danych pomiarowych</w:t>
      </w:r>
      <w:r w:rsidRPr="003A2B98">
        <w:rPr>
          <w:rFonts w:cs="Times New Roman"/>
          <w:color w:val="000000"/>
          <w:spacing w:val="25"/>
          <w:szCs w:val="24"/>
        </w:rPr>
        <w:t xml:space="preserve"> </w:t>
      </w:r>
      <w:r w:rsidRPr="003A2B98">
        <w:rPr>
          <w:rFonts w:cs="Times New Roman"/>
          <w:color w:val="000000"/>
          <w:szCs w:val="24"/>
        </w:rPr>
        <w:t>URD;</w:t>
      </w:r>
    </w:p>
    <w:p w14:paraId="07BFEA15" w14:textId="77777777" w:rsidR="00051FAD" w:rsidRPr="003A2B98" w:rsidRDefault="00051FAD">
      <w:pPr>
        <w:pStyle w:val="Akapitzlist"/>
        <w:widowControl w:val="0"/>
        <w:numPr>
          <w:ilvl w:val="0"/>
          <w:numId w:val="309"/>
        </w:numPr>
        <w:autoSpaceDE w:val="0"/>
        <w:autoSpaceDN w:val="0"/>
        <w:ind w:left="567" w:right="2" w:hanging="283"/>
        <w:rPr>
          <w:rFonts w:cs="Times New Roman"/>
          <w:color w:val="000000"/>
          <w:szCs w:val="24"/>
        </w:rPr>
      </w:pPr>
      <w:r w:rsidRPr="003A2B98">
        <w:rPr>
          <w:rFonts w:cs="Times New Roman"/>
          <w:color w:val="000000"/>
          <w:szCs w:val="24"/>
        </w:rPr>
        <w:t>osoby upoważnione do kontaktu oraz ich dane</w:t>
      </w:r>
      <w:r w:rsidRPr="003A2B98">
        <w:rPr>
          <w:rFonts w:cs="Times New Roman"/>
          <w:color w:val="000000"/>
          <w:spacing w:val="37"/>
          <w:szCs w:val="24"/>
        </w:rPr>
        <w:t xml:space="preserve"> </w:t>
      </w:r>
      <w:r w:rsidRPr="003A2B98">
        <w:rPr>
          <w:rFonts w:cs="Times New Roman"/>
          <w:color w:val="000000"/>
          <w:szCs w:val="24"/>
        </w:rPr>
        <w:t>teleadresowe;</w:t>
      </w:r>
    </w:p>
    <w:p w14:paraId="6883E212" w14:textId="77777777" w:rsidR="00051FAD" w:rsidRPr="003A2B98" w:rsidRDefault="00051FAD">
      <w:pPr>
        <w:pStyle w:val="Akapitzlist"/>
        <w:widowControl w:val="0"/>
        <w:numPr>
          <w:ilvl w:val="0"/>
          <w:numId w:val="309"/>
        </w:numPr>
        <w:autoSpaceDE w:val="0"/>
        <w:autoSpaceDN w:val="0"/>
        <w:ind w:left="567" w:right="2" w:hanging="283"/>
        <w:rPr>
          <w:rFonts w:cs="Times New Roman"/>
          <w:color w:val="000000"/>
          <w:szCs w:val="24"/>
        </w:rPr>
      </w:pPr>
      <w:r w:rsidRPr="003A2B98">
        <w:rPr>
          <w:rFonts w:cs="Times New Roman"/>
          <w:color w:val="000000"/>
          <w:szCs w:val="24"/>
        </w:rPr>
        <w:t>zasady i warunki sprzedaży</w:t>
      </w:r>
      <w:r w:rsidRPr="003A2B98">
        <w:rPr>
          <w:rFonts w:cs="Times New Roman"/>
          <w:color w:val="000000"/>
          <w:spacing w:val="49"/>
          <w:szCs w:val="24"/>
        </w:rPr>
        <w:t xml:space="preserve"> </w:t>
      </w:r>
      <w:r w:rsidRPr="003A2B98">
        <w:rPr>
          <w:rFonts w:cs="Times New Roman"/>
          <w:color w:val="000000"/>
          <w:szCs w:val="24"/>
        </w:rPr>
        <w:t>rezerwowej.</w:t>
      </w:r>
    </w:p>
    <w:p w14:paraId="2684C074" w14:textId="77777777" w:rsidR="00051FAD" w:rsidRPr="003A2B98" w:rsidRDefault="00051FAD">
      <w:pPr>
        <w:pStyle w:val="Akapitzlist"/>
        <w:widowControl w:val="0"/>
        <w:numPr>
          <w:ilvl w:val="0"/>
          <w:numId w:val="320"/>
        </w:numPr>
        <w:autoSpaceDE w:val="0"/>
        <w:autoSpaceDN w:val="0"/>
        <w:ind w:left="426" w:right="2" w:hanging="426"/>
        <w:rPr>
          <w:rFonts w:cs="Times New Roman"/>
          <w:color w:val="000000"/>
          <w:szCs w:val="24"/>
        </w:rPr>
      </w:pPr>
      <w:r w:rsidRPr="003A2B98">
        <w:rPr>
          <w:rFonts w:cs="Times New Roman"/>
          <w:color w:val="000000"/>
          <w:szCs w:val="24"/>
        </w:rPr>
        <w:t>OSDn zobowiązuje się w szczególności</w:t>
      </w:r>
      <w:r w:rsidRPr="003A2B98">
        <w:rPr>
          <w:rFonts w:cs="Times New Roman"/>
          <w:color w:val="000000"/>
          <w:spacing w:val="22"/>
          <w:szCs w:val="24"/>
        </w:rPr>
        <w:t xml:space="preserve"> </w:t>
      </w:r>
      <w:r w:rsidRPr="003A2B98">
        <w:rPr>
          <w:rFonts w:cs="Times New Roman"/>
          <w:color w:val="000000"/>
          <w:szCs w:val="24"/>
        </w:rPr>
        <w:t>do:</w:t>
      </w:r>
    </w:p>
    <w:p w14:paraId="4DD7FBE7" w14:textId="77777777" w:rsidR="00051FAD" w:rsidRPr="003A2B98" w:rsidRDefault="00051FAD">
      <w:pPr>
        <w:pStyle w:val="Tekstpodstawowy"/>
        <w:widowControl w:val="0"/>
        <w:numPr>
          <w:ilvl w:val="0"/>
          <w:numId w:val="321"/>
        </w:numPr>
        <w:tabs>
          <w:tab w:val="clear" w:pos="4536"/>
          <w:tab w:val="clear" w:pos="9072"/>
        </w:tabs>
        <w:autoSpaceDE w:val="0"/>
        <w:autoSpaceDN w:val="0"/>
        <w:spacing w:before="4" w:line="240" w:lineRule="auto"/>
        <w:ind w:left="567" w:right="2" w:hanging="283"/>
      </w:pPr>
      <w:r w:rsidRPr="003A2B98">
        <w:t>przyjmowania od sprzedawcy powiadomień o zawartych umowach sprzedaży oraz weryfikacji tych powiadomień zgodnie z</w:t>
      </w:r>
      <w:r w:rsidRPr="003A2B98">
        <w:rPr>
          <w:spacing w:val="-7"/>
        </w:rPr>
        <w:t xml:space="preserve"> </w:t>
      </w:r>
      <w:r w:rsidRPr="003A2B98">
        <w:t>IRiESD;</w:t>
      </w:r>
    </w:p>
    <w:p w14:paraId="71E7BDFB" w14:textId="77777777" w:rsidR="00051FAD" w:rsidRPr="003A2B98" w:rsidRDefault="00051FAD">
      <w:pPr>
        <w:pStyle w:val="Akapitzlist"/>
        <w:widowControl w:val="0"/>
        <w:numPr>
          <w:ilvl w:val="1"/>
          <w:numId w:val="310"/>
        </w:numPr>
        <w:autoSpaceDE w:val="0"/>
        <w:autoSpaceDN w:val="0"/>
        <w:ind w:left="567" w:right="2" w:hanging="283"/>
        <w:jc w:val="both"/>
        <w:rPr>
          <w:rFonts w:cs="Times New Roman"/>
          <w:color w:val="000000"/>
          <w:szCs w:val="24"/>
        </w:rPr>
      </w:pPr>
      <w:r w:rsidRPr="003A2B98">
        <w:rPr>
          <w:rFonts w:cs="Times New Roman"/>
          <w:color w:val="000000"/>
          <w:szCs w:val="24"/>
        </w:rPr>
        <w:t>realizacji czynności niezbędnych do dostarczania energii elektrycznej do URD w związku ze zgłoszonymi przez sprzedawcę do OSDn i przyjętymi przez OSDn do realizacji umowami</w:t>
      </w:r>
      <w:r w:rsidRPr="003A2B98">
        <w:rPr>
          <w:rFonts w:cs="Times New Roman"/>
          <w:color w:val="000000"/>
          <w:spacing w:val="45"/>
          <w:szCs w:val="24"/>
        </w:rPr>
        <w:t xml:space="preserve"> </w:t>
      </w:r>
      <w:r w:rsidRPr="003A2B98">
        <w:rPr>
          <w:rFonts w:cs="Times New Roman"/>
          <w:color w:val="000000"/>
          <w:szCs w:val="24"/>
        </w:rPr>
        <w:t>sprzedaży;</w:t>
      </w:r>
    </w:p>
    <w:p w14:paraId="62704A0E" w14:textId="77777777" w:rsidR="00051FAD" w:rsidRPr="003A2B98" w:rsidRDefault="00051FAD">
      <w:pPr>
        <w:pStyle w:val="Akapitzlist"/>
        <w:widowControl w:val="0"/>
        <w:numPr>
          <w:ilvl w:val="1"/>
          <w:numId w:val="310"/>
        </w:numPr>
        <w:autoSpaceDE w:val="0"/>
        <w:autoSpaceDN w:val="0"/>
        <w:spacing w:before="2" w:line="237" w:lineRule="auto"/>
        <w:ind w:left="567" w:right="2" w:hanging="283"/>
        <w:jc w:val="both"/>
        <w:rPr>
          <w:rFonts w:cs="Times New Roman"/>
          <w:color w:val="000000"/>
          <w:szCs w:val="24"/>
        </w:rPr>
      </w:pPr>
      <w:r w:rsidRPr="003A2B98">
        <w:rPr>
          <w:rFonts w:cs="Times New Roman"/>
          <w:color w:val="000000"/>
          <w:szCs w:val="24"/>
        </w:rPr>
        <w:t>dystrybucji energii elektrycznej wprowadzonej do sieci OSDn przez URD posiadającego moduł wytwarzania energii lub magazyn energii elektrycznej;</w:t>
      </w:r>
    </w:p>
    <w:p w14:paraId="08D5EF4E" w14:textId="77777777" w:rsidR="00051FAD" w:rsidRPr="003A2B98" w:rsidRDefault="00051FAD">
      <w:pPr>
        <w:pStyle w:val="Akapitzlist"/>
        <w:widowControl w:val="0"/>
        <w:numPr>
          <w:ilvl w:val="1"/>
          <w:numId w:val="310"/>
        </w:numPr>
        <w:autoSpaceDE w:val="0"/>
        <w:autoSpaceDN w:val="0"/>
        <w:spacing w:before="5"/>
        <w:ind w:left="567" w:right="2" w:hanging="283"/>
        <w:jc w:val="both"/>
        <w:rPr>
          <w:rFonts w:cs="Times New Roman"/>
          <w:color w:val="000000"/>
          <w:szCs w:val="24"/>
        </w:rPr>
      </w:pPr>
      <w:r w:rsidRPr="003A2B98">
        <w:rPr>
          <w:rFonts w:cs="Times New Roman"/>
          <w:color w:val="000000"/>
          <w:szCs w:val="24"/>
        </w:rPr>
        <w:t>udostępniania sprzedawcy danych pomiarowych URD zgodnie</w:t>
      </w:r>
      <w:r w:rsidRPr="003A2B98">
        <w:rPr>
          <w:rFonts w:cs="Times New Roman"/>
          <w:color w:val="000000"/>
          <w:spacing w:val="16"/>
          <w:szCs w:val="24"/>
        </w:rPr>
        <w:t xml:space="preserve"> </w:t>
      </w:r>
      <w:r w:rsidRPr="003A2B98">
        <w:rPr>
          <w:rFonts w:cs="Times New Roman"/>
          <w:color w:val="000000"/>
          <w:szCs w:val="24"/>
        </w:rPr>
        <w:t>z IRiESD;</w:t>
      </w:r>
    </w:p>
    <w:p w14:paraId="124A2C40" w14:textId="77777777" w:rsidR="00051FAD" w:rsidRPr="003A2B98" w:rsidRDefault="00051FAD">
      <w:pPr>
        <w:pStyle w:val="Akapitzlist"/>
        <w:widowControl w:val="0"/>
        <w:numPr>
          <w:ilvl w:val="1"/>
          <w:numId w:val="310"/>
        </w:numPr>
        <w:autoSpaceDE w:val="0"/>
        <w:autoSpaceDN w:val="0"/>
        <w:ind w:left="567" w:right="2" w:hanging="283"/>
        <w:jc w:val="both"/>
        <w:rPr>
          <w:rFonts w:cs="Times New Roman"/>
          <w:color w:val="000000"/>
          <w:szCs w:val="24"/>
        </w:rPr>
      </w:pPr>
      <w:r w:rsidRPr="003A2B98">
        <w:rPr>
          <w:rFonts w:cs="Times New Roman"/>
          <w:color w:val="000000"/>
          <w:szCs w:val="24"/>
        </w:rPr>
        <w:t>wstrzymywania i</w:t>
      </w:r>
      <w:r w:rsidRPr="003A2B98">
        <w:rPr>
          <w:rFonts w:cs="Times New Roman"/>
          <w:color w:val="000000"/>
          <w:spacing w:val="-13"/>
          <w:szCs w:val="24"/>
        </w:rPr>
        <w:t xml:space="preserve"> </w:t>
      </w:r>
      <w:r w:rsidRPr="003A2B98">
        <w:rPr>
          <w:rFonts w:cs="Times New Roman"/>
          <w:color w:val="000000"/>
          <w:szCs w:val="24"/>
        </w:rPr>
        <w:t>wznawiania</w:t>
      </w:r>
      <w:r w:rsidRPr="003A2B98">
        <w:rPr>
          <w:rFonts w:cs="Times New Roman"/>
          <w:color w:val="000000"/>
          <w:spacing w:val="-11"/>
          <w:szCs w:val="24"/>
        </w:rPr>
        <w:t xml:space="preserve"> </w:t>
      </w:r>
      <w:r w:rsidRPr="003A2B98">
        <w:rPr>
          <w:rFonts w:cs="Times New Roman"/>
          <w:color w:val="000000"/>
          <w:szCs w:val="24"/>
        </w:rPr>
        <w:t>dostarczania</w:t>
      </w:r>
      <w:r w:rsidRPr="003A2B98">
        <w:rPr>
          <w:rFonts w:cs="Times New Roman"/>
          <w:color w:val="000000"/>
          <w:spacing w:val="-8"/>
          <w:szCs w:val="24"/>
        </w:rPr>
        <w:t xml:space="preserve"> </w:t>
      </w:r>
      <w:r w:rsidRPr="003A2B98">
        <w:rPr>
          <w:rFonts w:cs="Times New Roman"/>
          <w:color w:val="000000"/>
          <w:szCs w:val="24"/>
        </w:rPr>
        <w:t>energii</w:t>
      </w:r>
      <w:r w:rsidRPr="003A2B98">
        <w:rPr>
          <w:rFonts w:cs="Times New Roman"/>
          <w:color w:val="000000"/>
          <w:spacing w:val="-6"/>
          <w:szCs w:val="24"/>
        </w:rPr>
        <w:t xml:space="preserve"> </w:t>
      </w:r>
      <w:r w:rsidRPr="003A2B98">
        <w:rPr>
          <w:rFonts w:cs="Times New Roman"/>
          <w:color w:val="000000"/>
          <w:szCs w:val="24"/>
        </w:rPr>
        <w:t>elektrycznej</w:t>
      </w:r>
      <w:r w:rsidRPr="003A2B98">
        <w:rPr>
          <w:rFonts w:cs="Times New Roman"/>
          <w:color w:val="000000"/>
          <w:spacing w:val="-8"/>
          <w:szCs w:val="24"/>
        </w:rPr>
        <w:t xml:space="preserve"> </w:t>
      </w:r>
      <w:r w:rsidRPr="003A2B98">
        <w:rPr>
          <w:rFonts w:cs="Times New Roman"/>
          <w:color w:val="000000"/>
          <w:szCs w:val="24"/>
        </w:rPr>
        <w:t>URD</w:t>
      </w:r>
      <w:r w:rsidRPr="003A2B98">
        <w:rPr>
          <w:rFonts w:cs="Times New Roman"/>
          <w:color w:val="000000"/>
          <w:spacing w:val="-10"/>
          <w:szCs w:val="24"/>
        </w:rPr>
        <w:t xml:space="preserve"> </w:t>
      </w:r>
      <w:r w:rsidRPr="003A2B98">
        <w:rPr>
          <w:rFonts w:cs="Times New Roman"/>
          <w:color w:val="000000"/>
          <w:szCs w:val="24"/>
        </w:rPr>
        <w:t>na</w:t>
      </w:r>
      <w:r w:rsidRPr="003A2B98">
        <w:rPr>
          <w:rFonts w:cs="Times New Roman"/>
          <w:color w:val="000000"/>
          <w:spacing w:val="-18"/>
          <w:szCs w:val="24"/>
        </w:rPr>
        <w:t xml:space="preserve"> </w:t>
      </w:r>
      <w:r w:rsidRPr="003A2B98">
        <w:rPr>
          <w:rFonts w:cs="Times New Roman"/>
          <w:color w:val="000000"/>
          <w:szCs w:val="24"/>
        </w:rPr>
        <w:t>zasadach określonych w Ustawie oraz</w:t>
      </w:r>
      <w:r w:rsidRPr="003A2B98">
        <w:rPr>
          <w:rFonts w:cs="Times New Roman"/>
          <w:color w:val="000000"/>
          <w:spacing w:val="-26"/>
          <w:szCs w:val="24"/>
        </w:rPr>
        <w:t xml:space="preserve"> </w:t>
      </w:r>
      <w:r w:rsidRPr="003A2B98">
        <w:rPr>
          <w:rFonts w:cs="Times New Roman"/>
          <w:color w:val="000000"/>
          <w:szCs w:val="24"/>
        </w:rPr>
        <w:t>IRiESD;</w:t>
      </w:r>
    </w:p>
    <w:p w14:paraId="42904D78" w14:textId="77777777" w:rsidR="00051FAD" w:rsidRPr="003A2B98" w:rsidRDefault="00051FAD">
      <w:pPr>
        <w:pStyle w:val="Akapitzlist"/>
        <w:widowControl w:val="0"/>
        <w:numPr>
          <w:ilvl w:val="1"/>
          <w:numId w:val="310"/>
        </w:numPr>
        <w:autoSpaceDE w:val="0"/>
        <w:autoSpaceDN w:val="0"/>
        <w:ind w:left="567" w:right="2" w:hanging="283"/>
        <w:jc w:val="both"/>
        <w:rPr>
          <w:rFonts w:cs="Times New Roman"/>
          <w:color w:val="000000"/>
          <w:szCs w:val="24"/>
        </w:rPr>
      </w:pPr>
      <w:r w:rsidRPr="003A2B98">
        <w:rPr>
          <w:rFonts w:cs="Times New Roman"/>
          <w:color w:val="000000"/>
          <w:szCs w:val="24"/>
        </w:rPr>
        <w:t>niezwłocznego przekazywania sprzedawcy informacji wynikających z IRiESD mających wpływ na realizację</w:t>
      </w:r>
      <w:r w:rsidRPr="003A2B98">
        <w:rPr>
          <w:rFonts w:cs="Times New Roman"/>
          <w:color w:val="000000"/>
          <w:spacing w:val="-14"/>
          <w:szCs w:val="24"/>
        </w:rPr>
        <w:t xml:space="preserve"> </w:t>
      </w:r>
      <w:r w:rsidRPr="003A2B98">
        <w:rPr>
          <w:rFonts w:cs="Times New Roman"/>
          <w:color w:val="000000"/>
          <w:szCs w:val="24"/>
        </w:rPr>
        <w:t>GUD;</w:t>
      </w:r>
    </w:p>
    <w:p w14:paraId="34F8D39B" w14:textId="22996E73" w:rsidR="00051FAD" w:rsidRPr="003A2B98" w:rsidRDefault="00051FAD">
      <w:pPr>
        <w:pStyle w:val="Akapitzlist"/>
        <w:widowControl w:val="0"/>
        <w:numPr>
          <w:ilvl w:val="1"/>
          <w:numId w:val="310"/>
        </w:numPr>
        <w:autoSpaceDE w:val="0"/>
        <w:autoSpaceDN w:val="0"/>
        <w:ind w:left="567" w:right="2" w:hanging="283"/>
        <w:jc w:val="both"/>
        <w:rPr>
          <w:rFonts w:cs="Times New Roman"/>
          <w:color w:val="000000"/>
          <w:szCs w:val="24"/>
        </w:rPr>
      </w:pPr>
      <w:r w:rsidRPr="003A2B98">
        <w:rPr>
          <w:rFonts w:cs="Times New Roman"/>
          <w:color w:val="000000"/>
          <w:szCs w:val="24"/>
        </w:rPr>
        <w:t xml:space="preserve">wykonywania innych obowiązków określonych w GUD, a także wynikających </w:t>
      </w:r>
      <w:r w:rsidR="00F077EB">
        <w:rPr>
          <w:rFonts w:cs="Times New Roman"/>
          <w:color w:val="000000"/>
          <w:szCs w:val="24"/>
        </w:rPr>
        <w:br/>
      </w:r>
      <w:r w:rsidRPr="003A2B98">
        <w:rPr>
          <w:rFonts w:cs="Times New Roman"/>
          <w:color w:val="000000"/>
          <w:szCs w:val="24"/>
        </w:rPr>
        <w:t>z przepisów obowiązującego prawa i</w:t>
      </w:r>
      <w:r w:rsidRPr="003A2B98">
        <w:rPr>
          <w:rFonts w:cs="Times New Roman"/>
          <w:color w:val="000000"/>
          <w:spacing w:val="14"/>
          <w:szCs w:val="24"/>
        </w:rPr>
        <w:t xml:space="preserve"> </w:t>
      </w:r>
      <w:r w:rsidRPr="003A2B98">
        <w:rPr>
          <w:rFonts w:cs="Times New Roman"/>
          <w:color w:val="000000"/>
          <w:szCs w:val="24"/>
        </w:rPr>
        <w:t>IRiESD;</w:t>
      </w:r>
    </w:p>
    <w:p w14:paraId="48DAA113" w14:textId="77777777" w:rsidR="00051FAD" w:rsidRPr="003A2B98" w:rsidRDefault="00051FAD">
      <w:pPr>
        <w:pStyle w:val="Akapitzlist"/>
        <w:widowControl w:val="0"/>
        <w:numPr>
          <w:ilvl w:val="1"/>
          <w:numId w:val="310"/>
        </w:numPr>
        <w:autoSpaceDE w:val="0"/>
        <w:autoSpaceDN w:val="0"/>
        <w:spacing w:line="244" w:lineRule="auto"/>
        <w:ind w:left="567" w:right="2" w:hanging="283"/>
        <w:jc w:val="both"/>
        <w:rPr>
          <w:rFonts w:cs="Times New Roman"/>
          <w:color w:val="000000"/>
          <w:szCs w:val="24"/>
        </w:rPr>
      </w:pPr>
      <w:r w:rsidRPr="003A2B98">
        <w:rPr>
          <w:rFonts w:cs="Times New Roman"/>
          <w:color w:val="000000"/>
          <w:szCs w:val="24"/>
        </w:rPr>
        <w:t>powiadamiania o zmianie IRiESD, poprzez udostępnianie ich w swojej siedzibie oraz publikowania na stronie internetowej OSDn;</w:t>
      </w:r>
    </w:p>
    <w:p w14:paraId="06621F7C" w14:textId="77777777" w:rsidR="00051FAD" w:rsidRPr="003A2B98" w:rsidRDefault="00051FAD">
      <w:pPr>
        <w:pStyle w:val="Akapitzlist"/>
        <w:widowControl w:val="0"/>
        <w:numPr>
          <w:ilvl w:val="1"/>
          <w:numId w:val="310"/>
        </w:numPr>
        <w:autoSpaceDE w:val="0"/>
        <w:autoSpaceDN w:val="0"/>
        <w:spacing w:line="235" w:lineRule="auto"/>
        <w:ind w:left="567" w:right="2" w:hanging="283"/>
        <w:rPr>
          <w:rFonts w:cs="Times New Roman"/>
          <w:color w:val="000000"/>
          <w:szCs w:val="24"/>
        </w:rPr>
      </w:pPr>
      <w:r w:rsidRPr="003A2B98">
        <w:rPr>
          <w:rFonts w:cs="Times New Roman"/>
          <w:color w:val="000000"/>
          <w:szCs w:val="24"/>
        </w:rPr>
        <w:t>zachowania</w:t>
      </w:r>
      <w:r w:rsidRPr="003A2B98">
        <w:rPr>
          <w:rFonts w:cs="Times New Roman"/>
          <w:color w:val="000000"/>
          <w:spacing w:val="-4"/>
          <w:szCs w:val="24"/>
        </w:rPr>
        <w:t xml:space="preserve"> </w:t>
      </w:r>
      <w:r w:rsidRPr="003A2B98">
        <w:rPr>
          <w:rFonts w:cs="Times New Roman"/>
          <w:color w:val="000000"/>
          <w:szCs w:val="24"/>
        </w:rPr>
        <w:t>tajemnicy</w:t>
      </w:r>
      <w:r w:rsidRPr="003A2B98">
        <w:rPr>
          <w:rFonts w:cs="Times New Roman"/>
          <w:color w:val="000000"/>
          <w:spacing w:val="-1"/>
          <w:szCs w:val="24"/>
        </w:rPr>
        <w:t xml:space="preserve"> </w:t>
      </w:r>
      <w:r w:rsidRPr="003A2B98">
        <w:rPr>
          <w:rFonts w:cs="Times New Roman"/>
          <w:color w:val="000000"/>
          <w:szCs w:val="24"/>
        </w:rPr>
        <w:t>przedsiębiorstwa</w:t>
      </w:r>
      <w:r w:rsidRPr="003A2B98">
        <w:rPr>
          <w:rFonts w:cs="Times New Roman"/>
          <w:color w:val="000000"/>
          <w:spacing w:val="-19"/>
          <w:szCs w:val="24"/>
        </w:rPr>
        <w:t xml:space="preserve"> </w:t>
      </w:r>
      <w:r w:rsidRPr="003A2B98">
        <w:rPr>
          <w:rFonts w:cs="Times New Roman"/>
          <w:color w:val="000000"/>
          <w:szCs w:val="24"/>
        </w:rPr>
        <w:t>związanej</w:t>
      </w:r>
      <w:r w:rsidRPr="003A2B98">
        <w:rPr>
          <w:rFonts w:cs="Times New Roman"/>
          <w:color w:val="000000"/>
          <w:spacing w:val="-1"/>
          <w:szCs w:val="24"/>
        </w:rPr>
        <w:t xml:space="preserve"> </w:t>
      </w:r>
      <w:r w:rsidRPr="003A2B98">
        <w:rPr>
          <w:rFonts w:cs="Times New Roman"/>
          <w:color w:val="000000"/>
          <w:szCs w:val="24"/>
        </w:rPr>
        <w:t>z</w:t>
      </w:r>
      <w:r w:rsidRPr="003A2B98">
        <w:rPr>
          <w:rFonts w:cs="Times New Roman"/>
          <w:color w:val="000000"/>
          <w:spacing w:val="-17"/>
          <w:szCs w:val="24"/>
        </w:rPr>
        <w:t xml:space="preserve"> </w:t>
      </w:r>
      <w:r w:rsidRPr="003A2B98">
        <w:rPr>
          <w:rFonts w:cs="Times New Roman"/>
          <w:color w:val="000000"/>
          <w:szCs w:val="24"/>
        </w:rPr>
        <w:t>realizacją</w:t>
      </w:r>
      <w:r w:rsidRPr="003A2B98">
        <w:rPr>
          <w:rFonts w:cs="Times New Roman"/>
          <w:color w:val="000000"/>
          <w:spacing w:val="2"/>
          <w:szCs w:val="24"/>
        </w:rPr>
        <w:t xml:space="preserve"> </w:t>
      </w:r>
      <w:r w:rsidRPr="003A2B98">
        <w:rPr>
          <w:rFonts w:cs="Times New Roman"/>
          <w:color w:val="000000"/>
          <w:szCs w:val="24"/>
        </w:rPr>
        <w:t>GUD,</w:t>
      </w:r>
      <w:r w:rsidRPr="003A2B98">
        <w:rPr>
          <w:rFonts w:cs="Times New Roman"/>
          <w:color w:val="000000"/>
          <w:spacing w:val="-17"/>
          <w:szCs w:val="24"/>
        </w:rPr>
        <w:t xml:space="preserve"> </w:t>
      </w:r>
      <w:r w:rsidRPr="003A2B98">
        <w:rPr>
          <w:rFonts w:cs="Times New Roman"/>
          <w:color w:val="000000"/>
          <w:szCs w:val="24"/>
        </w:rPr>
        <w:t>na</w:t>
      </w:r>
      <w:r w:rsidRPr="003A2B98">
        <w:rPr>
          <w:rFonts w:cs="Times New Roman"/>
          <w:color w:val="000000"/>
          <w:spacing w:val="-10"/>
          <w:szCs w:val="24"/>
        </w:rPr>
        <w:t xml:space="preserve"> </w:t>
      </w:r>
      <w:r w:rsidRPr="003A2B98">
        <w:rPr>
          <w:rFonts w:cs="Times New Roman"/>
          <w:color w:val="000000"/>
          <w:szCs w:val="24"/>
        </w:rPr>
        <w:t>zasadach określonych w</w:t>
      </w:r>
      <w:r w:rsidRPr="003A2B98">
        <w:rPr>
          <w:rFonts w:cs="Times New Roman"/>
          <w:color w:val="000000"/>
          <w:spacing w:val="12"/>
          <w:szCs w:val="24"/>
        </w:rPr>
        <w:t xml:space="preserve"> </w:t>
      </w:r>
      <w:r w:rsidRPr="003A2B98">
        <w:rPr>
          <w:rFonts w:cs="Times New Roman"/>
          <w:color w:val="000000"/>
          <w:szCs w:val="24"/>
        </w:rPr>
        <w:t>GUD;</w:t>
      </w:r>
    </w:p>
    <w:p w14:paraId="7D5E99C1" w14:textId="77777777" w:rsidR="00051FAD" w:rsidRPr="003A2B98" w:rsidRDefault="00051FAD">
      <w:pPr>
        <w:pStyle w:val="Akapitzlist"/>
        <w:widowControl w:val="0"/>
        <w:numPr>
          <w:ilvl w:val="0"/>
          <w:numId w:val="322"/>
        </w:numPr>
        <w:autoSpaceDE w:val="0"/>
        <w:autoSpaceDN w:val="0"/>
        <w:spacing w:before="3"/>
        <w:ind w:left="426" w:right="2" w:hanging="426"/>
        <w:rPr>
          <w:rFonts w:cs="Times New Roman"/>
          <w:color w:val="000000"/>
          <w:szCs w:val="24"/>
        </w:rPr>
      </w:pPr>
      <w:r w:rsidRPr="003A2B98">
        <w:rPr>
          <w:rFonts w:cs="Times New Roman"/>
          <w:color w:val="000000"/>
          <w:szCs w:val="24"/>
        </w:rPr>
        <w:t>Sprzedawca zobowiązuje się w szczególności</w:t>
      </w:r>
      <w:r w:rsidRPr="003A2B98">
        <w:rPr>
          <w:rFonts w:cs="Times New Roman"/>
          <w:color w:val="000000"/>
          <w:spacing w:val="46"/>
          <w:szCs w:val="24"/>
        </w:rPr>
        <w:t xml:space="preserve"> </w:t>
      </w:r>
      <w:r w:rsidRPr="003A2B98">
        <w:rPr>
          <w:rFonts w:cs="Times New Roman"/>
          <w:color w:val="000000"/>
          <w:szCs w:val="24"/>
        </w:rPr>
        <w:t>do:</w:t>
      </w:r>
    </w:p>
    <w:p w14:paraId="313D8CC8" w14:textId="77777777" w:rsidR="00051FAD" w:rsidRPr="003A2B98" w:rsidRDefault="00051FAD">
      <w:pPr>
        <w:pStyle w:val="Akapitzlist"/>
        <w:widowControl w:val="0"/>
        <w:numPr>
          <w:ilvl w:val="0"/>
          <w:numId w:val="315"/>
        </w:numPr>
        <w:autoSpaceDE w:val="0"/>
        <w:autoSpaceDN w:val="0"/>
        <w:spacing w:before="91" w:line="249" w:lineRule="auto"/>
        <w:ind w:left="567" w:right="2" w:hanging="283"/>
        <w:jc w:val="both"/>
        <w:rPr>
          <w:rFonts w:cs="Times New Roman"/>
          <w:color w:val="000000"/>
          <w:szCs w:val="24"/>
        </w:rPr>
      </w:pPr>
      <w:r w:rsidRPr="003A2B98">
        <w:rPr>
          <w:rFonts w:cs="Times New Roman"/>
          <w:color w:val="000000"/>
          <w:szCs w:val="24"/>
        </w:rPr>
        <w:t>zgłaszania do OSDn informacji o zawartych umowach sprzedaży, zmianie danych wskazanych w zgłoszeniu lub o wygaśnięciu lub rozwiązaniu umów sprzedaży, na zasadach określonych w</w:t>
      </w:r>
      <w:r w:rsidRPr="003A2B98">
        <w:rPr>
          <w:rFonts w:cs="Times New Roman"/>
          <w:color w:val="000000"/>
          <w:spacing w:val="-22"/>
          <w:szCs w:val="24"/>
        </w:rPr>
        <w:t xml:space="preserve"> </w:t>
      </w:r>
      <w:r w:rsidRPr="003A2B98">
        <w:rPr>
          <w:rFonts w:cs="Times New Roman"/>
          <w:color w:val="000000"/>
          <w:szCs w:val="24"/>
        </w:rPr>
        <w:t>IRiESD;</w:t>
      </w:r>
    </w:p>
    <w:p w14:paraId="214E9E50" w14:textId="77777777" w:rsidR="00051FAD" w:rsidRPr="003A2B98" w:rsidRDefault="00051FAD">
      <w:pPr>
        <w:pStyle w:val="Akapitzlist"/>
        <w:widowControl w:val="0"/>
        <w:numPr>
          <w:ilvl w:val="0"/>
          <w:numId w:val="315"/>
        </w:numPr>
        <w:autoSpaceDE w:val="0"/>
        <w:autoSpaceDN w:val="0"/>
        <w:spacing w:before="4"/>
        <w:ind w:left="567" w:right="2" w:hanging="283"/>
        <w:jc w:val="both"/>
        <w:rPr>
          <w:rFonts w:cs="Times New Roman"/>
          <w:color w:val="000000"/>
          <w:szCs w:val="24"/>
        </w:rPr>
      </w:pPr>
      <w:r w:rsidRPr="003A2B98">
        <w:rPr>
          <w:rFonts w:cs="Times New Roman"/>
          <w:color w:val="000000"/>
          <w:w w:val="105"/>
          <w:szCs w:val="24"/>
        </w:rPr>
        <w:t>terminowego regulowania należności wynikających z</w:t>
      </w:r>
      <w:r w:rsidRPr="003A2B98">
        <w:rPr>
          <w:rFonts w:cs="Times New Roman"/>
          <w:color w:val="000000"/>
          <w:spacing w:val="-42"/>
          <w:w w:val="105"/>
          <w:szCs w:val="24"/>
        </w:rPr>
        <w:t xml:space="preserve"> </w:t>
      </w:r>
      <w:r w:rsidRPr="003A2B98">
        <w:rPr>
          <w:rFonts w:cs="Times New Roman"/>
          <w:color w:val="000000"/>
          <w:w w:val="105"/>
          <w:szCs w:val="24"/>
        </w:rPr>
        <w:t>GUD;</w:t>
      </w:r>
    </w:p>
    <w:p w14:paraId="601C2BBE" w14:textId="77777777" w:rsidR="00051FAD" w:rsidRPr="003A2B98" w:rsidRDefault="00051FAD">
      <w:pPr>
        <w:pStyle w:val="Akapitzlist"/>
        <w:widowControl w:val="0"/>
        <w:numPr>
          <w:ilvl w:val="0"/>
          <w:numId w:val="315"/>
        </w:numPr>
        <w:autoSpaceDE w:val="0"/>
        <w:autoSpaceDN w:val="0"/>
        <w:spacing w:before="16" w:line="247" w:lineRule="auto"/>
        <w:ind w:left="567" w:right="2" w:hanging="283"/>
        <w:jc w:val="both"/>
        <w:rPr>
          <w:rFonts w:cs="Times New Roman"/>
          <w:color w:val="000000"/>
          <w:szCs w:val="24"/>
        </w:rPr>
      </w:pPr>
      <w:r w:rsidRPr="003A2B98">
        <w:rPr>
          <w:rFonts w:cs="Times New Roman"/>
          <w:color w:val="000000"/>
          <w:w w:val="105"/>
          <w:szCs w:val="24"/>
        </w:rPr>
        <w:t>informowania</w:t>
      </w:r>
      <w:r w:rsidRPr="003A2B98">
        <w:rPr>
          <w:rFonts w:cs="Times New Roman"/>
          <w:color w:val="000000"/>
          <w:w w:val="105"/>
          <w:szCs w:val="24"/>
        </w:rPr>
        <w:tab/>
        <w:t>OSDn o zmianie POB lub zakończeniu świadczenia usługi bilansowania handlowego sprzedawcy, zgodnie z</w:t>
      </w:r>
      <w:r w:rsidRPr="003A2B98">
        <w:rPr>
          <w:rFonts w:cs="Times New Roman"/>
          <w:color w:val="000000"/>
          <w:spacing w:val="-2"/>
          <w:w w:val="105"/>
          <w:szCs w:val="24"/>
        </w:rPr>
        <w:t xml:space="preserve"> </w:t>
      </w:r>
      <w:r w:rsidRPr="003A2B98">
        <w:rPr>
          <w:rFonts w:cs="Times New Roman"/>
          <w:color w:val="000000"/>
          <w:w w:val="105"/>
          <w:szCs w:val="24"/>
        </w:rPr>
        <w:t>IRiESD;</w:t>
      </w:r>
    </w:p>
    <w:p w14:paraId="33C6F935" w14:textId="77777777" w:rsidR="00051FAD" w:rsidRPr="003A2B98" w:rsidRDefault="00051FAD">
      <w:pPr>
        <w:pStyle w:val="Akapitzlist"/>
        <w:widowControl w:val="0"/>
        <w:numPr>
          <w:ilvl w:val="0"/>
          <w:numId w:val="315"/>
        </w:numPr>
        <w:autoSpaceDE w:val="0"/>
        <w:autoSpaceDN w:val="0"/>
        <w:spacing w:before="8" w:line="247" w:lineRule="auto"/>
        <w:ind w:left="567" w:right="2" w:hanging="283"/>
        <w:jc w:val="both"/>
        <w:rPr>
          <w:rFonts w:cs="Times New Roman"/>
          <w:color w:val="000000"/>
          <w:szCs w:val="24"/>
        </w:rPr>
      </w:pPr>
      <w:r w:rsidRPr="003A2B98">
        <w:rPr>
          <w:rFonts w:cs="Times New Roman"/>
          <w:color w:val="000000"/>
          <w:w w:val="105"/>
          <w:szCs w:val="24"/>
        </w:rPr>
        <w:t>zachowania</w:t>
      </w:r>
      <w:r w:rsidRPr="003A2B98">
        <w:rPr>
          <w:rFonts w:cs="Times New Roman"/>
          <w:color w:val="000000"/>
          <w:spacing w:val="-5"/>
          <w:w w:val="105"/>
          <w:szCs w:val="24"/>
        </w:rPr>
        <w:t xml:space="preserve"> </w:t>
      </w:r>
      <w:r w:rsidRPr="003A2B98">
        <w:rPr>
          <w:rFonts w:cs="Times New Roman"/>
          <w:color w:val="000000"/>
          <w:w w:val="105"/>
          <w:szCs w:val="24"/>
        </w:rPr>
        <w:t>tajemnicy</w:t>
      </w:r>
      <w:r w:rsidRPr="003A2B98">
        <w:rPr>
          <w:rFonts w:cs="Times New Roman"/>
          <w:color w:val="000000"/>
          <w:spacing w:val="-9"/>
          <w:w w:val="105"/>
          <w:szCs w:val="24"/>
        </w:rPr>
        <w:t xml:space="preserve"> </w:t>
      </w:r>
      <w:r w:rsidRPr="003A2B98">
        <w:rPr>
          <w:rFonts w:cs="Times New Roman"/>
          <w:color w:val="000000"/>
          <w:w w:val="105"/>
          <w:szCs w:val="24"/>
        </w:rPr>
        <w:t>przedsiębiorstwa</w:t>
      </w:r>
      <w:r w:rsidRPr="003A2B98">
        <w:rPr>
          <w:rFonts w:cs="Times New Roman"/>
          <w:color w:val="000000"/>
          <w:spacing w:val="-25"/>
          <w:w w:val="105"/>
          <w:szCs w:val="24"/>
        </w:rPr>
        <w:t xml:space="preserve"> </w:t>
      </w:r>
      <w:r w:rsidRPr="003A2B98">
        <w:rPr>
          <w:rFonts w:cs="Times New Roman"/>
          <w:color w:val="000000"/>
          <w:w w:val="105"/>
          <w:szCs w:val="24"/>
        </w:rPr>
        <w:t>związanej</w:t>
      </w:r>
      <w:r w:rsidRPr="003A2B98">
        <w:rPr>
          <w:rFonts w:cs="Times New Roman"/>
          <w:color w:val="000000"/>
          <w:spacing w:val="-8"/>
          <w:w w:val="105"/>
          <w:szCs w:val="24"/>
        </w:rPr>
        <w:t xml:space="preserve"> </w:t>
      </w:r>
      <w:r w:rsidRPr="003A2B98">
        <w:rPr>
          <w:rFonts w:cs="Times New Roman"/>
          <w:color w:val="000000"/>
          <w:w w:val="105"/>
          <w:szCs w:val="24"/>
        </w:rPr>
        <w:t>z</w:t>
      </w:r>
      <w:r w:rsidRPr="003A2B98">
        <w:rPr>
          <w:rFonts w:cs="Times New Roman"/>
          <w:color w:val="000000"/>
          <w:spacing w:val="-26"/>
          <w:w w:val="105"/>
          <w:szCs w:val="24"/>
        </w:rPr>
        <w:t xml:space="preserve"> </w:t>
      </w:r>
      <w:r w:rsidRPr="003A2B98">
        <w:rPr>
          <w:rFonts w:cs="Times New Roman"/>
          <w:color w:val="000000"/>
          <w:w w:val="105"/>
          <w:szCs w:val="24"/>
        </w:rPr>
        <w:t>realizacją</w:t>
      </w:r>
      <w:r w:rsidRPr="003A2B98">
        <w:rPr>
          <w:rFonts w:cs="Times New Roman"/>
          <w:color w:val="000000"/>
          <w:spacing w:val="-8"/>
          <w:w w:val="105"/>
          <w:szCs w:val="24"/>
        </w:rPr>
        <w:t xml:space="preserve"> </w:t>
      </w:r>
      <w:r w:rsidRPr="003A2B98">
        <w:rPr>
          <w:rFonts w:cs="Times New Roman"/>
          <w:color w:val="000000"/>
          <w:spacing w:val="2"/>
          <w:w w:val="105"/>
          <w:szCs w:val="24"/>
        </w:rPr>
        <w:t>GUD,</w:t>
      </w:r>
      <w:r w:rsidRPr="003A2B98">
        <w:rPr>
          <w:rFonts w:cs="Times New Roman"/>
          <w:color w:val="000000"/>
          <w:spacing w:val="-23"/>
          <w:w w:val="105"/>
          <w:szCs w:val="24"/>
        </w:rPr>
        <w:t xml:space="preserve"> </w:t>
      </w:r>
      <w:r w:rsidRPr="003A2B98">
        <w:rPr>
          <w:rFonts w:cs="Times New Roman"/>
          <w:color w:val="000000"/>
          <w:w w:val="105"/>
          <w:szCs w:val="24"/>
        </w:rPr>
        <w:t>na</w:t>
      </w:r>
      <w:r w:rsidRPr="003A2B98">
        <w:rPr>
          <w:rFonts w:cs="Times New Roman"/>
          <w:color w:val="000000"/>
          <w:spacing w:val="-17"/>
          <w:w w:val="105"/>
          <w:szCs w:val="24"/>
        </w:rPr>
        <w:t xml:space="preserve"> </w:t>
      </w:r>
      <w:r w:rsidRPr="003A2B98">
        <w:rPr>
          <w:rFonts w:cs="Times New Roman"/>
          <w:color w:val="000000"/>
          <w:w w:val="105"/>
          <w:szCs w:val="24"/>
        </w:rPr>
        <w:t>zasadach określonych w</w:t>
      </w:r>
      <w:r w:rsidRPr="003A2B98">
        <w:rPr>
          <w:rFonts w:cs="Times New Roman"/>
          <w:color w:val="000000"/>
          <w:spacing w:val="15"/>
          <w:w w:val="105"/>
          <w:szCs w:val="24"/>
        </w:rPr>
        <w:t xml:space="preserve"> </w:t>
      </w:r>
      <w:r w:rsidRPr="003A2B98">
        <w:rPr>
          <w:rFonts w:cs="Times New Roman"/>
          <w:color w:val="000000"/>
          <w:w w:val="105"/>
          <w:szCs w:val="24"/>
        </w:rPr>
        <w:t>GUD;</w:t>
      </w:r>
    </w:p>
    <w:p w14:paraId="73533048" w14:textId="77777777" w:rsidR="00051FAD" w:rsidRPr="003A2B98" w:rsidRDefault="00051FAD">
      <w:pPr>
        <w:pStyle w:val="Akapitzlist"/>
        <w:widowControl w:val="0"/>
        <w:numPr>
          <w:ilvl w:val="0"/>
          <w:numId w:val="315"/>
        </w:numPr>
        <w:autoSpaceDE w:val="0"/>
        <w:autoSpaceDN w:val="0"/>
        <w:spacing w:before="7" w:line="249" w:lineRule="auto"/>
        <w:ind w:left="567" w:right="2" w:hanging="283"/>
        <w:jc w:val="both"/>
        <w:rPr>
          <w:rFonts w:cs="Times New Roman"/>
          <w:color w:val="000000"/>
          <w:szCs w:val="24"/>
        </w:rPr>
      </w:pPr>
      <w:r w:rsidRPr="003A2B98">
        <w:rPr>
          <w:rFonts w:cs="Times New Roman"/>
          <w:color w:val="000000"/>
          <w:w w:val="105"/>
          <w:szCs w:val="24"/>
        </w:rPr>
        <w:t xml:space="preserve">wykonywania innych obowiązków określonych w GUD, a także wynikających </w:t>
      </w:r>
      <w:r>
        <w:rPr>
          <w:rFonts w:cs="Times New Roman"/>
          <w:color w:val="000000"/>
          <w:w w:val="105"/>
          <w:szCs w:val="24"/>
        </w:rPr>
        <w:br/>
      </w:r>
      <w:r w:rsidRPr="003A2B98">
        <w:rPr>
          <w:rFonts w:cs="Times New Roman"/>
          <w:color w:val="000000"/>
          <w:w w:val="105"/>
          <w:szCs w:val="24"/>
        </w:rPr>
        <w:t>z przepisów obowiązującego prawa i IRiESD;</w:t>
      </w:r>
    </w:p>
    <w:p w14:paraId="597025AD" w14:textId="77777777" w:rsidR="00051FAD" w:rsidRPr="003A2B98" w:rsidRDefault="00051FAD">
      <w:pPr>
        <w:pStyle w:val="Akapitzlist"/>
        <w:widowControl w:val="0"/>
        <w:numPr>
          <w:ilvl w:val="0"/>
          <w:numId w:val="315"/>
        </w:numPr>
        <w:autoSpaceDE w:val="0"/>
        <w:autoSpaceDN w:val="0"/>
        <w:spacing w:before="3" w:line="249" w:lineRule="auto"/>
        <w:ind w:left="567" w:right="2" w:hanging="283"/>
        <w:jc w:val="both"/>
        <w:rPr>
          <w:rFonts w:cs="Times New Roman"/>
          <w:color w:val="000000"/>
          <w:szCs w:val="24"/>
        </w:rPr>
      </w:pPr>
      <w:r w:rsidRPr="003A2B98">
        <w:rPr>
          <w:rFonts w:cs="Times New Roman"/>
          <w:color w:val="000000"/>
          <w:w w:val="105"/>
          <w:szCs w:val="24"/>
        </w:rPr>
        <w:t>niezwłocznego przekazywania OSDn informacji wynikających z IRiESD mających wpływ na realizację</w:t>
      </w:r>
      <w:r w:rsidRPr="003A2B98">
        <w:rPr>
          <w:rFonts w:cs="Times New Roman"/>
          <w:color w:val="000000"/>
          <w:spacing w:val="49"/>
          <w:w w:val="105"/>
          <w:szCs w:val="24"/>
        </w:rPr>
        <w:t xml:space="preserve"> </w:t>
      </w:r>
      <w:r w:rsidRPr="003A2B98">
        <w:rPr>
          <w:rFonts w:cs="Times New Roman"/>
          <w:color w:val="000000"/>
          <w:w w:val="105"/>
          <w:szCs w:val="24"/>
        </w:rPr>
        <w:t>GUD;</w:t>
      </w:r>
    </w:p>
    <w:p w14:paraId="3E6250DD" w14:textId="77777777" w:rsidR="00051FAD" w:rsidRPr="003A2B98" w:rsidRDefault="00051FAD">
      <w:pPr>
        <w:pStyle w:val="Akapitzlist"/>
        <w:widowControl w:val="0"/>
        <w:numPr>
          <w:ilvl w:val="0"/>
          <w:numId w:val="322"/>
        </w:numPr>
        <w:autoSpaceDE w:val="0"/>
        <w:autoSpaceDN w:val="0"/>
        <w:spacing w:before="3"/>
        <w:ind w:left="284" w:right="2" w:hanging="284"/>
        <w:jc w:val="both"/>
        <w:rPr>
          <w:rFonts w:cs="Times New Roman"/>
          <w:color w:val="000000"/>
          <w:szCs w:val="24"/>
        </w:rPr>
      </w:pPr>
      <w:r w:rsidRPr="003A2B98">
        <w:rPr>
          <w:rFonts w:cs="Times New Roman"/>
          <w:color w:val="000000"/>
          <w:w w:val="105"/>
          <w:szCs w:val="24"/>
        </w:rPr>
        <w:t>Odniesienie do IRiESD w zakresie zasad udostępniania danych</w:t>
      </w:r>
      <w:r w:rsidRPr="003A2B98">
        <w:rPr>
          <w:rFonts w:cs="Times New Roman"/>
          <w:color w:val="000000"/>
          <w:spacing w:val="45"/>
          <w:w w:val="105"/>
          <w:szCs w:val="24"/>
        </w:rPr>
        <w:t xml:space="preserve"> </w:t>
      </w:r>
      <w:r w:rsidRPr="003A2B98">
        <w:rPr>
          <w:rFonts w:cs="Times New Roman"/>
          <w:color w:val="000000"/>
          <w:spacing w:val="2"/>
          <w:w w:val="105"/>
          <w:szCs w:val="24"/>
        </w:rPr>
        <w:t>pomiarowych:</w:t>
      </w:r>
    </w:p>
    <w:p w14:paraId="5CC50128" w14:textId="77777777" w:rsidR="00051FAD" w:rsidRPr="003A2B98" w:rsidRDefault="00051FAD">
      <w:pPr>
        <w:pStyle w:val="Akapitzlist"/>
        <w:widowControl w:val="0"/>
        <w:numPr>
          <w:ilvl w:val="0"/>
          <w:numId w:val="314"/>
        </w:numPr>
        <w:autoSpaceDE w:val="0"/>
        <w:autoSpaceDN w:val="0"/>
        <w:spacing w:before="11" w:line="249" w:lineRule="auto"/>
        <w:ind w:left="567" w:right="2" w:hanging="283"/>
        <w:jc w:val="both"/>
        <w:rPr>
          <w:rFonts w:cs="Times New Roman"/>
          <w:color w:val="000000"/>
          <w:szCs w:val="24"/>
        </w:rPr>
      </w:pPr>
      <w:r w:rsidRPr="003A2B98">
        <w:rPr>
          <w:rFonts w:cs="Times New Roman"/>
          <w:color w:val="000000"/>
          <w:w w:val="105"/>
          <w:szCs w:val="24"/>
        </w:rPr>
        <w:t>Udostępnianie sprzedawcy przez OSDn danych pomiarowych dla każdego PPE odbywa się na zasadach określonych w</w:t>
      </w:r>
      <w:r w:rsidRPr="003A2B98">
        <w:rPr>
          <w:rFonts w:cs="Times New Roman"/>
          <w:color w:val="000000"/>
          <w:spacing w:val="39"/>
          <w:w w:val="105"/>
          <w:szCs w:val="24"/>
        </w:rPr>
        <w:t xml:space="preserve"> </w:t>
      </w:r>
      <w:r w:rsidRPr="003A2B98">
        <w:rPr>
          <w:rFonts w:cs="Times New Roman"/>
          <w:color w:val="000000"/>
          <w:w w:val="105"/>
          <w:szCs w:val="24"/>
        </w:rPr>
        <w:t>IRiESD;</w:t>
      </w:r>
    </w:p>
    <w:p w14:paraId="0CCA3154" w14:textId="732EFC54" w:rsidR="00051FAD" w:rsidRPr="003A2B98" w:rsidRDefault="00051FAD">
      <w:pPr>
        <w:pStyle w:val="Akapitzlist"/>
        <w:widowControl w:val="0"/>
        <w:numPr>
          <w:ilvl w:val="0"/>
          <w:numId w:val="314"/>
        </w:numPr>
        <w:autoSpaceDE w:val="0"/>
        <w:autoSpaceDN w:val="0"/>
        <w:spacing w:before="2" w:line="249" w:lineRule="auto"/>
        <w:ind w:left="567" w:right="2" w:hanging="283"/>
        <w:jc w:val="both"/>
        <w:rPr>
          <w:rFonts w:cs="Times New Roman"/>
          <w:color w:val="000000"/>
          <w:szCs w:val="24"/>
        </w:rPr>
      </w:pPr>
      <w:r w:rsidRPr="003A2B98">
        <w:rPr>
          <w:rFonts w:cs="Times New Roman"/>
          <w:color w:val="000000"/>
          <w:spacing w:val="-4"/>
          <w:w w:val="105"/>
          <w:szCs w:val="24"/>
        </w:rPr>
        <w:t xml:space="preserve">Dane, </w:t>
      </w:r>
      <w:r w:rsidRPr="003A2B98">
        <w:rPr>
          <w:rFonts w:cs="Times New Roman"/>
          <w:color w:val="000000"/>
          <w:w w:val="105"/>
          <w:szCs w:val="24"/>
        </w:rPr>
        <w:t>o których mowa w ppkt 1, udostępnione są sprzedawcy poprzez wystawienie ich na wskazany przez OSDn serwer, na zasadach,</w:t>
      </w:r>
      <w:r>
        <w:rPr>
          <w:rFonts w:cs="Times New Roman"/>
          <w:color w:val="000000"/>
          <w:w w:val="105"/>
          <w:szCs w:val="24"/>
        </w:rPr>
        <w:t xml:space="preserve"> </w:t>
      </w:r>
      <w:r w:rsidRPr="003A2B98">
        <w:rPr>
          <w:rFonts w:cs="Times New Roman"/>
          <w:color w:val="000000"/>
          <w:w w:val="105"/>
          <w:szCs w:val="24"/>
        </w:rPr>
        <w:t xml:space="preserve">o którym mowa w GUD, </w:t>
      </w:r>
      <w:r w:rsidR="00F077EB">
        <w:rPr>
          <w:rFonts w:cs="Times New Roman"/>
          <w:color w:val="000000"/>
          <w:w w:val="105"/>
          <w:szCs w:val="24"/>
        </w:rPr>
        <w:br/>
      </w:r>
      <w:r w:rsidRPr="003A2B98">
        <w:rPr>
          <w:rFonts w:cs="Times New Roman"/>
          <w:color w:val="000000"/>
          <w:w w:val="105"/>
          <w:szCs w:val="24"/>
        </w:rPr>
        <w:t>w formacie określonym zgodnie z</w:t>
      </w:r>
      <w:r w:rsidRPr="003A2B98">
        <w:rPr>
          <w:rFonts w:cs="Times New Roman"/>
          <w:color w:val="000000"/>
          <w:spacing w:val="-16"/>
          <w:w w:val="105"/>
          <w:szCs w:val="24"/>
        </w:rPr>
        <w:t xml:space="preserve"> </w:t>
      </w:r>
      <w:r w:rsidRPr="003A2B98">
        <w:rPr>
          <w:rFonts w:cs="Times New Roman"/>
          <w:color w:val="000000"/>
          <w:w w:val="105"/>
          <w:szCs w:val="24"/>
        </w:rPr>
        <w:t>IRiESD.</w:t>
      </w:r>
    </w:p>
    <w:p w14:paraId="43D3162B" w14:textId="6C931873" w:rsidR="00051FAD" w:rsidRPr="003A2B98" w:rsidRDefault="00051FAD">
      <w:pPr>
        <w:pStyle w:val="Akapitzlist"/>
        <w:widowControl w:val="0"/>
        <w:numPr>
          <w:ilvl w:val="0"/>
          <w:numId w:val="322"/>
        </w:numPr>
        <w:autoSpaceDE w:val="0"/>
        <w:autoSpaceDN w:val="0"/>
        <w:spacing w:before="4" w:line="254" w:lineRule="auto"/>
        <w:ind w:left="426" w:right="2" w:hanging="426"/>
        <w:jc w:val="both"/>
        <w:rPr>
          <w:rFonts w:cs="Times New Roman"/>
          <w:color w:val="000000"/>
          <w:szCs w:val="24"/>
        </w:rPr>
      </w:pPr>
      <w:r w:rsidRPr="003A2B98">
        <w:rPr>
          <w:rFonts w:cs="Times New Roman"/>
          <w:color w:val="000000"/>
          <w:w w:val="105"/>
          <w:szCs w:val="24"/>
        </w:rPr>
        <w:t xml:space="preserve">Zasady wstrzymania i wznowienia dostarczania energii elektrycznej do odbiorców, </w:t>
      </w:r>
      <w:r w:rsidR="00F077EB">
        <w:rPr>
          <w:rFonts w:cs="Times New Roman"/>
          <w:color w:val="000000"/>
          <w:w w:val="105"/>
          <w:szCs w:val="24"/>
        </w:rPr>
        <w:br/>
      </w:r>
      <w:r w:rsidRPr="003A2B98">
        <w:rPr>
          <w:rFonts w:cs="Times New Roman"/>
          <w:color w:val="000000"/>
          <w:w w:val="105"/>
          <w:szCs w:val="24"/>
        </w:rPr>
        <w:t>w tym odniesienie się do zapisów</w:t>
      </w:r>
      <w:r w:rsidRPr="003A2B98">
        <w:rPr>
          <w:rFonts w:cs="Times New Roman"/>
          <w:color w:val="000000"/>
          <w:spacing w:val="13"/>
          <w:w w:val="105"/>
          <w:szCs w:val="24"/>
        </w:rPr>
        <w:t xml:space="preserve"> </w:t>
      </w:r>
      <w:r w:rsidRPr="003A2B98">
        <w:rPr>
          <w:rFonts w:cs="Times New Roman"/>
          <w:color w:val="000000"/>
          <w:w w:val="105"/>
          <w:szCs w:val="24"/>
        </w:rPr>
        <w:t>IRiESD:</w:t>
      </w:r>
    </w:p>
    <w:p w14:paraId="1406415F" w14:textId="77777777" w:rsidR="00051FAD" w:rsidRPr="003A2B98" w:rsidRDefault="00051FAD">
      <w:pPr>
        <w:pStyle w:val="Akapitzlist"/>
        <w:widowControl w:val="0"/>
        <w:numPr>
          <w:ilvl w:val="0"/>
          <w:numId w:val="313"/>
        </w:numPr>
        <w:autoSpaceDE w:val="0"/>
        <w:autoSpaceDN w:val="0"/>
        <w:spacing w:line="247" w:lineRule="auto"/>
        <w:ind w:left="567" w:right="2" w:hanging="283"/>
        <w:jc w:val="both"/>
        <w:rPr>
          <w:rFonts w:cs="Times New Roman"/>
          <w:color w:val="000000"/>
          <w:szCs w:val="24"/>
        </w:rPr>
      </w:pPr>
      <w:r w:rsidRPr="003A2B98">
        <w:rPr>
          <w:rFonts w:cs="Times New Roman"/>
          <w:color w:val="000000"/>
          <w:w w:val="105"/>
          <w:szCs w:val="24"/>
        </w:rPr>
        <w:t>Wstrzymanie oraz wznowienie dostarczania energii elektrycznej odbywa się na zasadach określonych w Ustawie oraz</w:t>
      </w:r>
      <w:r w:rsidRPr="003A2B98">
        <w:rPr>
          <w:rFonts w:cs="Times New Roman"/>
          <w:color w:val="000000"/>
          <w:spacing w:val="31"/>
          <w:w w:val="105"/>
          <w:szCs w:val="24"/>
        </w:rPr>
        <w:t xml:space="preserve"> </w:t>
      </w:r>
      <w:r w:rsidRPr="003A2B98">
        <w:rPr>
          <w:rFonts w:cs="Times New Roman"/>
          <w:color w:val="000000"/>
          <w:w w:val="105"/>
          <w:szCs w:val="24"/>
        </w:rPr>
        <w:t>IRiESD.</w:t>
      </w:r>
    </w:p>
    <w:p w14:paraId="4F069381" w14:textId="77777777" w:rsidR="00051FAD" w:rsidRPr="003A2B98" w:rsidRDefault="00051FAD">
      <w:pPr>
        <w:pStyle w:val="Akapitzlist"/>
        <w:widowControl w:val="0"/>
        <w:numPr>
          <w:ilvl w:val="0"/>
          <w:numId w:val="313"/>
        </w:numPr>
        <w:autoSpaceDE w:val="0"/>
        <w:autoSpaceDN w:val="0"/>
        <w:spacing w:before="10" w:line="249" w:lineRule="auto"/>
        <w:ind w:left="567" w:right="2" w:hanging="283"/>
        <w:jc w:val="both"/>
        <w:rPr>
          <w:rFonts w:cs="Times New Roman"/>
          <w:color w:val="000000"/>
          <w:szCs w:val="24"/>
        </w:rPr>
      </w:pPr>
      <w:r w:rsidRPr="003A2B98">
        <w:rPr>
          <w:rFonts w:cs="Times New Roman"/>
          <w:color w:val="000000"/>
          <w:szCs w:val="24"/>
        </w:rPr>
        <w:t xml:space="preserve">Wymiana informacji w zakresie wstrzymania i wznowienia dostarczania energii elektrycznej pomiędzy sprzedawcą i OSDn odbywa się poprzez </w:t>
      </w:r>
      <w:r w:rsidRPr="003A2B98">
        <w:rPr>
          <w:rFonts w:cs="Times New Roman"/>
          <w:color w:val="000000"/>
          <w:spacing w:val="-5"/>
          <w:szCs w:val="24"/>
        </w:rPr>
        <w:t xml:space="preserve">system, </w:t>
      </w:r>
      <w:r w:rsidRPr="003A2B98">
        <w:rPr>
          <w:rFonts w:cs="Times New Roman"/>
          <w:color w:val="000000"/>
          <w:szCs w:val="24"/>
        </w:rPr>
        <w:t>o którym mowa w</w:t>
      </w:r>
      <w:r w:rsidRPr="003A2B98">
        <w:rPr>
          <w:rFonts w:cs="Times New Roman"/>
          <w:color w:val="000000"/>
          <w:spacing w:val="-16"/>
          <w:szCs w:val="24"/>
        </w:rPr>
        <w:t xml:space="preserve"> </w:t>
      </w:r>
      <w:r w:rsidRPr="003A2B98">
        <w:rPr>
          <w:rFonts w:cs="Times New Roman"/>
          <w:color w:val="000000"/>
          <w:szCs w:val="24"/>
        </w:rPr>
        <w:t>GUD.</w:t>
      </w:r>
    </w:p>
    <w:p w14:paraId="4A55AC55" w14:textId="77777777" w:rsidR="00051FAD" w:rsidRPr="003A2B98" w:rsidRDefault="00051FAD">
      <w:pPr>
        <w:pStyle w:val="Akapitzlist"/>
        <w:widowControl w:val="0"/>
        <w:numPr>
          <w:ilvl w:val="0"/>
          <w:numId w:val="322"/>
        </w:numPr>
        <w:autoSpaceDE w:val="0"/>
        <w:autoSpaceDN w:val="0"/>
        <w:spacing w:line="252" w:lineRule="exact"/>
        <w:ind w:left="426" w:right="2" w:hanging="426"/>
        <w:jc w:val="both"/>
        <w:rPr>
          <w:rFonts w:cs="Times New Roman"/>
          <w:color w:val="000000"/>
          <w:szCs w:val="24"/>
        </w:rPr>
      </w:pPr>
      <w:r w:rsidRPr="003A2B98">
        <w:rPr>
          <w:rFonts w:cs="Times New Roman"/>
          <w:color w:val="000000"/>
          <w:w w:val="105"/>
          <w:szCs w:val="24"/>
        </w:rPr>
        <w:t>Ograniczenia w wykonaniu postanowień</w:t>
      </w:r>
      <w:r w:rsidRPr="003A2B98">
        <w:rPr>
          <w:rFonts w:cs="Times New Roman"/>
          <w:color w:val="000000"/>
          <w:spacing w:val="51"/>
          <w:w w:val="105"/>
          <w:szCs w:val="24"/>
        </w:rPr>
        <w:t xml:space="preserve"> </w:t>
      </w:r>
      <w:r w:rsidRPr="003A2B98">
        <w:rPr>
          <w:rFonts w:cs="Times New Roman"/>
          <w:color w:val="000000"/>
          <w:w w:val="105"/>
          <w:szCs w:val="24"/>
        </w:rPr>
        <w:t>GUD:</w:t>
      </w:r>
    </w:p>
    <w:p w14:paraId="53C10501" w14:textId="319BBC24" w:rsidR="00051FAD" w:rsidRPr="003A2B98" w:rsidRDefault="00051FAD">
      <w:pPr>
        <w:pStyle w:val="Akapitzlist"/>
        <w:widowControl w:val="0"/>
        <w:numPr>
          <w:ilvl w:val="0"/>
          <w:numId w:val="312"/>
        </w:numPr>
        <w:autoSpaceDE w:val="0"/>
        <w:autoSpaceDN w:val="0"/>
        <w:spacing w:before="16" w:line="249" w:lineRule="auto"/>
        <w:ind w:left="567" w:right="2" w:hanging="283"/>
        <w:jc w:val="both"/>
        <w:rPr>
          <w:rFonts w:cs="Times New Roman"/>
          <w:color w:val="000000"/>
          <w:szCs w:val="24"/>
        </w:rPr>
      </w:pPr>
      <w:r w:rsidRPr="003A2B98">
        <w:rPr>
          <w:rFonts w:cs="Times New Roman"/>
          <w:color w:val="000000"/>
          <w:w w:val="105"/>
          <w:szCs w:val="24"/>
        </w:rPr>
        <w:t>OSDn i sprzedawca dopuszczają ograniczenie lub</w:t>
      </w:r>
      <w:r w:rsidRPr="003A2B98">
        <w:rPr>
          <w:rFonts w:cs="Times New Roman"/>
          <w:color w:val="000000"/>
          <w:spacing w:val="-41"/>
          <w:w w:val="105"/>
          <w:szCs w:val="24"/>
        </w:rPr>
        <w:t xml:space="preserve"> </w:t>
      </w:r>
      <w:r w:rsidRPr="003A2B98">
        <w:rPr>
          <w:rFonts w:cs="Times New Roman"/>
          <w:color w:val="000000"/>
          <w:w w:val="105"/>
          <w:szCs w:val="24"/>
        </w:rPr>
        <w:t xml:space="preserve">wstrzymanie, w części lub </w:t>
      </w:r>
      <w:r w:rsidR="00F077EB">
        <w:rPr>
          <w:rFonts w:cs="Times New Roman"/>
          <w:color w:val="000000"/>
          <w:w w:val="105"/>
          <w:szCs w:val="24"/>
        </w:rPr>
        <w:br/>
      </w:r>
      <w:r w:rsidRPr="003A2B98">
        <w:rPr>
          <w:rFonts w:cs="Times New Roman"/>
          <w:color w:val="000000"/>
          <w:w w:val="105"/>
          <w:szCs w:val="24"/>
        </w:rPr>
        <w:t xml:space="preserve">w całości, świadczenia usług dystrybucji będących przedmiotem GUD, </w:t>
      </w:r>
      <w:r w:rsidR="00F077EB">
        <w:rPr>
          <w:rFonts w:cs="Times New Roman"/>
          <w:color w:val="000000"/>
          <w:w w:val="105"/>
          <w:szCs w:val="24"/>
        </w:rPr>
        <w:br/>
      </w:r>
      <w:r w:rsidRPr="003A2B98">
        <w:rPr>
          <w:rFonts w:cs="Times New Roman"/>
          <w:color w:val="000000"/>
          <w:w w:val="105"/>
          <w:szCs w:val="24"/>
        </w:rPr>
        <w:t>w</w:t>
      </w:r>
      <w:r w:rsidRPr="003A2B98">
        <w:rPr>
          <w:rFonts w:cs="Times New Roman"/>
          <w:color w:val="000000"/>
          <w:spacing w:val="13"/>
          <w:w w:val="105"/>
          <w:szCs w:val="24"/>
        </w:rPr>
        <w:t xml:space="preserve"> </w:t>
      </w:r>
      <w:r w:rsidRPr="003A2B98">
        <w:rPr>
          <w:rFonts w:cs="Times New Roman"/>
          <w:color w:val="000000"/>
          <w:w w:val="105"/>
          <w:szCs w:val="24"/>
        </w:rPr>
        <w:t>przypadkach:</w:t>
      </w:r>
    </w:p>
    <w:p w14:paraId="2EE9E62F" w14:textId="3E8D7111" w:rsidR="00051FAD" w:rsidRPr="003A2B98" w:rsidRDefault="00051FAD">
      <w:pPr>
        <w:pStyle w:val="Akapitzlist"/>
        <w:widowControl w:val="0"/>
        <w:numPr>
          <w:ilvl w:val="1"/>
          <w:numId w:val="312"/>
        </w:numPr>
        <w:autoSpaceDE w:val="0"/>
        <w:autoSpaceDN w:val="0"/>
        <w:spacing w:before="4" w:line="249" w:lineRule="auto"/>
        <w:ind w:left="851" w:right="2" w:hanging="284"/>
        <w:jc w:val="both"/>
        <w:rPr>
          <w:rFonts w:cs="Times New Roman"/>
          <w:color w:val="000000"/>
          <w:szCs w:val="24"/>
        </w:rPr>
      </w:pPr>
      <w:r w:rsidRPr="003A2B98">
        <w:rPr>
          <w:rFonts w:cs="Times New Roman"/>
          <w:color w:val="000000"/>
          <w:w w:val="105"/>
          <w:szCs w:val="24"/>
        </w:rPr>
        <w:t>działania</w:t>
      </w:r>
      <w:r w:rsidRPr="003A2B98">
        <w:rPr>
          <w:rFonts w:cs="Times New Roman"/>
          <w:color w:val="000000"/>
          <w:spacing w:val="-12"/>
          <w:w w:val="105"/>
          <w:szCs w:val="24"/>
        </w:rPr>
        <w:t xml:space="preserve"> </w:t>
      </w:r>
      <w:r w:rsidRPr="003A2B98">
        <w:rPr>
          <w:rFonts w:cs="Times New Roman"/>
          <w:color w:val="000000"/>
          <w:w w:val="105"/>
          <w:szCs w:val="24"/>
        </w:rPr>
        <w:t>siły</w:t>
      </w:r>
      <w:r w:rsidRPr="003A2B98">
        <w:rPr>
          <w:rFonts w:cs="Times New Roman"/>
          <w:color w:val="000000"/>
          <w:spacing w:val="-14"/>
          <w:w w:val="105"/>
          <w:szCs w:val="24"/>
        </w:rPr>
        <w:t xml:space="preserve"> </w:t>
      </w:r>
      <w:r w:rsidRPr="003A2B98">
        <w:rPr>
          <w:rFonts w:cs="Times New Roman"/>
          <w:color w:val="000000"/>
          <w:w w:val="105"/>
          <w:szCs w:val="24"/>
        </w:rPr>
        <w:t>wyższej</w:t>
      </w:r>
      <w:r w:rsidRPr="003A2B98">
        <w:rPr>
          <w:rFonts w:cs="Times New Roman"/>
          <w:color w:val="000000"/>
          <w:spacing w:val="-10"/>
          <w:w w:val="105"/>
          <w:szCs w:val="24"/>
        </w:rPr>
        <w:t xml:space="preserve"> </w:t>
      </w:r>
      <w:r w:rsidRPr="003A2B98">
        <w:rPr>
          <w:rFonts w:cs="Times New Roman"/>
          <w:color w:val="000000"/>
          <w:w w:val="105"/>
          <w:szCs w:val="24"/>
        </w:rPr>
        <w:t>albo</w:t>
      </w:r>
      <w:r w:rsidRPr="003A2B98">
        <w:rPr>
          <w:rFonts w:cs="Times New Roman"/>
          <w:color w:val="000000"/>
          <w:spacing w:val="-18"/>
          <w:w w:val="105"/>
          <w:szCs w:val="24"/>
        </w:rPr>
        <w:t xml:space="preserve"> </w:t>
      </w:r>
      <w:r w:rsidRPr="003A2B98">
        <w:rPr>
          <w:rFonts w:cs="Times New Roman"/>
          <w:color w:val="000000"/>
          <w:w w:val="105"/>
          <w:szCs w:val="24"/>
        </w:rPr>
        <w:t>z</w:t>
      </w:r>
      <w:r w:rsidRPr="003A2B98">
        <w:rPr>
          <w:rFonts w:cs="Times New Roman"/>
          <w:color w:val="000000"/>
          <w:spacing w:val="-21"/>
          <w:w w:val="105"/>
          <w:szCs w:val="24"/>
        </w:rPr>
        <w:t xml:space="preserve"> </w:t>
      </w:r>
      <w:r w:rsidRPr="003A2B98">
        <w:rPr>
          <w:rFonts w:cs="Times New Roman"/>
          <w:color w:val="000000"/>
          <w:w w:val="105"/>
          <w:szCs w:val="24"/>
        </w:rPr>
        <w:t>winy</w:t>
      </w:r>
      <w:r w:rsidRPr="003A2B98">
        <w:rPr>
          <w:rFonts w:cs="Times New Roman"/>
          <w:color w:val="000000"/>
          <w:spacing w:val="-11"/>
          <w:w w:val="105"/>
          <w:szCs w:val="24"/>
        </w:rPr>
        <w:t xml:space="preserve"> </w:t>
      </w:r>
      <w:r w:rsidRPr="003A2B98">
        <w:rPr>
          <w:rFonts w:cs="Times New Roman"/>
          <w:color w:val="000000"/>
          <w:w w:val="105"/>
          <w:szCs w:val="24"/>
        </w:rPr>
        <w:t>URD</w:t>
      </w:r>
      <w:r w:rsidRPr="003A2B98">
        <w:rPr>
          <w:rFonts w:cs="Times New Roman"/>
          <w:color w:val="000000"/>
          <w:spacing w:val="-12"/>
          <w:w w:val="105"/>
          <w:szCs w:val="24"/>
        </w:rPr>
        <w:t xml:space="preserve"> </w:t>
      </w:r>
      <w:r w:rsidRPr="003A2B98">
        <w:rPr>
          <w:rFonts w:cs="Times New Roman"/>
          <w:color w:val="000000"/>
          <w:w w:val="105"/>
          <w:szCs w:val="24"/>
        </w:rPr>
        <w:t>lub</w:t>
      </w:r>
      <w:r w:rsidRPr="003A2B98">
        <w:rPr>
          <w:rFonts w:cs="Times New Roman"/>
          <w:color w:val="000000"/>
          <w:spacing w:val="-22"/>
          <w:w w:val="105"/>
          <w:szCs w:val="24"/>
        </w:rPr>
        <w:t xml:space="preserve"> </w:t>
      </w:r>
      <w:r w:rsidRPr="003A2B98">
        <w:rPr>
          <w:rFonts w:cs="Times New Roman"/>
          <w:color w:val="000000"/>
          <w:w w:val="105"/>
          <w:szCs w:val="24"/>
        </w:rPr>
        <w:t>osoby</w:t>
      </w:r>
      <w:r w:rsidRPr="003A2B98">
        <w:rPr>
          <w:rFonts w:cs="Times New Roman"/>
          <w:color w:val="000000"/>
          <w:spacing w:val="-8"/>
          <w:w w:val="105"/>
          <w:szCs w:val="24"/>
        </w:rPr>
        <w:t xml:space="preserve"> </w:t>
      </w:r>
      <w:r w:rsidRPr="003A2B98">
        <w:rPr>
          <w:rFonts w:cs="Times New Roman"/>
          <w:color w:val="000000"/>
          <w:w w:val="105"/>
          <w:szCs w:val="24"/>
        </w:rPr>
        <w:t>trzeciej,</w:t>
      </w:r>
      <w:r w:rsidRPr="003A2B98">
        <w:rPr>
          <w:rFonts w:cs="Times New Roman"/>
          <w:color w:val="000000"/>
          <w:spacing w:val="-14"/>
          <w:w w:val="105"/>
          <w:szCs w:val="24"/>
        </w:rPr>
        <w:t xml:space="preserve"> </w:t>
      </w:r>
      <w:r w:rsidRPr="003A2B98">
        <w:rPr>
          <w:rFonts w:cs="Times New Roman"/>
          <w:color w:val="000000"/>
          <w:w w:val="105"/>
          <w:szCs w:val="24"/>
        </w:rPr>
        <w:t>za</w:t>
      </w:r>
      <w:r w:rsidRPr="003A2B98">
        <w:rPr>
          <w:rFonts w:cs="Times New Roman"/>
          <w:color w:val="000000"/>
          <w:spacing w:val="-14"/>
          <w:w w:val="105"/>
          <w:szCs w:val="24"/>
        </w:rPr>
        <w:t xml:space="preserve"> </w:t>
      </w:r>
      <w:r w:rsidRPr="003A2B98">
        <w:rPr>
          <w:rFonts w:cs="Times New Roman"/>
          <w:color w:val="000000"/>
          <w:w w:val="105"/>
          <w:szCs w:val="24"/>
        </w:rPr>
        <w:t>które</w:t>
      </w:r>
      <w:r w:rsidRPr="003A2B98">
        <w:rPr>
          <w:rFonts w:cs="Times New Roman"/>
          <w:color w:val="000000"/>
          <w:spacing w:val="-13"/>
          <w:w w:val="105"/>
          <w:szCs w:val="24"/>
        </w:rPr>
        <w:t xml:space="preserve"> OSDn </w:t>
      </w:r>
      <w:r w:rsidR="00F077EB">
        <w:rPr>
          <w:rFonts w:cs="Times New Roman"/>
          <w:color w:val="000000"/>
          <w:spacing w:val="-13"/>
          <w:w w:val="105"/>
          <w:szCs w:val="24"/>
        </w:rPr>
        <w:br/>
      </w:r>
      <w:r w:rsidRPr="003A2B98">
        <w:rPr>
          <w:rFonts w:cs="Times New Roman"/>
          <w:color w:val="000000"/>
          <w:w w:val="105"/>
          <w:szCs w:val="24"/>
        </w:rPr>
        <w:t>i sprzedawca nie ponosi</w:t>
      </w:r>
      <w:r w:rsidRPr="003A2B98">
        <w:rPr>
          <w:rFonts w:cs="Times New Roman"/>
          <w:color w:val="000000"/>
          <w:spacing w:val="-13"/>
          <w:w w:val="105"/>
          <w:szCs w:val="24"/>
        </w:rPr>
        <w:t xml:space="preserve"> </w:t>
      </w:r>
      <w:r w:rsidRPr="003A2B98">
        <w:rPr>
          <w:rFonts w:cs="Times New Roman"/>
          <w:color w:val="000000"/>
          <w:w w:val="105"/>
          <w:szCs w:val="24"/>
        </w:rPr>
        <w:t>odpowiedzialności;</w:t>
      </w:r>
    </w:p>
    <w:p w14:paraId="5E30655A" w14:textId="77777777" w:rsidR="00051FAD" w:rsidRPr="003A2B98" w:rsidRDefault="00051FAD">
      <w:pPr>
        <w:pStyle w:val="Akapitzlist"/>
        <w:widowControl w:val="0"/>
        <w:numPr>
          <w:ilvl w:val="1"/>
          <w:numId w:val="312"/>
        </w:numPr>
        <w:autoSpaceDE w:val="0"/>
        <w:autoSpaceDN w:val="0"/>
        <w:spacing w:before="7" w:line="247" w:lineRule="auto"/>
        <w:ind w:left="851" w:right="2" w:hanging="284"/>
        <w:jc w:val="both"/>
        <w:rPr>
          <w:rFonts w:cs="Times New Roman"/>
          <w:color w:val="000000"/>
          <w:szCs w:val="24"/>
        </w:rPr>
      </w:pPr>
      <w:r w:rsidRPr="003A2B98">
        <w:rPr>
          <w:rFonts w:cs="Times New Roman"/>
          <w:color w:val="000000"/>
          <w:w w:val="105"/>
          <w:szCs w:val="24"/>
        </w:rPr>
        <w:t xml:space="preserve">ograniczenia w dostarczaniu energii elektrycznej w związku z zagrożeniem </w:t>
      </w:r>
      <w:r w:rsidRPr="003A2B98">
        <w:rPr>
          <w:rFonts w:cs="Times New Roman"/>
          <w:color w:val="000000"/>
          <w:spacing w:val="-4"/>
          <w:w w:val="105"/>
          <w:szCs w:val="24"/>
        </w:rPr>
        <w:t xml:space="preserve">życia, </w:t>
      </w:r>
      <w:r w:rsidRPr="003A2B98">
        <w:rPr>
          <w:rFonts w:cs="Times New Roman"/>
          <w:color w:val="000000"/>
          <w:w w:val="105"/>
          <w:szCs w:val="24"/>
        </w:rPr>
        <w:t>zdrowia, mienia lub</w:t>
      </w:r>
      <w:r w:rsidRPr="003A2B98">
        <w:rPr>
          <w:rFonts w:cs="Times New Roman"/>
          <w:color w:val="000000"/>
          <w:spacing w:val="20"/>
          <w:w w:val="105"/>
          <w:szCs w:val="24"/>
        </w:rPr>
        <w:t xml:space="preserve"> </w:t>
      </w:r>
      <w:r w:rsidRPr="003A2B98">
        <w:rPr>
          <w:rFonts w:cs="Times New Roman"/>
          <w:color w:val="000000"/>
          <w:w w:val="105"/>
          <w:szCs w:val="24"/>
        </w:rPr>
        <w:t>środowiska;</w:t>
      </w:r>
    </w:p>
    <w:p w14:paraId="01AD0417" w14:textId="77777777" w:rsidR="00051FAD" w:rsidRPr="003A2B98" w:rsidRDefault="00051FAD">
      <w:pPr>
        <w:pStyle w:val="Akapitzlist"/>
        <w:widowControl w:val="0"/>
        <w:numPr>
          <w:ilvl w:val="1"/>
          <w:numId w:val="312"/>
        </w:numPr>
        <w:autoSpaceDE w:val="0"/>
        <w:autoSpaceDN w:val="0"/>
        <w:spacing w:before="3" w:line="249" w:lineRule="auto"/>
        <w:ind w:left="851" w:right="2" w:hanging="284"/>
        <w:jc w:val="both"/>
        <w:rPr>
          <w:rFonts w:cs="Times New Roman"/>
          <w:color w:val="000000"/>
          <w:szCs w:val="24"/>
        </w:rPr>
      </w:pPr>
      <w:r w:rsidRPr="003A2B98">
        <w:rPr>
          <w:rFonts w:cs="Times New Roman"/>
          <w:color w:val="000000"/>
          <w:szCs w:val="24"/>
        </w:rPr>
        <w:t xml:space="preserve">przerwy w dostarczaniu energii </w:t>
      </w:r>
      <w:r w:rsidRPr="003A2B98">
        <w:rPr>
          <w:rFonts w:cs="Times New Roman"/>
          <w:color w:val="000000"/>
          <w:spacing w:val="4"/>
          <w:szCs w:val="24"/>
        </w:rPr>
        <w:t>ele</w:t>
      </w:r>
      <w:r w:rsidRPr="003A2B98">
        <w:rPr>
          <w:rFonts w:cs="Times New Roman"/>
          <w:color w:val="000000"/>
          <w:spacing w:val="2"/>
          <w:szCs w:val="24"/>
        </w:rPr>
        <w:t xml:space="preserve">ktrycznej, </w:t>
      </w:r>
      <w:r w:rsidRPr="003A2B98">
        <w:rPr>
          <w:rFonts w:cs="Times New Roman"/>
          <w:color w:val="000000"/>
          <w:szCs w:val="24"/>
        </w:rPr>
        <w:t>przez czas i na warunkach określonych zgodnie z przepisami</w:t>
      </w:r>
      <w:r w:rsidRPr="003A2B98">
        <w:rPr>
          <w:rFonts w:cs="Times New Roman"/>
          <w:color w:val="000000"/>
          <w:spacing w:val="18"/>
          <w:szCs w:val="24"/>
        </w:rPr>
        <w:t xml:space="preserve"> </w:t>
      </w:r>
      <w:r w:rsidRPr="003A2B98">
        <w:rPr>
          <w:rFonts w:cs="Times New Roman"/>
          <w:color w:val="000000"/>
          <w:spacing w:val="-3"/>
          <w:szCs w:val="24"/>
        </w:rPr>
        <w:t>prawa;</w:t>
      </w:r>
    </w:p>
    <w:p w14:paraId="6582AA63" w14:textId="77777777" w:rsidR="00051FAD" w:rsidRPr="003A2B98" w:rsidRDefault="00051FAD">
      <w:pPr>
        <w:pStyle w:val="Akapitzlist"/>
        <w:widowControl w:val="0"/>
        <w:numPr>
          <w:ilvl w:val="1"/>
          <w:numId w:val="312"/>
        </w:numPr>
        <w:autoSpaceDE w:val="0"/>
        <w:autoSpaceDN w:val="0"/>
        <w:spacing w:before="7" w:line="249" w:lineRule="auto"/>
        <w:ind w:left="851" w:right="2" w:hanging="284"/>
        <w:jc w:val="both"/>
        <w:rPr>
          <w:rFonts w:cs="Times New Roman"/>
          <w:color w:val="000000"/>
          <w:szCs w:val="24"/>
        </w:rPr>
      </w:pPr>
      <w:r w:rsidRPr="003A2B98">
        <w:rPr>
          <w:rFonts w:cs="Times New Roman"/>
          <w:color w:val="000000"/>
          <w:szCs w:val="24"/>
        </w:rPr>
        <w:t xml:space="preserve">ograniczenia w dostarczaniu mocy i energii elektrycznej wprowadzonymi zgodnie </w:t>
      </w:r>
      <w:r>
        <w:rPr>
          <w:rFonts w:cs="Times New Roman"/>
          <w:color w:val="000000"/>
          <w:szCs w:val="24"/>
        </w:rPr>
        <w:br/>
      </w:r>
      <w:r w:rsidRPr="003A2B98">
        <w:rPr>
          <w:rFonts w:cs="Times New Roman"/>
          <w:color w:val="000000"/>
          <w:szCs w:val="24"/>
        </w:rPr>
        <w:t>z Ustawą wraz z aktami wykonawczymi wydanymi do tej Ustawy;</w:t>
      </w:r>
    </w:p>
    <w:p w14:paraId="60CF9578" w14:textId="11F66A1C" w:rsidR="00051FAD" w:rsidRPr="003A2B98" w:rsidRDefault="00051FAD">
      <w:pPr>
        <w:pStyle w:val="Akapitzlist"/>
        <w:widowControl w:val="0"/>
        <w:numPr>
          <w:ilvl w:val="1"/>
          <w:numId w:val="312"/>
        </w:numPr>
        <w:autoSpaceDE w:val="0"/>
        <w:autoSpaceDN w:val="0"/>
        <w:spacing w:before="2" w:line="249" w:lineRule="auto"/>
        <w:ind w:left="851" w:right="2" w:hanging="284"/>
        <w:jc w:val="both"/>
        <w:rPr>
          <w:rFonts w:cs="Times New Roman"/>
          <w:color w:val="000000"/>
          <w:szCs w:val="24"/>
        </w:rPr>
      </w:pPr>
      <w:r w:rsidRPr="003A2B98">
        <w:rPr>
          <w:rFonts w:cs="Times New Roman"/>
          <w:color w:val="000000"/>
          <w:w w:val="105"/>
          <w:szCs w:val="24"/>
        </w:rPr>
        <w:t xml:space="preserve">wystąpienia zdarzeń upoważniających do ograniczenia lub wstrzymania, w części lub w </w:t>
      </w:r>
      <w:r w:rsidRPr="003A2B98">
        <w:rPr>
          <w:rFonts w:cs="Times New Roman"/>
          <w:color w:val="000000"/>
          <w:spacing w:val="-3"/>
          <w:w w:val="105"/>
          <w:szCs w:val="24"/>
        </w:rPr>
        <w:t xml:space="preserve">całości, </w:t>
      </w:r>
      <w:r w:rsidRPr="003A2B98">
        <w:rPr>
          <w:rFonts w:cs="Times New Roman"/>
          <w:color w:val="000000"/>
          <w:w w:val="105"/>
          <w:szCs w:val="24"/>
        </w:rPr>
        <w:t>świadczenia usług dystrybucji przewidzianych w Ustawie i w GUD wraz z</w:t>
      </w:r>
      <w:r w:rsidRPr="003A2B98">
        <w:rPr>
          <w:rFonts w:cs="Times New Roman"/>
          <w:color w:val="000000"/>
          <w:spacing w:val="-14"/>
          <w:w w:val="105"/>
          <w:szCs w:val="24"/>
        </w:rPr>
        <w:t xml:space="preserve"> </w:t>
      </w:r>
      <w:r w:rsidRPr="003A2B98">
        <w:rPr>
          <w:rFonts w:cs="Times New Roman"/>
          <w:color w:val="000000"/>
          <w:w w:val="105"/>
          <w:szCs w:val="24"/>
        </w:rPr>
        <w:t>IRiESD;</w:t>
      </w:r>
    </w:p>
    <w:p w14:paraId="16A616F4" w14:textId="3551743D" w:rsidR="00051FAD" w:rsidRPr="003A2B98" w:rsidRDefault="00051FAD">
      <w:pPr>
        <w:pStyle w:val="Akapitzlist"/>
        <w:widowControl w:val="0"/>
        <w:numPr>
          <w:ilvl w:val="1"/>
          <w:numId w:val="312"/>
        </w:numPr>
        <w:autoSpaceDE w:val="0"/>
        <w:autoSpaceDN w:val="0"/>
        <w:spacing w:before="4" w:line="249" w:lineRule="auto"/>
        <w:ind w:left="851" w:right="2" w:hanging="284"/>
        <w:jc w:val="both"/>
        <w:rPr>
          <w:rFonts w:cs="Times New Roman"/>
          <w:color w:val="000000"/>
          <w:szCs w:val="24"/>
        </w:rPr>
      </w:pPr>
      <w:r w:rsidRPr="003A2B98">
        <w:rPr>
          <w:rFonts w:cs="Times New Roman"/>
          <w:color w:val="000000"/>
          <w:w w:val="105"/>
          <w:szCs w:val="24"/>
        </w:rPr>
        <w:t>zaprzestania,</w:t>
      </w:r>
      <w:r w:rsidRPr="003A2B98">
        <w:rPr>
          <w:rFonts w:cs="Times New Roman"/>
          <w:color w:val="000000"/>
          <w:spacing w:val="-18"/>
          <w:w w:val="105"/>
          <w:szCs w:val="24"/>
        </w:rPr>
        <w:t xml:space="preserve"> </w:t>
      </w:r>
      <w:r w:rsidRPr="003A2B98">
        <w:rPr>
          <w:rFonts w:cs="Times New Roman"/>
          <w:color w:val="000000"/>
          <w:w w:val="105"/>
          <w:szCs w:val="24"/>
        </w:rPr>
        <w:t>niezależnie</w:t>
      </w:r>
      <w:r w:rsidRPr="003A2B98">
        <w:rPr>
          <w:rFonts w:cs="Times New Roman"/>
          <w:color w:val="000000"/>
          <w:spacing w:val="-26"/>
          <w:w w:val="105"/>
          <w:szCs w:val="24"/>
        </w:rPr>
        <w:t xml:space="preserve"> </w:t>
      </w:r>
      <w:r w:rsidRPr="003A2B98">
        <w:rPr>
          <w:rFonts w:cs="Times New Roman"/>
          <w:color w:val="000000"/>
          <w:w w:val="105"/>
          <w:szCs w:val="24"/>
        </w:rPr>
        <w:t>od</w:t>
      </w:r>
      <w:r w:rsidRPr="003A2B98">
        <w:rPr>
          <w:rFonts w:cs="Times New Roman"/>
          <w:color w:val="000000"/>
          <w:spacing w:val="-27"/>
          <w:w w:val="105"/>
          <w:szCs w:val="24"/>
        </w:rPr>
        <w:t xml:space="preserve"> </w:t>
      </w:r>
      <w:r w:rsidRPr="003A2B98">
        <w:rPr>
          <w:rFonts w:cs="Times New Roman"/>
          <w:color w:val="000000"/>
          <w:w w:val="105"/>
          <w:szCs w:val="24"/>
        </w:rPr>
        <w:t>przyczyny,</w:t>
      </w:r>
      <w:r w:rsidRPr="003A2B98">
        <w:rPr>
          <w:rFonts w:cs="Times New Roman"/>
          <w:color w:val="000000"/>
          <w:spacing w:val="-20"/>
          <w:w w:val="105"/>
          <w:szCs w:val="24"/>
        </w:rPr>
        <w:t xml:space="preserve"> </w:t>
      </w:r>
      <w:r w:rsidRPr="003A2B98">
        <w:rPr>
          <w:rFonts w:cs="Times New Roman"/>
          <w:color w:val="000000"/>
          <w:w w:val="105"/>
          <w:szCs w:val="24"/>
        </w:rPr>
        <w:t>bilansowania</w:t>
      </w:r>
      <w:r w:rsidRPr="003A2B98">
        <w:rPr>
          <w:rFonts w:cs="Times New Roman"/>
          <w:color w:val="000000"/>
          <w:spacing w:val="-13"/>
          <w:w w:val="105"/>
          <w:szCs w:val="24"/>
        </w:rPr>
        <w:t xml:space="preserve"> </w:t>
      </w:r>
      <w:r w:rsidRPr="003A2B98">
        <w:rPr>
          <w:rFonts w:cs="Times New Roman"/>
          <w:color w:val="000000"/>
          <w:w w:val="105"/>
          <w:szCs w:val="24"/>
        </w:rPr>
        <w:t>handlowego</w:t>
      </w:r>
      <w:r w:rsidRPr="003A2B98">
        <w:rPr>
          <w:rFonts w:cs="Times New Roman"/>
          <w:color w:val="000000"/>
          <w:spacing w:val="-15"/>
          <w:w w:val="105"/>
          <w:szCs w:val="24"/>
        </w:rPr>
        <w:t xml:space="preserve"> </w:t>
      </w:r>
      <w:r w:rsidRPr="003A2B98">
        <w:rPr>
          <w:rFonts w:cs="Times New Roman"/>
          <w:color w:val="000000"/>
          <w:w w:val="105"/>
          <w:szCs w:val="24"/>
        </w:rPr>
        <w:t>sprzedawcy przez POB, w szczególności w przypadku zawieszenia lub zaprzestania działalności POB na</w:t>
      </w:r>
      <w:r w:rsidRPr="003A2B98">
        <w:rPr>
          <w:rFonts w:cs="Times New Roman"/>
          <w:color w:val="000000"/>
          <w:spacing w:val="-27"/>
          <w:w w:val="105"/>
          <w:szCs w:val="24"/>
        </w:rPr>
        <w:t xml:space="preserve"> </w:t>
      </w:r>
      <w:r w:rsidRPr="003A2B98">
        <w:rPr>
          <w:rFonts w:cs="Times New Roman"/>
          <w:color w:val="000000"/>
          <w:w w:val="105"/>
          <w:szCs w:val="24"/>
        </w:rPr>
        <w:t>RB.</w:t>
      </w:r>
    </w:p>
    <w:p w14:paraId="7CCB59DE" w14:textId="77777777" w:rsidR="00051FAD" w:rsidRPr="003A2B98" w:rsidRDefault="00051FAD">
      <w:pPr>
        <w:pStyle w:val="Akapitzlist"/>
        <w:widowControl w:val="0"/>
        <w:numPr>
          <w:ilvl w:val="0"/>
          <w:numId w:val="312"/>
        </w:numPr>
        <w:autoSpaceDE w:val="0"/>
        <w:autoSpaceDN w:val="0"/>
        <w:spacing w:before="9" w:line="249" w:lineRule="auto"/>
        <w:ind w:left="567" w:right="2" w:hanging="283"/>
        <w:jc w:val="both"/>
        <w:rPr>
          <w:rFonts w:cs="Times New Roman"/>
          <w:color w:val="000000"/>
          <w:szCs w:val="24"/>
        </w:rPr>
      </w:pPr>
      <w:r w:rsidRPr="003A2B98">
        <w:rPr>
          <w:rFonts w:cs="Times New Roman"/>
          <w:color w:val="000000"/>
          <w:w w:val="105"/>
          <w:szCs w:val="24"/>
        </w:rPr>
        <w:t>Ograniczenie</w:t>
      </w:r>
      <w:r w:rsidRPr="003A2B98">
        <w:rPr>
          <w:rFonts w:cs="Times New Roman"/>
          <w:color w:val="000000"/>
          <w:spacing w:val="-6"/>
          <w:w w:val="105"/>
          <w:szCs w:val="24"/>
        </w:rPr>
        <w:t xml:space="preserve"> </w:t>
      </w:r>
      <w:r w:rsidRPr="003A2B98">
        <w:rPr>
          <w:rFonts w:cs="Times New Roman"/>
          <w:color w:val="000000"/>
          <w:w w:val="105"/>
          <w:szCs w:val="24"/>
        </w:rPr>
        <w:t>lub</w:t>
      </w:r>
      <w:r w:rsidRPr="003A2B98">
        <w:rPr>
          <w:rFonts w:cs="Times New Roman"/>
          <w:color w:val="000000"/>
          <w:spacing w:val="-23"/>
          <w:w w:val="105"/>
          <w:szCs w:val="24"/>
        </w:rPr>
        <w:t xml:space="preserve"> </w:t>
      </w:r>
      <w:r w:rsidRPr="003A2B98">
        <w:rPr>
          <w:rFonts w:cs="Times New Roman"/>
          <w:color w:val="000000"/>
          <w:w w:val="105"/>
          <w:szCs w:val="24"/>
        </w:rPr>
        <w:t>wstrzymanie,</w:t>
      </w:r>
      <w:r w:rsidRPr="003A2B98">
        <w:rPr>
          <w:rFonts w:cs="Times New Roman"/>
          <w:color w:val="000000"/>
          <w:spacing w:val="-29"/>
          <w:w w:val="105"/>
          <w:szCs w:val="24"/>
        </w:rPr>
        <w:t xml:space="preserve"> </w:t>
      </w:r>
      <w:r w:rsidRPr="003A2B98">
        <w:rPr>
          <w:rFonts w:cs="Times New Roman"/>
          <w:color w:val="000000"/>
          <w:w w:val="105"/>
          <w:szCs w:val="24"/>
        </w:rPr>
        <w:t>o</w:t>
      </w:r>
      <w:r w:rsidRPr="003A2B98">
        <w:rPr>
          <w:rFonts w:cs="Times New Roman"/>
          <w:color w:val="000000"/>
          <w:spacing w:val="-20"/>
          <w:w w:val="105"/>
          <w:szCs w:val="24"/>
        </w:rPr>
        <w:t xml:space="preserve"> </w:t>
      </w:r>
      <w:r w:rsidRPr="003A2B98">
        <w:rPr>
          <w:rFonts w:cs="Times New Roman"/>
          <w:color w:val="000000"/>
          <w:w w:val="105"/>
          <w:szCs w:val="24"/>
        </w:rPr>
        <w:t>których</w:t>
      </w:r>
      <w:r w:rsidRPr="003A2B98">
        <w:rPr>
          <w:rFonts w:cs="Times New Roman"/>
          <w:color w:val="000000"/>
          <w:spacing w:val="-13"/>
          <w:w w:val="105"/>
          <w:szCs w:val="24"/>
        </w:rPr>
        <w:t xml:space="preserve"> </w:t>
      </w:r>
      <w:r w:rsidRPr="003A2B98">
        <w:rPr>
          <w:rFonts w:cs="Times New Roman"/>
          <w:color w:val="000000"/>
          <w:w w:val="105"/>
          <w:szCs w:val="24"/>
        </w:rPr>
        <w:t>mowa</w:t>
      </w:r>
      <w:r w:rsidRPr="003A2B98">
        <w:rPr>
          <w:rFonts w:cs="Times New Roman"/>
          <w:color w:val="000000"/>
          <w:spacing w:val="-12"/>
          <w:w w:val="105"/>
          <w:szCs w:val="24"/>
        </w:rPr>
        <w:t xml:space="preserve"> </w:t>
      </w:r>
      <w:r w:rsidRPr="003A2B98">
        <w:rPr>
          <w:rFonts w:cs="Times New Roman"/>
          <w:color w:val="000000"/>
          <w:w w:val="105"/>
          <w:szCs w:val="24"/>
        </w:rPr>
        <w:t>w</w:t>
      </w:r>
      <w:r w:rsidRPr="003A2B98">
        <w:rPr>
          <w:rFonts w:cs="Times New Roman"/>
          <w:color w:val="000000"/>
          <w:spacing w:val="-22"/>
          <w:w w:val="105"/>
          <w:szCs w:val="24"/>
        </w:rPr>
        <w:t xml:space="preserve"> </w:t>
      </w:r>
      <w:r w:rsidRPr="003A2B98">
        <w:rPr>
          <w:rFonts w:cs="Times New Roman"/>
          <w:color w:val="000000"/>
          <w:w w:val="105"/>
          <w:szCs w:val="24"/>
        </w:rPr>
        <w:t>ppkt</w:t>
      </w:r>
      <w:r w:rsidRPr="003A2B98">
        <w:rPr>
          <w:rFonts w:cs="Times New Roman"/>
          <w:color w:val="000000"/>
          <w:spacing w:val="-20"/>
          <w:w w:val="105"/>
          <w:szCs w:val="24"/>
        </w:rPr>
        <w:t xml:space="preserve"> </w:t>
      </w:r>
      <w:r w:rsidRPr="003A2B98">
        <w:rPr>
          <w:rFonts w:cs="Times New Roman"/>
          <w:color w:val="000000"/>
          <w:w w:val="105"/>
          <w:szCs w:val="24"/>
        </w:rPr>
        <w:t>1,</w:t>
      </w:r>
      <w:r w:rsidRPr="003A2B98">
        <w:rPr>
          <w:rFonts w:cs="Times New Roman"/>
          <w:color w:val="000000"/>
          <w:spacing w:val="-27"/>
          <w:w w:val="105"/>
          <w:szCs w:val="24"/>
        </w:rPr>
        <w:t xml:space="preserve"> </w:t>
      </w:r>
      <w:r w:rsidRPr="003A2B98">
        <w:rPr>
          <w:rFonts w:cs="Times New Roman"/>
          <w:color w:val="000000"/>
          <w:w w:val="105"/>
          <w:szCs w:val="24"/>
        </w:rPr>
        <w:t>możliwe</w:t>
      </w:r>
      <w:r w:rsidRPr="003A2B98">
        <w:rPr>
          <w:rFonts w:cs="Times New Roman"/>
          <w:color w:val="000000"/>
          <w:spacing w:val="-14"/>
          <w:w w:val="105"/>
          <w:szCs w:val="24"/>
        </w:rPr>
        <w:t xml:space="preserve"> </w:t>
      </w:r>
      <w:r w:rsidRPr="003A2B98">
        <w:rPr>
          <w:rFonts w:cs="Times New Roman"/>
          <w:color w:val="000000"/>
          <w:w w:val="105"/>
          <w:szCs w:val="24"/>
        </w:rPr>
        <w:t>jest</w:t>
      </w:r>
      <w:r w:rsidRPr="003A2B98">
        <w:rPr>
          <w:rFonts w:cs="Times New Roman"/>
          <w:color w:val="000000"/>
          <w:spacing w:val="-16"/>
          <w:w w:val="105"/>
          <w:szCs w:val="24"/>
        </w:rPr>
        <w:t xml:space="preserve"> </w:t>
      </w:r>
      <w:r w:rsidRPr="003A2B98">
        <w:rPr>
          <w:rFonts w:cs="Times New Roman"/>
          <w:color w:val="000000"/>
          <w:w w:val="105"/>
          <w:szCs w:val="24"/>
        </w:rPr>
        <w:t>tylko</w:t>
      </w:r>
      <w:r w:rsidRPr="003A2B98">
        <w:rPr>
          <w:rFonts w:cs="Times New Roman"/>
          <w:color w:val="000000"/>
          <w:spacing w:val="-18"/>
          <w:w w:val="105"/>
          <w:szCs w:val="24"/>
        </w:rPr>
        <w:t xml:space="preserve"> </w:t>
      </w:r>
      <w:r w:rsidRPr="003A2B98">
        <w:rPr>
          <w:rFonts w:cs="Times New Roman"/>
          <w:color w:val="000000"/>
          <w:w w:val="105"/>
          <w:szCs w:val="24"/>
        </w:rPr>
        <w:t>w</w:t>
      </w:r>
      <w:r w:rsidRPr="003A2B98">
        <w:rPr>
          <w:rFonts w:cs="Times New Roman"/>
          <w:color w:val="000000"/>
          <w:spacing w:val="-25"/>
          <w:w w:val="105"/>
          <w:szCs w:val="24"/>
        </w:rPr>
        <w:t xml:space="preserve"> </w:t>
      </w:r>
      <w:r w:rsidRPr="003A2B98">
        <w:rPr>
          <w:rFonts w:cs="Times New Roman"/>
          <w:color w:val="000000"/>
          <w:w w:val="105"/>
          <w:szCs w:val="24"/>
        </w:rPr>
        <w:t>takim zakresie, w jakim zaistnienie danej przyczyny uniemożliwia realizację</w:t>
      </w:r>
      <w:r w:rsidRPr="003A2B98">
        <w:rPr>
          <w:rFonts w:cs="Times New Roman"/>
          <w:color w:val="000000"/>
          <w:spacing w:val="25"/>
          <w:w w:val="105"/>
          <w:szCs w:val="24"/>
        </w:rPr>
        <w:t xml:space="preserve"> </w:t>
      </w:r>
      <w:r w:rsidRPr="003A2B98">
        <w:rPr>
          <w:rFonts w:cs="Times New Roman"/>
          <w:color w:val="000000"/>
          <w:w w:val="105"/>
          <w:szCs w:val="24"/>
        </w:rPr>
        <w:t>GUD.</w:t>
      </w:r>
    </w:p>
    <w:p w14:paraId="20438194" w14:textId="77777777" w:rsidR="00051FAD" w:rsidRPr="003A2B98" w:rsidRDefault="00051FAD">
      <w:pPr>
        <w:pStyle w:val="Akapitzlist"/>
        <w:widowControl w:val="0"/>
        <w:numPr>
          <w:ilvl w:val="0"/>
          <w:numId w:val="312"/>
        </w:numPr>
        <w:autoSpaceDE w:val="0"/>
        <w:autoSpaceDN w:val="0"/>
        <w:spacing w:before="2" w:line="249" w:lineRule="auto"/>
        <w:ind w:left="567" w:right="2" w:hanging="283"/>
        <w:jc w:val="both"/>
        <w:rPr>
          <w:rFonts w:cs="Times New Roman"/>
          <w:color w:val="000000"/>
          <w:szCs w:val="24"/>
        </w:rPr>
      </w:pPr>
      <w:r w:rsidRPr="003A2B98">
        <w:rPr>
          <w:rFonts w:cs="Times New Roman"/>
          <w:color w:val="000000"/>
          <w:w w:val="105"/>
          <w:szCs w:val="24"/>
        </w:rPr>
        <w:t>Świadczenie</w:t>
      </w:r>
      <w:r w:rsidRPr="003A2B98">
        <w:rPr>
          <w:rFonts w:cs="Times New Roman"/>
          <w:color w:val="000000"/>
          <w:spacing w:val="-8"/>
          <w:w w:val="105"/>
          <w:szCs w:val="24"/>
        </w:rPr>
        <w:t xml:space="preserve"> </w:t>
      </w:r>
      <w:r w:rsidRPr="003A2B98">
        <w:rPr>
          <w:rFonts w:cs="Times New Roman"/>
          <w:color w:val="000000"/>
          <w:w w:val="105"/>
          <w:szCs w:val="24"/>
        </w:rPr>
        <w:t>usług</w:t>
      </w:r>
      <w:r w:rsidRPr="003A2B98">
        <w:rPr>
          <w:rFonts w:cs="Times New Roman"/>
          <w:color w:val="000000"/>
          <w:spacing w:val="-19"/>
          <w:w w:val="105"/>
          <w:szCs w:val="24"/>
        </w:rPr>
        <w:t xml:space="preserve"> </w:t>
      </w:r>
      <w:r w:rsidRPr="003A2B98">
        <w:rPr>
          <w:rFonts w:cs="Times New Roman"/>
          <w:color w:val="000000"/>
          <w:w w:val="105"/>
          <w:szCs w:val="24"/>
        </w:rPr>
        <w:t>dystrybucji</w:t>
      </w:r>
      <w:r w:rsidRPr="003A2B98">
        <w:rPr>
          <w:rFonts w:cs="Times New Roman"/>
          <w:color w:val="000000"/>
          <w:spacing w:val="-4"/>
          <w:w w:val="105"/>
          <w:szCs w:val="24"/>
        </w:rPr>
        <w:t xml:space="preserve"> </w:t>
      </w:r>
      <w:r w:rsidRPr="003A2B98">
        <w:rPr>
          <w:rFonts w:cs="Times New Roman"/>
          <w:color w:val="000000"/>
          <w:w w:val="105"/>
          <w:szCs w:val="24"/>
        </w:rPr>
        <w:t>będących</w:t>
      </w:r>
      <w:r w:rsidRPr="003A2B98">
        <w:rPr>
          <w:rFonts w:cs="Times New Roman"/>
          <w:color w:val="000000"/>
          <w:spacing w:val="-13"/>
          <w:w w:val="105"/>
          <w:szCs w:val="24"/>
        </w:rPr>
        <w:t xml:space="preserve"> </w:t>
      </w:r>
      <w:r w:rsidRPr="003A2B98">
        <w:rPr>
          <w:rFonts w:cs="Times New Roman"/>
          <w:color w:val="000000"/>
          <w:w w:val="105"/>
          <w:szCs w:val="24"/>
        </w:rPr>
        <w:t>przedmiotem</w:t>
      </w:r>
      <w:r w:rsidRPr="003A2B98">
        <w:rPr>
          <w:rFonts w:cs="Times New Roman"/>
          <w:color w:val="000000"/>
          <w:spacing w:val="-11"/>
          <w:w w:val="105"/>
          <w:szCs w:val="24"/>
        </w:rPr>
        <w:t xml:space="preserve"> </w:t>
      </w:r>
      <w:r w:rsidRPr="003A2B98">
        <w:rPr>
          <w:rFonts w:cs="Times New Roman"/>
          <w:color w:val="000000"/>
          <w:w w:val="105"/>
          <w:szCs w:val="24"/>
        </w:rPr>
        <w:t>GUD</w:t>
      </w:r>
      <w:r w:rsidRPr="003A2B98">
        <w:rPr>
          <w:rFonts w:cs="Times New Roman"/>
          <w:color w:val="000000"/>
          <w:spacing w:val="-23"/>
          <w:w w:val="105"/>
          <w:szCs w:val="24"/>
        </w:rPr>
        <w:t xml:space="preserve"> </w:t>
      </w:r>
      <w:r w:rsidRPr="003A2B98">
        <w:rPr>
          <w:rFonts w:cs="Times New Roman"/>
          <w:color w:val="000000"/>
          <w:w w:val="105"/>
          <w:szCs w:val="24"/>
        </w:rPr>
        <w:t>następuje</w:t>
      </w:r>
      <w:r w:rsidRPr="003A2B98">
        <w:rPr>
          <w:rFonts w:cs="Times New Roman"/>
          <w:color w:val="000000"/>
          <w:spacing w:val="-16"/>
          <w:w w:val="105"/>
          <w:szCs w:val="24"/>
        </w:rPr>
        <w:t xml:space="preserve"> </w:t>
      </w:r>
      <w:r w:rsidRPr="003A2B98">
        <w:rPr>
          <w:rFonts w:cs="Times New Roman"/>
          <w:color w:val="000000"/>
          <w:w w:val="105"/>
          <w:szCs w:val="24"/>
        </w:rPr>
        <w:t>niezwłocznie po ustaniu przyczyn ograniczenia lub wstrzymania,</w:t>
      </w:r>
      <w:r>
        <w:rPr>
          <w:rFonts w:cs="Times New Roman"/>
          <w:color w:val="000000"/>
          <w:w w:val="105"/>
          <w:szCs w:val="24"/>
        </w:rPr>
        <w:t xml:space="preserve"> </w:t>
      </w:r>
      <w:r w:rsidRPr="003A2B98">
        <w:rPr>
          <w:rFonts w:cs="Times New Roman"/>
          <w:color w:val="000000"/>
          <w:w w:val="105"/>
          <w:szCs w:val="24"/>
        </w:rPr>
        <w:t>o których mowa w ppkt</w:t>
      </w:r>
      <w:r w:rsidRPr="003A2B98">
        <w:rPr>
          <w:rFonts w:cs="Times New Roman"/>
          <w:color w:val="000000"/>
          <w:spacing w:val="1"/>
          <w:w w:val="105"/>
          <w:szCs w:val="24"/>
        </w:rPr>
        <w:t xml:space="preserve"> </w:t>
      </w:r>
      <w:r w:rsidRPr="003A2B98">
        <w:rPr>
          <w:rFonts w:cs="Times New Roman"/>
          <w:color w:val="000000"/>
          <w:w w:val="105"/>
          <w:szCs w:val="24"/>
        </w:rPr>
        <w:t>1.</w:t>
      </w:r>
    </w:p>
    <w:p w14:paraId="58CEBBD8" w14:textId="77777777" w:rsidR="00051FAD" w:rsidRPr="003A2B98" w:rsidRDefault="00051FAD">
      <w:pPr>
        <w:pStyle w:val="Akapitzlist"/>
        <w:widowControl w:val="0"/>
        <w:numPr>
          <w:ilvl w:val="0"/>
          <w:numId w:val="312"/>
        </w:numPr>
        <w:autoSpaceDE w:val="0"/>
        <w:autoSpaceDN w:val="0"/>
        <w:spacing w:before="91" w:line="254" w:lineRule="auto"/>
        <w:ind w:left="567" w:right="2" w:hanging="283"/>
        <w:jc w:val="both"/>
        <w:rPr>
          <w:rFonts w:cs="Times New Roman"/>
          <w:color w:val="000000"/>
          <w:szCs w:val="24"/>
        </w:rPr>
      </w:pPr>
      <w:r w:rsidRPr="003A2B98">
        <w:rPr>
          <w:rFonts w:cs="Times New Roman"/>
          <w:color w:val="000000"/>
          <w:w w:val="105"/>
          <w:szCs w:val="24"/>
        </w:rPr>
        <w:t>Wstrzymanie dostarczania energii elektrycznej URD posiadającego moduł wytwarzania energii lub magazyn energii elektrycznej powoduje równocześnie wstrzymanie możliwości wprowadzania energii elektrycznej do sieci dystrybucyjnej OSDn.</w:t>
      </w:r>
    </w:p>
    <w:p w14:paraId="0E092656" w14:textId="77777777" w:rsidR="00051FAD" w:rsidRPr="003A2B98" w:rsidRDefault="00051FAD">
      <w:pPr>
        <w:pStyle w:val="Akapitzlist"/>
        <w:widowControl w:val="0"/>
        <w:numPr>
          <w:ilvl w:val="0"/>
          <w:numId w:val="322"/>
        </w:numPr>
        <w:autoSpaceDE w:val="0"/>
        <w:autoSpaceDN w:val="0"/>
        <w:spacing w:line="254" w:lineRule="auto"/>
        <w:ind w:left="567" w:right="2" w:hanging="567"/>
        <w:jc w:val="both"/>
        <w:rPr>
          <w:rFonts w:cs="Times New Roman"/>
          <w:color w:val="000000"/>
          <w:szCs w:val="24"/>
        </w:rPr>
      </w:pPr>
      <w:r w:rsidRPr="003A2B98">
        <w:rPr>
          <w:rFonts w:cs="Times New Roman"/>
          <w:color w:val="000000"/>
          <w:w w:val="105"/>
          <w:szCs w:val="24"/>
        </w:rPr>
        <w:t>Postępowanie reklamacyjne i tryb rozstrzygania sporów oraz realizacji obowiązków informacyjnych:</w:t>
      </w:r>
    </w:p>
    <w:p w14:paraId="1010750E" w14:textId="77777777" w:rsidR="00051FAD" w:rsidRPr="003A2B98" w:rsidRDefault="00051FAD">
      <w:pPr>
        <w:numPr>
          <w:ilvl w:val="1"/>
          <w:numId w:val="323"/>
        </w:numPr>
        <w:spacing w:line="254" w:lineRule="auto"/>
        <w:ind w:left="567" w:right="2" w:hanging="283"/>
        <w:jc w:val="both"/>
        <w:rPr>
          <w:rFonts w:cs="Times New Roman"/>
          <w:color w:val="000000"/>
          <w:szCs w:val="24"/>
        </w:rPr>
      </w:pPr>
      <w:r w:rsidRPr="003A2B98">
        <w:rPr>
          <w:rFonts w:cs="Times New Roman"/>
          <w:color w:val="000000"/>
          <w:szCs w:val="24"/>
        </w:rPr>
        <w:t>Szczegółowe zasady postępowania reklamacyjnego oraz realizacji obowiązków informacyjnych, zawarte są w IRiESD oraz GUD.</w:t>
      </w:r>
    </w:p>
    <w:p w14:paraId="62675C52" w14:textId="77777777" w:rsidR="00051FAD" w:rsidRPr="003A2B98" w:rsidRDefault="00051FAD">
      <w:pPr>
        <w:pStyle w:val="Akapitzlist"/>
        <w:widowControl w:val="0"/>
        <w:numPr>
          <w:ilvl w:val="0"/>
          <w:numId w:val="322"/>
        </w:numPr>
        <w:autoSpaceDE w:val="0"/>
        <w:autoSpaceDN w:val="0"/>
        <w:spacing w:line="250" w:lineRule="exact"/>
        <w:ind w:left="567" w:right="2" w:hanging="567"/>
        <w:jc w:val="both"/>
        <w:rPr>
          <w:rFonts w:cs="Times New Roman"/>
          <w:color w:val="000000"/>
          <w:szCs w:val="24"/>
        </w:rPr>
      </w:pPr>
      <w:r w:rsidRPr="003A2B98">
        <w:rPr>
          <w:rFonts w:cs="Times New Roman"/>
          <w:color w:val="000000"/>
          <w:w w:val="105"/>
          <w:szCs w:val="24"/>
        </w:rPr>
        <w:t>Zmiany, renegocjacje oraz wypowiedzenie</w:t>
      </w:r>
      <w:r w:rsidRPr="003A2B98">
        <w:rPr>
          <w:rFonts w:cs="Times New Roman"/>
          <w:color w:val="000000"/>
          <w:spacing w:val="9"/>
          <w:w w:val="105"/>
          <w:szCs w:val="24"/>
        </w:rPr>
        <w:t xml:space="preserve"> </w:t>
      </w:r>
      <w:r w:rsidRPr="003A2B98">
        <w:rPr>
          <w:rFonts w:cs="Times New Roman"/>
          <w:color w:val="000000"/>
          <w:w w:val="105"/>
          <w:szCs w:val="24"/>
        </w:rPr>
        <w:t>GUD:</w:t>
      </w:r>
    </w:p>
    <w:p w14:paraId="324DA582" w14:textId="20B47A22" w:rsidR="00051FAD" w:rsidRPr="003A2B98" w:rsidRDefault="00051FAD">
      <w:pPr>
        <w:pStyle w:val="Akapitzlist"/>
        <w:widowControl w:val="0"/>
        <w:numPr>
          <w:ilvl w:val="0"/>
          <w:numId w:val="317"/>
        </w:numPr>
        <w:autoSpaceDE w:val="0"/>
        <w:autoSpaceDN w:val="0"/>
        <w:spacing w:line="249" w:lineRule="auto"/>
        <w:ind w:left="567" w:right="2" w:hanging="283"/>
        <w:jc w:val="both"/>
        <w:rPr>
          <w:rFonts w:cs="Times New Roman"/>
          <w:color w:val="000000"/>
          <w:szCs w:val="24"/>
        </w:rPr>
      </w:pPr>
      <w:r w:rsidRPr="003A2B98">
        <w:rPr>
          <w:rFonts w:cs="Times New Roman"/>
          <w:color w:val="000000"/>
          <w:w w:val="105"/>
          <w:szCs w:val="24"/>
        </w:rPr>
        <w:t>Zmiany GUD mogą być dokonywane, pod rygorem nieważności, wyłącznie na piśmie w formie aneksu do GUD, za wyjątkiem zmian jednoznacznie przywołanych w GUD, dla których ustalano, że nie wymagają formy</w:t>
      </w:r>
      <w:r w:rsidRPr="003A2B98">
        <w:rPr>
          <w:rFonts w:cs="Times New Roman"/>
          <w:color w:val="000000"/>
          <w:spacing w:val="16"/>
          <w:w w:val="105"/>
          <w:szCs w:val="24"/>
        </w:rPr>
        <w:t xml:space="preserve"> </w:t>
      </w:r>
      <w:r w:rsidRPr="003A2B98">
        <w:rPr>
          <w:rFonts w:cs="Times New Roman"/>
          <w:color w:val="000000"/>
          <w:w w:val="105"/>
          <w:szCs w:val="24"/>
        </w:rPr>
        <w:t>aneksu.</w:t>
      </w:r>
    </w:p>
    <w:p w14:paraId="67D33F65" w14:textId="09AD1B9C" w:rsidR="00051FAD" w:rsidRPr="003A2B98" w:rsidRDefault="00051FAD">
      <w:pPr>
        <w:pStyle w:val="Akapitzlist"/>
        <w:widowControl w:val="0"/>
        <w:numPr>
          <w:ilvl w:val="0"/>
          <w:numId w:val="317"/>
        </w:numPr>
        <w:autoSpaceDE w:val="0"/>
        <w:autoSpaceDN w:val="0"/>
        <w:spacing w:line="252" w:lineRule="auto"/>
        <w:ind w:left="567" w:right="2" w:hanging="283"/>
        <w:jc w:val="both"/>
        <w:rPr>
          <w:rFonts w:cs="Times New Roman"/>
          <w:color w:val="000000"/>
          <w:szCs w:val="24"/>
        </w:rPr>
      </w:pPr>
      <w:r w:rsidRPr="003A2B98">
        <w:rPr>
          <w:rFonts w:cs="Times New Roman"/>
          <w:color w:val="000000"/>
          <w:w w:val="105"/>
          <w:szCs w:val="24"/>
        </w:rPr>
        <w:t xml:space="preserve">Jeśli sprzedawca nie zgadza się ze zmianami wprowadzonymi w IRiESD lub WDB, wówczas ma prawo wypowiedzenia GUD, przy czym oświadczenie </w:t>
      </w:r>
      <w:r w:rsidR="00EE4966">
        <w:rPr>
          <w:rFonts w:cs="Times New Roman"/>
          <w:color w:val="000000"/>
          <w:w w:val="105"/>
          <w:szCs w:val="24"/>
        </w:rPr>
        <w:br/>
      </w:r>
      <w:r w:rsidRPr="003A2B98">
        <w:rPr>
          <w:rFonts w:cs="Times New Roman"/>
          <w:color w:val="000000"/>
          <w:w w:val="105"/>
          <w:szCs w:val="24"/>
        </w:rPr>
        <w:t>o wypowiedzeniu GUD powinno zostać złożone w terminie 10 dni kalendarzowych od dnia opublikowania na stronie internetowej OSDn zmian IRiESD lub od dnia opublikowania w Biuletynie URE zmian WDB. Jeżeli oświadczenie o wypowiedzeniu GUD zostanie złożone OSDn najpóźniej na</w:t>
      </w:r>
      <w:r w:rsidRPr="003A2B98">
        <w:rPr>
          <w:rFonts w:cs="Times New Roman"/>
          <w:color w:val="000000"/>
          <w:spacing w:val="-11"/>
          <w:w w:val="105"/>
          <w:szCs w:val="24"/>
        </w:rPr>
        <w:t xml:space="preserve"> </w:t>
      </w:r>
      <w:r w:rsidRPr="003A2B98">
        <w:rPr>
          <w:rFonts w:cs="Times New Roman"/>
          <w:color w:val="000000"/>
          <w:w w:val="105"/>
          <w:szCs w:val="24"/>
        </w:rPr>
        <w:t>2</w:t>
      </w:r>
      <w:r w:rsidRPr="003A2B98">
        <w:rPr>
          <w:rFonts w:cs="Times New Roman"/>
          <w:color w:val="000000"/>
          <w:spacing w:val="-15"/>
          <w:w w:val="105"/>
          <w:szCs w:val="24"/>
        </w:rPr>
        <w:t xml:space="preserve"> </w:t>
      </w:r>
      <w:r w:rsidRPr="003A2B98">
        <w:rPr>
          <w:rFonts w:cs="Times New Roman"/>
          <w:color w:val="000000"/>
          <w:w w:val="105"/>
          <w:szCs w:val="24"/>
        </w:rPr>
        <w:t>dni</w:t>
      </w:r>
      <w:r w:rsidRPr="003A2B98">
        <w:rPr>
          <w:rFonts w:cs="Times New Roman"/>
          <w:color w:val="000000"/>
          <w:spacing w:val="-12"/>
          <w:w w:val="105"/>
          <w:szCs w:val="24"/>
        </w:rPr>
        <w:t xml:space="preserve"> </w:t>
      </w:r>
      <w:r w:rsidRPr="003A2B98">
        <w:rPr>
          <w:rFonts w:cs="Times New Roman"/>
          <w:color w:val="000000"/>
          <w:w w:val="105"/>
          <w:szCs w:val="24"/>
        </w:rPr>
        <w:t>robocze</w:t>
      </w:r>
      <w:r w:rsidRPr="003A2B98">
        <w:rPr>
          <w:rFonts w:cs="Times New Roman"/>
          <w:color w:val="000000"/>
          <w:spacing w:val="-5"/>
          <w:w w:val="105"/>
          <w:szCs w:val="24"/>
        </w:rPr>
        <w:t xml:space="preserve"> </w:t>
      </w:r>
      <w:r w:rsidRPr="003A2B98">
        <w:rPr>
          <w:rFonts w:cs="Times New Roman"/>
          <w:color w:val="000000"/>
          <w:w w:val="105"/>
          <w:szCs w:val="24"/>
        </w:rPr>
        <w:t>przed</w:t>
      </w:r>
      <w:r w:rsidRPr="003A2B98">
        <w:rPr>
          <w:rFonts w:cs="Times New Roman"/>
          <w:color w:val="000000"/>
          <w:spacing w:val="-4"/>
          <w:w w:val="105"/>
          <w:szCs w:val="24"/>
        </w:rPr>
        <w:t xml:space="preserve"> </w:t>
      </w:r>
      <w:r w:rsidRPr="003A2B98">
        <w:rPr>
          <w:rFonts w:cs="Times New Roman"/>
          <w:color w:val="000000"/>
          <w:w w:val="105"/>
          <w:szCs w:val="24"/>
        </w:rPr>
        <w:t>dniem</w:t>
      </w:r>
      <w:r w:rsidRPr="003A2B98">
        <w:rPr>
          <w:rFonts w:cs="Times New Roman"/>
          <w:color w:val="000000"/>
          <w:spacing w:val="-4"/>
          <w:w w:val="105"/>
          <w:szCs w:val="24"/>
        </w:rPr>
        <w:t xml:space="preserve"> </w:t>
      </w:r>
      <w:r w:rsidRPr="003A2B98">
        <w:rPr>
          <w:rFonts w:cs="Times New Roman"/>
          <w:color w:val="000000"/>
          <w:w w:val="105"/>
          <w:szCs w:val="24"/>
        </w:rPr>
        <w:t>wejścia</w:t>
      </w:r>
      <w:r w:rsidRPr="003A2B98">
        <w:rPr>
          <w:rFonts w:cs="Times New Roman"/>
          <w:color w:val="000000"/>
          <w:spacing w:val="-5"/>
          <w:w w:val="105"/>
          <w:szCs w:val="24"/>
        </w:rPr>
        <w:t xml:space="preserve"> </w:t>
      </w:r>
      <w:r w:rsidRPr="003A2B98">
        <w:rPr>
          <w:rFonts w:cs="Times New Roman"/>
          <w:color w:val="000000"/>
          <w:w w:val="105"/>
          <w:szCs w:val="24"/>
        </w:rPr>
        <w:t>w</w:t>
      </w:r>
      <w:r w:rsidRPr="003A2B98">
        <w:rPr>
          <w:rFonts w:cs="Times New Roman"/>
          <w:color w:val="000000"/>
          <w:spacing w:val="-17"/>
          <w:w w:val="105"/>
          <w:szCs w:val="24"/>
        </w:rPr>
        <w:t xml:space="preserve"> </w:t>
      </w:r>
      <w:r w:rsidRPr="003A2B98">
        <w:rPr>
          <w:rFonts w:cs="Times New Roman"/>
          <w:color w:val="000000"/>
          <w:w w:val="105"/>
          <w:szCs w:val="24"/>
        </w:rPr>
        <w:t>życie</w:t>
      </w:r>
      <w:r w:rsidRPr="003A2B98">
        <w:rPr>
          <w:rFonts w:cs="Times New Roman"/>
          <w:color w:val="000000"/>
          <w:spacing w:val="-11"/>
          <w:w w:val="105"/>
          <w:szCs w:val="24"/>
        </w:rPr>
        <w:t xml:space="preserve"> </w:t>
      </w:r>
      <w:r w:rsidRPr="003A2B98">
        <w:rPr>
          <w:rFonts w:cs="Times New Roman"/>
          <w:color w:val="000000"/>
          <w:w w:val="105"/>
          <w:szCs w:val="24"/>
        </w:rPr>
        <w:t>zmienionej IRiESD lub WDB, to w takim przypadku wypowiedzenie GUD następuje ze skutkiem na dzień poprzedzający wejście w życie zmienionej IRiESD lub WDB. Jeżeli natomiast oświadczenie o wypowiedzeniu GUD zostanie złożone OSDn w terminie późniejszym, ale z zachowaniem powyższego 10-dniowego terminu, to wypowiedzenie GUD następuje ze skutkiem w drugim dniu roboczym po dniu złożenia oświadczenia o wypowiedzeniu. W takim przypadku od dnia wejścia w życie zmienionej IRiESD lub WDB do dnia wypowiedzenia GUD obowiązują postanowienia nowej IRiESD lub</w:t>
      </w:r>
      <w:r w:rsidRPr="003A2B98">
        <w:rPr>
          <w:rFonts w:cs="Times New Roman"/>
          <w:color w:val="000000"/>
          <w:spacing w:val="49"/>
          <w:w w:val="105"/>
          <w:szCs w:val="24"/>
        </w:rPr>
        <w:t xml:space="preserve"> </w:t>
      </w:r>
      <w:r w:rsidRPr="003A2B98">
        <w:rPr>
          <w:rFonts w:cs="Times New Roman"/>
          <w:color w:val="000000"/>
          <w:w w:val="105"/>
          <w:szCs w:val="24"/>
        </w:rPr>
        <w:t>WDB.</w:t>
      </w:r>
    </w:p>
    <w:p w14:paraId="2E33F75C" w14:textId="77777777" w:rsidR="00051FAD" w:rsidRPr="003A2B98" w:rsidRDefault="00051FAD">
      <w:pPr>
        <w:pStyle w:val="Akapitzlist"/>
        <w:widowControl w:val="0"/>
        <w:numPr>
          <w:ilvl w:val="0"/>
          <w:numId w:val="322"/>
        </w:numPr>
        <w:autoSpaceDE w:val="0"/>
        <w:autoSpaceDN w:val="0"/>
        <w:spacing w:line="245" w:lineRule="exact"/>
        <w:ind w:left="284" w:right="2" w:hanging="284"/>
        <w:jc w:val="both"/>
        <w:rPr>
          <w:rFonts w:cs="Times New Roman"/>
          <w:color w:val="000000"/>
          <w:szCs w:val="24"/>
        </w:rPr>
      </w:pPr>
      <w:r w:rsidRPr="003A2B98">
        <w:rPr>
          <w:rFonts w:cs="Times New Roman"/>
          <w:color w:val="000000"/>
          <w:w w:val="105"/>
          <w:szCs w:val="24"/>
        </w:rPr>
        <w:t>Zasady sprzedaży</w:t>
      </w:r>
      <w:r w:rsidRPr="003A2B98">
        <w:rPr>
          <w:rFonts w:cs="Times New Roman"/>
          <w:color w:val="000000"/>
          <w:spacing w:val="41"/>
          <w:w w:val="105"/>
          <w:szCs w:val="24"/>
        </w:rPr>
        <w:t xml:space="preserve"> </w:t>
      </w:r>
      <w:r w:rsidRPr="003A2B98">
        <w:rPr>
          <w:rFonts w:cs="Times New Roman"/>
          <w:color w:val="000000"/>
          <w:w w:val="105"/>
          <w:szCs w:val="24"/>
        </w:rPr>
        <w:t>rezerwowej:</w:t>
      </w:r>
    </w:p>
    <w:p w14:paraId="1AA54CF4" w14:textId="77777777" w:rsidR="00051FAD" w:rsidRPr="003A2B98" w:rsidRDefault="00051FAD">
      <w:pPr>
        <w:pStyle w:val="Akapitzlist"/>
        <w:widowControl w:val="0"/>
        <w:numPr>
          <w:ilvl w:val="0"/>
          <w:numId w:val="316"/>
        </w:numPr>
        <w:autoSpaceDE w:val="0"/>
        <w:autoSpaceDN w:val="0"/>
        <w:spacing w:before="8" w:line="249" w:lineRule="auto"/>
        <w:ind w:left="567" w:right="2" w:hanging="283"/>
        <w:jc w:val="both"/>
        <w:rPr>
          <w:rFonts w:cs="Times New Roman"/>
          <w:color w:val="000000"/>
          <w:szCs w:val="24"/>
        </w:rPr>
      </w:pPr>
      <w:r w:rsidRPr="003A2B98">
        <w:rPr>
          <w:rFonts w:cs="Times New Roman"/>
          <w:color w:val="000000"/>
          <w:szCs w:val="24"/>
        </w:rPr>
        <w:t>Zasady sprzedaży rezerwowej na podstawie umowy sprzedaży rezerwowej oraz warunki współpracy OSDn i sprzedawcy w tym zakresie, zawarte są w IRiESD oraz w</w:t>
      </w:r>
      <w:r w:rsidRPr="003A2B98">
        <w:rPr>
          <w:rFonts w:cs="Times New Roman"/>
          <w:color w:val="000000"/>
          <w:spacing w:val="4"/>
          <w:szCs w:val="24"/>
        </w:rPr>
        <w:t xml:space="preserve"> </w:t>
      </w:r>
      <w:r w:rsidRPr="003A2B98">
        <w:rPr>
          <w:rFonts w:cs="Times New Roman"/>
          <w:color w:val="000000"/>
          <w:szCs w:val="24"/>
        </w:rPr>
        <w:t>GUD.</w:t>
      </w:r>
    </w:p>
    <w:p w14:paraId="5285FFE3" w14:textId="77777777" w:rsidR="00051FAD" w:rsidRPr="003A2B98" w:rsidRDefault="00051FAD">
      <w:pPr>
        <w:pStyle w:val="Akapitzlist"/>
        <w:widowControl w:val="0"/>
        <w:numPr>
          <w:ilvl w:val="0"/>
          <w:numId w:val="316"/>
        </w:numPr>
        <w:autoSpaceDE w:val="0"/>
        <w:autoSpaceDN w:val="0"/>
        <w:spacing w:before="4"/>
        <w:ind w:left="567" w:right="2" w:hanging="283"/>
        <w:jc w:val="both"/>
        <w:rPr>
          <w:rFonts w:cs="Times New Roman"/>
          <w:color w:val="000000"/>
          <w:szCs w:val="24"/>
        </w:rPr>
      </w:pPr>
      <w:r w:rsidRPr="003A2B98">
        <w:rPr>
          <w:rFonts w:cs="Times New Roman"/>
          <w:color w:val="000000"/>
          <w:w w:val="105"/>
          <w:szCs w:val="24"/>
        </w:rPr>
        <w:t>Sprzedawca, który wyraził zgodę na pełnienie funkcji sprzedawcy</w:t>
      </w:r>
      <w:r w:rsidRPr="003A2B98">
        <w:rPr>
          <w:rFonts w:cs="Times New Roman"/>
          <w:color w:val="000000"/>
          <w:spacing w:val="30"/>
          <w:w w:val="105"/>
          <w:szCs w:val="24"/>
        </w:rPr>
        <w:t xml:space="preserve"> </w:t>
      </w:r>
      <w:r w:rsidRPr="003A2B98">
        <w:rPr>
          <w:rFonts w:cs="Times New Roman"/>
          <w:color w:val="000000"/>
          <w:w w:val="105"/>
          <w:szCs w:val="24"/>
        </w:rPr>
        <w:t>rezerwowego:</w:t>
      </w:r>
    </w:p>
    <w:p w14:paraId="79B679BC" w14:textId="5108E3D2" w:rsidR="00051FAD" w:rsidRPr="003A2B98" w:rsidRDefault="00051FAD">
      <w:pPr>
        <w:pStyle w:val="Akapitzlist"/>
        <w:widowControl w:val="0"/>
        <w:numPr>
          <w:ilvl w:val="1"/>
          <w:numId w:val="316"/>
        </w:numPr>
        <w:autoSpaceDE w:val="0"/>
        <w:autoSpaceDN w:val="0"/>
        <w:spacing w:before="11" w:line="249" w:lineRule="auto"/>
        <w:ind w:left="709" w:right="2" w:hanging="283"/>
        <w:jc w:val="both"/>
        <w:rPr>
          <w:rFonts w:cs="Times New Roman"/>
          <w:color w:val="000000"/>
          <w:szCs w:val="24"/>
        </w:rPr>
      </w:pPr>
      <w:r w:rsidRPr="003A2B98">
        <w:rPr>
          <w:rFonts w:cs="Times New Roman"/>
          <w:color w:val="000000"/>
          <w:w w:val="105"/>
          <w:szCs w:val="24"/>
        </w:rPr>
        <w:t>składa w stosunku do URD, którzy wskazali sprzedawcę jako sprzedawcę rezerwowego, ofertę zawarcia umowy sprzedaży rezerwowej, z przyczyn wskazanych w Ustawie i IRiESD na warunkach określonych</w:t>
      </w:r>
      <w:r w:rsidRPr="003A2B98">
        <w:rPr>
          <w:rFonts w:cs="Times New Roman"/>
          <w:color w:val="000000"/>
          <w:spacing w:val="-3"/>
          <w:w w:val="105"/>
          <w:szCs w:val="24"/>
        </w:rPr>
        <w:t xml:space="preserve"> </w:t>
      </w:r>
      <w:r w:rsidRPr="003A2B98">
        <w:rPr>
          <w:rFonts w:cs="Times New Roman"/>
          <w:color w:val="000000"/>
          <w:w w:val="105"/>
          <w:szCs w:val="24"/>
        </w:rPr>
        <w:t>w:</w:t>
      </w:r>
    </w:p>
    <w:p w14:paraId="68690C11" w14:textId="77777777" w:rsidR="00051FAD" w:rsidRPr="003A2B98" w:rsidRDefault="00051FAD">
      <w:pPr>
        <w:pStyle w:val="Akapitzlist"/>
        <w:widowControl w:val="0"/>
        <w:numPr>
          <w:ilvl w:val="2"/>
          <w:numId w:val="316"/>
        </w:numPr>
        <w:autoSpaceDE w:val="0"/>
        <w:autoSpaceDN w:val="0"/>
        <w:spacing w:before="4" w:line="249" w:lineRule="auto"/>
        <w:ind w:left="993" w:right="2" w:hanging="284"/>
        <w:jc w:val="both"/>
        <w:rPr>
          <w:rFonts w:cs="Times New Roman"/>
          <w:color w:val="000000"/>
          <w:szCs w:val="24"/>
        </w:rPr>
      </w:pPr>
      <w:r w:rsidRPr="003A2B98">
        <w:rPr>
          <w:rFonts w:cs="Times New Roman"/>
          <w:color w:val="000000"/>
          <w:w w:val="105"/>
          <w:szCs w:val="24"/>
        </w:rPr>
        <w:t>ofercie dotyczącej warunków sprzedaży rezerwowej, zawierającej m.in. wzór umowy sprzedaży rezerwowej, zestawienie aktualnych   cen i warunków ich stosowania oraz zasady rozliczeń dla sprzedaży rezerwowej;</w:t>
      </w:r>
    </w:p>
    <w:p w14:paraId="2100E23C" w14:textId="77777777" w:rsidR="00051FAD" w:rsidRPr="003A2B98" w:rsidRDefault="00051FAD">
      <w:pPr>
        <w:pStyle w:val="Akapitzlist"/>
        <w:widowControl w:val="0"/>
        <w:numPr>
          <w:ilvl w:val="2"/>
          <w:numId w:val="316"/>
        </w:numPr>
        <w:autoSpaceDE w:val="0"/>
        <w:autoSpaceDN w:val="0"/>
        <w:spacing w:before="5"/>
        <w:ind w:left="993" w:right="2" w:hanging="284"/>
        <w:rPr>
          <w:rFonts w:cs="Times New Roman"/>
          <w:color w:val="000000"/>
          <w:szCs w:val="24"/>
        </w:rPr>
      </w:pPr>
      <w:r w:rsidRPr="003A2B98">
        <w:rPr>
          <w:rFonts w:cs="Times New Roman"/>
          <w:color w:val="000000"/>
          <w:szCs w:val="24"/>
        </w:rPr>
        <w:t>IRiESD.</w:t>
      </w:r>
    </w:p>
    <w:p w14:paraId="39F3ED84" w14:textId="77777777" w:rsidR="00051FAD" w:rsidRPr="003A2B98" w:rsidRDefault="00051FAD">
      <w:pPr>
        <w:pStyle w:val="Akapitzlist"/>
        <w:widowControl w:val="0"/>
        <w:numPr>
          <w:ilvl w:val="1"/>
          <w:numId w:val="316"/>
        </w:numPr>
        <w:autoSpaceDE w:val="0"/>
        <w:autoSpaceDN w:val="0"/>
        <w:spacing w:before="11" w:line="252" w:lineRule="auto"/>
        <w:ind w:left="709" w:right="2" w:hanging="283"/>
        <w:jc w:val="both"/>
        <w:rPr>
          <w:rFonts w:cs="Times New Roman"/>
          <w:color w:val="000000"/>
          <w:szCs w:val="24"/>
        </w:rPr>
      </w:pPr>
      <w:r w:rsidRPr="003A2B98">
        <w:rPr>
          <w:rFonts w:cs="Times New Roman"/>
          <w:color w:val="000000"/>
          <w:w w:val="105"/>
          <w:szCs w:val="24"/>
        </w:rPr>
        <w:t>przekazuje OSDn aktualną informację o adresie strony internetowej, na której zostały opublikowane dokumenty, o których mowa w ppkt 1) lit. a). W przypadku zmiany ww. adresu strony internetowej, sprzedawca przekazuje OSDn nowy adres strony internetowej, co najmniej 14 dni przed terminem zmiany tego adresu. Powyższe informacje przekazuje OSDn w formie elektronicznej na adres poczty elektronicznej wskazany w</w:t>
      </w:r>
      <w:r w:rsidRPr="003A2B98">
        <w:rPr>
          <w:rFonts w:cs="Times New Roman"/>
          <w:color w:val="000000"/>
          <w:spacing w:val="13"/>
          <w:w w:val="105"/>
          <w:szCs w:val="24"/>
        </w:rPr>
        <w:t xml:space="preserve"> </w:t>
      </w:r>
      <w:r w:rsidRPr="003A2B98">
        <w:rPr>
          <w:rFonts w:cs="Times New Roman"/>
          <w:color w:val="000000"/>
          <w:w w:val="105"/>
          <w:szCs w:val="24"/>
        </w:rPr>
        <w:t>GUD.</w:t>
      </w:r>
    </w:p>
    <w:p w14:paraId="5DEBB300" w14:textId="77777777" w:rsidR="00051FAD" w:rsidRPr="003A2B98" w:rsidRDefault="00051FAD">
      <w:pPr>
        <w:pStyle w:val="Akapitzlist"/>
        <w:widowControl w:val="0"/>
        <w:numPr>
          <w:ilvl w:val="1"/>
          <w:numId w:val="316"/>
        </w:numPr>
        <w:autoSpaceDE w:val="0"/>
        <w:autoSpaceDN w:val="0"/>
        <w:spacing w:before="91" w:line="249" w:lineRule="auto"/>
        <w:ind w:left="709" w:right="2" w:hanging="283"/>
        <w:jc w:val="both"/>
        <w:rPr>
          <w:rFonts w:cs="Times New Roman"/>
          <w:color w:val="000000"/>
          <w:szCs w:val="24"/>
        </w:rPr>
      </w:pPr>
      <w:r w:rsidRPr="003A2B98">
        <w:rPr>
          <w:rFonts w:cs="Times New Roman"/>
          <w:color w:val="000000"/>
          <w:w w:val="105"/>
          <w:szCs w:val="24"/>
        </w:rPr>
        <w:t>w</w:t>
      </w:r>
      <w:r w:rsidRPr="003A2B98">
        <w:rPr>
          <w:rFonts w:cs="Times New Roman"/>
          <w:color w:val="000000"/>
          <w:spacing w:val="-12"/>
          <w:w w:val="105"/>
          <w:szCs w:val="24"/>
        </w:rPr>
        <w:t xml:space="preserve"> </w:t>
      </w:r>
      <w:r w:rsidRPr="003A2B98">
        <w:rPr>
          <w:rFonts w:cs="Times New Roman"/>
          <w:color w:val="000000"/>
          <w:w w:val="105"/>
          <w:szCs w:val="24"/>
        </w:rPr>
        <w:t>razie</w:t>
      </w:r>
      <w:r w:rsidRPr="003A2B98">
        <w:rPr>
          <w:rFonts w:cs="Times New Roman"/>
          <w:color w:val="000000"/>
          <w:spacing w:val="-12"/>
          <w:w w:val="105"/>
          <w:szCs w:val="24"/>
        </w:rPr>
        <w:t xml:space="preserve"> </w:t>
      </w:r>
      <w:r w:rsidRPr="003A2B98">
        <w:rPr>
          <w:rFonts w:cs="Times New Roman"/>
          <w:color w:val="000000"/>
          <w:w w:val="105"/>
          <w:szCs w:val="24"/>
        </w:rPr>
        <w:t>zaistnienia,</w:t>
      </w:r>
      <w:r w:rsidRPr="003A2B98">
        <w:rPr>
          <w:rFonts w:cs="Times New Roman"/>
          <w:color w:val="000000"/>
          <w:spacing w:val="-16"/>
          <w:w w:val="105"/>
          <w:szCs w:val="24"/>
        </w:rPr>
        <w:t xml:space="preserve"> </w:t>
      </w:r>
      <w:r w:rsidRPr="003A2B98">
        <w:rPr>
          <w:rFonts w:cs="Times New Roman"/>
          <w:color w:val="000000"/>
          <w:w w:val="105"/>
          <w:szCs w:val="24"/>
        </w:rPr>
        <w:t>określonych</w:t>
      </w:r>
      <w:r w:rsidRPr="003A2B98">
        <w:rPr>
          <w:rFonts w:cs="Times New Roman"/>
          <w:color w:val="000000"/>
          <w:spacing w:val="3"/>
          <w:w w:val="105"/>
          <w:szCs w:val="24"/>
        </w:rPr>
        <w:t xml:space="preserve"> </w:t>
      </w:r>
      <w:r w:rsidRPr="003A2B98">
        <w:rPr>
          <w:rFonts w:cs="Times New Roman"/>
          <w:color w:val="000000"/>
          <w:w w:val="105"/>
          <w:szCs w:val="24"/>
        </w:rPr>
        <w:t>w</w:t>
      </w:r>
      <w:r w:rsidRPr="003A2B98">
        <w:rPr>
          <w:rFonts w:cs="Times New Roman"/>
          <w:color w:val="000000"/>
          <w:spacing w:val="-11"/>
          <w:w w:val="105"/>
          <w:szCs w:val="24"/>
        </w:rPr>
        <w:t xml:space="preserve"> </w:t>
      </w:r>
      <w:r w:rsidRPr="003A2B98">
        <w:rPr>
          <w:rFonts w:cs="Times New Roman"/>
          <w:color w:val="000000"/>
          <w:w w:val="105"/>
          <w:szCs w:val="24"/>
        </w:rPr>
        <w:t>Ustawie</w:t>
      </w:r>
      <w:r w:rsidRPr="003A2B98">
        <w:rPr>
          <w:rFonts w:cs="Times New Roman"/>
          <w:color w:val="000000"/>
          <w:spacing w:val="-5"/>
          <w:w w:val="105"/>
          <w:szCs w:val="24"/>
        </w:rPr>
        <w:t xml:space="preserve"> </w:t>
      </w:r>
      <w:r w:rsidRPr="003A2B98">
        <w:rPr>
          <w:rFonts w:cs="Times New Roman"/>
          <w:color w:val="000000"/>
          <w:w w:val="105"/>
          <w:szCs w:val="24"/>
        </w:rPr>
        <w:t>i</w:t>
      </w:r>
      <w:r w:rsidRPr="003A2B98">
        <w:rPr>
          <w:rFonts w:cs="Times New Roman"/>
          <w:color w:val="000000"/>
          <w:spacing w:val="-11"/>
          <w:w w:val="105"/>
          <w:szCs w:val="24"/>
        </w:rPr>
        <w:t xml:space="preserve"> </w:t>
      </w:r>
      <w:r w:rsidRPr="003A2B98">
        <w:rPr>
          <w:rFonts w:cs="Times New Roman"/>
          <w:color w:val="000000"/>
          <w:w w:val="105"/>
          <w:szCs w:val="24"/>
        </w:rPr>
        <w:t>IRiESD,</w:t>
      </w:r>
      <w:r w:rsidRPr="003A2B98">
        <w:rPr>
          <w:rFonts w:cs="Times New Roman"/>
          <w:color w:val="000000"/>
          <w:spacing w:val="-6"/>
          <w:w w:val="105"/>
          <w:szCs w:val="24"/>
        </w:rPr>
        <w:t xml:space="preserve"> </w:t>
      </w:r>
      <w:r w:rsidRPr="003A2B98">
        <w:rPr>
          <w:rFonts w:cs="Times New Roman"/>
          <w:color w:val="000000"/>
          <w:w w:val="105"/>
          <w:szCs w:val="24"/>
        </w:rPr>
        <w:t>podstaw</w:t>
      </w:r>
      <w:r w:rsidRPr="003A2B98">
        <w:rPr>
          <w:rFonts w:cs="Times New Roman"/>
          <w:color w:val="000000"/>
          <w:spacing w:val="-8"/>
          <w:w w:val="105"/>
          <w:szCs w:val="24"/>
        </w:rPr>
        <w:t xml:space="preserve"> </w:t>
      </w:r>
      <w:r w:rsidRPr="003A2B98">
        <w:rPr>
          <w:rFonts w:cs="Times New Roman"/>
          <w:color w:val="000000"/>
          <w:w w:val="105"/>
          <w:szCs w:val="24"/>
        </w:rPr>
        <w:t>do</w:t>
      </w:r>
      <w:r w:rsidRPr="003A2B98">
        <w:rPr>
          <w:rFonts w:cs="Times New Roman"/>
          <w:color w:val="000000"/>
          <w:spacing w:val="-9"/>
          <w:w w:val="105"/>
          <w:szCs w:val="24"/>
        </w:rPr>
        <w:t xml:space="preserve"> </w:t>
      </w:r>
      <w:r w:rsidRPr="003A2B98">
        <w:rPr>
          <w:rFonts w:cs="Times New Roman"/>
          <w:color w:val="000000"/>
          <w:w w:val="105"/>
          <w:szCs w:val="24"/>
        </w:rPr>
        <w:t>rozpoczęcia sprzedaży rezerwowej, otrzymuje od OSDn działającego w imieniu i na rzecz URD oświadczenie o przyjęciu jego oferty. Zawarcie umowy sprzedaży rezerwowej następuje poprzez złożenie przez</w:t>
      </w:r>
      <w:r w:rsidRPr="003A2B98">
        <w:rPr>
          <w:rFonts w:cs="Times New Roman"/>
          <w:color w:val="000000"/>
          <w:spacing w:val="20"/>
          <w:w w:val="105"/>
          <w:szCs w:val="24"/>
        </w:rPr>
        <w:t xml:space="preserve"> OSDn </w:t>
      </w:r>
      <w:r w:rsidRPr="003A2B98">
        <w:rPr>
          <w:rFonts w:cs="Times New Roman"/>
          <w:color w:val="000000"/>
          <w:w w:val="105"/>
          <w:szCs w:val="24"/>
        </w:rPr>
        <w:t>oświadczenia o przyjęciu oferty sprzedawcy w terminie wynikającym z Ustawy. Oświadczenie może obejmować łącznie wszystkich URD, dla których zaistniały podstawy do rozpoczęcia sprzedaży rezerwowej.</w:t>
      </w:r>
    </w:p>
    <w:p w14:paraId="363EDCDE" w14:textId="77777777" w:rsidR="00051FAD" w:rsidRPr="003A2B98" w:rsidRDefault="00051FAD">
      <w:pPr>
        <w:pStyle w:val="Akapitzlist"/>
        <w:widowControl w:val="0"/>
        <w:numPr>
          <w:ilvl w:val="1"/>
          <w:numId w:val="316"/>
        </w:numPr>
        <w:autoSpaceDE w:val="0"/>
        <w:autoSpaceDN w:val="0"/>
        <w:spacing w:before="1" w:line="268" w:lineRule="auto"/>
        <w:ind w:left="709" w:right="2" w:hanging="283"/>
        <w:jc w:val="both"/>
        <w:rPr>
          <w:rFonts w:cs="Times New Roman"/>
          <w:b/>
          <w:color w:val="000000"/>
          <w:w w:val="105"/>
          <w:szCs w:val="24"/>
        </w:rPr>
      </w:pPr>
      <w:r w:rsidRPr="003A2B98">
        <w:rPr>
          <w:rFonts w:cs="Times New Roman"/>
          <w:color w:val="000000"/>
          <w:w w:val="105"/>
          <w:szCs w:val="24"/>
        </w:rPr>
        <w:t>otrzymuje oświadczenie, o którym mowa w ppkt 3), wraz z danymi URD, w</w:t>
      </w:r>
      <w:r w:rsidRPr="003A2B98">
        <w:rPr>
          <w:rFonts w:cs="Times New Roman"/>
          <w:color w:val="000000"/>
          <w:spacing w:val="-29"/>
          <w:w w:val="105"/>
          <w:szCs w:val="24"/>
        </w:rPr>
        <w:t xml:space="preserve"> </w:t>
      </w:r>
      <w:r w:rsidRPr="003A2B98">
        <w:rPr>
          <w:rFonts w:cs="Times New Roman"/>
          <w:color w:val="000000"/>
          <w:w w:val="105"/>
          <w:szCs w:val="24"/>
        </w:rPr>
        <w:t>sposób,</w:t>
      </w:r>
      <w:r w:rsidRPr="003A2B98">
        <w:rPr>
          <w:rFonts w:cs="Times New Roman"/>
          <w:color w:val="000000"/>
          <w:spacing w:val="-16"/>
          <w:w w:val="105"/>
          <w:szCs w:val="24"/>
        </w:rPr>
        <w:t xml:space="preserve"> </w:t>
      </w:r>
      <w:r>
        <w:rPr>
          <w:rFonts w:cs="Times New Roman"/>
          <w:color w:val="000000"/>
          <w:spacing w:val="-16"/>
          <w:w w:val="105"/>
          <w:szCs w:val="24"/>
        </w:rPr>
        <w:br/>
      </w:r>
      <w:r w:rsidRPr="003A2B98">
        <w:rPr>
          <w:rFonts w:cs="Times New Roman"/>
          <w:color w:val="000000"/>
          <w:w w:val="105"/>
          <w:szCs w:val="24"/>
        </w:rPr>
        <w:t>o</w:t>
      </w:r>
      <w:r w:rsidRPr="003A2B98">
        <w:rPr>
          <w:rFonts w:cs="Times New Roman"/>
          <w:color w:val="000000"/>
          <w:spacing w:val="-21"/>
          <w:w w:val="105"/>
          <w:szCs w:val="24"/>
        </w:rPr>
        <w:t xml:space="preserve"> </w:t>
      </w:r>
      <w:r w:rsidRPr="003A2B98">
        <w:rPr>
          <w:rFonts w:cs="Times New Roman"/>
          <w:color w:val="000000"/>
          <w:w w:val="105"/>
          <w:szCs w:val="24"/>
        </w:rPr>
        <w:t>którym</w:t>
      </w:r>
      <w:r w:rsidRPr="003A2B98">
        <w:rPr>
          <w:rFonts w:cs="Times New Roman"/>
          <w:color w:val="000000"/>
          <w:spacing w:val="-12"/>
          <w:w w:val="105"/>
          <w:szCs w:val="24"/>
        </w:rPr>
        <w:t xml:space="preserve"> </w:t>
      </w:r>
      <w:r w:rsidRPr="003A2B98">
        <w:rPr>
          <w:rFonts w:cs="Times New Roman"/>
          <w:color w:val="000000"/>
          <w:w w:val="105"/>
          <w:szCs w:val="24"/>
        </w:rPr>
        <w:t>mowa</w:t>
      </w:r>
      <w:r w:rsidRPr="003A2B98">
        <w:rPr>
          <w:rFonts w:cs="Times New Roman"/>
          <w:color w:val="000000"/>
          <w:spacing w:val="-16"/>
          <w:w w:val="105"/>
          <w:szCs w:val="24"/>
        </w:rPr>
        <w:t xml:space="preserve"> </w:t>
      </w:r>
      <w:r w:rsidRPr="003A2B98">
        <w:rPr>
          <w:rFonts w:cs="Times New Roman"/>
          <w:color w:val="000000"/>
          <w:w w:val="105"/>
          <w:szCs w:val="24"/>
        </w:rPr>
        <w:t>w</w:t>
      </w:r>
      <w:r w:rsidRPr="003A2B98">
        <w:rPr>
          <w:rFonts w:cs="Times New Roman"/>
          <w:color w:val="000000"/>
          <w:spacing w:val="-22"/>
          <w:w w:val="105"/>
          <w:szCs w:val="24"/>
        </w:rPr>
        <w:t xml:space="preserve"> </w:t>
      </w:r>
      <w:r w:rsidRPr="003A2B98">
        <w:rPr>
          <w:rFonts w:cs="Times New Roman"/>
          <w:color w:val="000000"/>
          <w:w w:val="105"/>
          <w:szCs w:val="24"/>
        </w:rPr>
        <w:t xml:space="preserve">GUD lub formie e-mail na adres poczty elektronicznej wskazany </w:t>
      </w:r>
      <w:r>
        <w:rPr>
          <w:rFonts w:cs="Times New Roman"/>
          <w:color w:val="000000"/>
          <w:w w:val="105"/>
          <w:szCs w:val="24"/>
        </w:rPr>
        <w:br/>
      </w:r>
      <w:r w:rsidRPr="003A2B98">
        <w:rPr>
          <w:rFonts w:cs="Times New Roman"/>
          <w:color w:val="000000"/>
          <w:w w:val="105"/>
          <w:szCs w:val="24"/>
        </w:rPr>
        <w:t>w</w:t>
      </w:r>
      <w:r w:rsidRPr="003A2B98">
        <w:rPr>
          <w:rFonts w:cs="Times New Roman"/>
          <w:color w:val="000000"/>
          <w:spacing w:val="13"/>
          <w:w w:val="105"/>
          <w:szCs w:val="24"/>
        </w:rPr>
        <w:t xml:space="preserve"> </w:t>
      </w:r>
      <w:r w:rsidRPr="003A2B98">
        <w:rPr>
          <w:rFonts w:cs="Times New Roman"/>
          <w:color w:val="000000"/>
          <w:w w:val="105"/>
          <w:szCs w:val="24"/>
        </w:rPr>
        <w:t>GUD.</w:t>
      </w:r>
    </w:p>
    <w:p w14:paraId="24AC10A2" w14:textId="77777777" w:rsidR="00051FAD" w:rsidRDefault="00051FAD">
      <w:pPr>
        <w:pStyle w:val="Akapitzlist"/>
        <w:widowControl w:val="0"/>
        <w:numPr>
          <w:ilvl w:val="0"/>
          <w:numId w:val="322"/>
        </w:numPr>
        <w:autoSpaceDE w:val="0"/>
        <w:autoSpaceDN w:val="0"/>
        <w:spacing w:line="258" w:lineRule="exact"/>
        <w:ind w:left="426" w:hanging="426"/>
        <w:rPr>
          <w:rFonts w:cs="Times New Roman"/>
          <w:color w:val="000000"/>
          <w:szCs w:val="24"/>
        </w:rPr>
      </w:pPr>
      <w:r>
        <w:rPr>
          <w:rFonts w:cs="Times New Roman"/>
          <w:color w:val="000000"/>
          <w:szCs w:val="24"/>
        </w:rPr>
        <w:t>Postanowienia końcowe:</w:t>
      </w:r>
    </w:p>
    <w:p w14:paraId="7806E479" w14:textId="7B03C5C0" w:rsidR="00051FAD" w:rsidRPr="00EE4966" w:rsidRDefault="00051FAD">
      <w:pPr>
        <w:pStyle w:val="Akapitzlist"/>
        <w:numPr>
          <w:ilvl w:val="1"/>
          <w:numId w:val="322"/>
        </w:numPr>
        <w:ind w:left="709" w:right="2" w:hanging="283"/>
        <w:jc w:val="both"/>
        <w:rPr>
          <w:rFonts w:cs="Times New Roman"/>
          <w:b/>
          <w:color w:val="000000"/>
          <w:w w:val="105"/>
          <w:szCs w:val="24"/>
        </w:rPr>
      </w:pPr>
      <w:r w:rsidRPr="00EE4966">
        <w:rPr>
          <w:rFonts w:cs="Times New Roman"/>
          <w:szCs w:val="24"/>
        </w:rPr>
        <w:t xml:space="preserve">Prawem właściwym dla GUD jest prawo polskie. </w:t>
      </w:r>
    </w:p>
    <w:p w14:paraId="3B77FD0E" w14:textId="77777777" w:rsidR="00051FAD" w:rsidRPr="004A68C7" w:rsidRDefault="00051FAD">
      <w:pPr>
        <w:numPr>
          <w:ilvl w:val="1"/>
          <w:numId w:val="322"/>
        </w:numPr>
        <w:ind w:left="709" w:right="2" w:hanging="283"/>
        <w:jc w:val="both"/>
        <w:rPr>
          <w:rFonts w:cs="Times New Roman"/>
          <w:b/>
          <w:color w:val="000000"/>
          <w:w w:val="105"/>
          <w:szCs w:val="24"/>
        </w:rPr>
      </w:pPr>
      <w:r w:rsidRPr="004A68C7">
        <w:rPr>
          <w:rFonts w:cs="Times New Roman"/>
          <w:szCs w:val="24"/>
        </w:rPr>
        <w:t xml:space="preserve">Wszelkie spory pomiędzy </w:t>
      </w:r>
      <w:r>
        <w:rPr>
          <w:rFonts w:cs="Times New Roman"/>
          <w:szCs w:val="24"/>
        </w:rPr>
        <w:t>OSDn</w:t>
      </w:r>
      <w:r w:rsidRPr="004A68C7">
        <w:rPr>
          <w:rFonts w:cs="Times New Roman"/>
          <w:szCs w:val="24"/>
        </w:rPr>
        <w:t xml:space="preserve"> a Sprzedawcą wynikające z GUD będą rozpoznawane przez sąd właściwy miejscowo dla siedziby </w:t>
      </w:r>
      <w:r>
        <w:rPr>
          <w:rFonts w:cs="Times New Roman"/>
          <w:szCs w:val="24"/>
        </w:rPr>
        <w:t>OSDn</w:t>
      </w:r>
      <w:r w:rsidRPr="004A68C7">
        <w:rPr>
          <w:rFonts w:cs="Times New Roman"/>
          <w:szCs w:val="24"/>
        </w:rPr>
        <w:t xml:space="preserve">. </w:t>
      </w:r>
    </w:p>
    <w:p w14:paraId="0533C8BF" w14:textId="77777777" w:rsidR="00051FAD" w:rsidRPr="004A68C7" w:rsidRDefault="00051FAD">
      <w:pPr>
        <w:numPr>
          <w:ilvl w:val="1"/>
          <w:numId w:val="322"/>
        </w:numPr>
        <w:ind w:left="709" w:right="2" w:hanging="283"/>
        <w:jc w:val="both"/>
        <w:rPr>
          <w:rFonts w:cs="Times New Roman"/>
          <w:b/>
          <w:color w:val="000000"/>
          <w:w w:val="105"/>
          <w:szCs w:val="24"/>
        </w:rPr>
      </w:pPr>
      <w:r w:rsidRPr="004A68C7">
        <w:rPr>
          <w:rFonts w:cs="Times New Roman"/>
          <w:szCs w:val="24"/>
        </w:rPr>
        <w:t xml:space="preserve">GUD jest sporządzona w języku polskim. </w:t>
      </w:r>
    </w:p>
    <w:p w14:paraId="2EA905E1" w14:textId="102DC52D" w:rsidR="00051FAD" w:rsidRPr="004A68C7" w:rsidRDefault="00051FAD">
      <w:pPr>
        <w:numPr>
          <w:ilvl w:val="1"/>
          <w:numId w:val="322"/>
        </w:numPr>
        <w:ind w:left="709" w:right="2" w:hanging="283"/>
        <w:jc w:val="both"/>
        <w:rPr>
          <w:rFonts w:cs="Times New Roman"/>
          <w:b/>
          <w:color w:val="000000"/>
          <w:w w:val="105"/>
          <w:szCs w:val="24"/>
        </w:rPr>
      </w:pPr>
      <w:r w:rsidRPr="004A68C7">
        <w:rPr>
          <w:rFonts w:cs="Times New Roman"/>
          <w:szCs w:val="24"/>
        </w:rPr>
        <w:t xml:space="preserve">Jeżeli którekolwiek z postanowień GUD uznane zostanie za nieważne na mocy prawomocnego wyroku sądu lub ostatecznej decyzji innego uprawnionego do tego organu władzy publicznej, pozostaje to bez wpływu na ważność pozostałych postanowień GUD. W takim przypadku </w:t>
      </w:r>
      <w:r>
        <w:rPr>
          <w:rFonts w:cs="Times New Roman"/>
          <w:szCs w:val="24"/>
        </w:rPr>
        <w:t>OSDn</w:t>
      </w:r>
      <w:r w:rsidRPr="004A68C7">
        <w:rPr>
          <w:rFonts w:cs="Times New Roman"/>
          <w:szCs w:val="24"/>
        </w:rPr>
        <w:t xml:space="preserve"> i Sprzedawca niezwłocznie podejmą negocjacje w celu zastąpienia postanowień nieważnych innymi postanowieniami, które będą realizować możliwie zbliżony cel. Postanowienia powyższe stosuje się również, jeżeli po zawarciu GUD wejdą w życie przepisy, na skutek których jakiekolwiek </w:t>
      </w:r>
      <w:r w:rsidR="00EE4966">
        <w:rPr>
          <w:rFonts w:cs="Times New Roman"/>
          <w:szCs w:val="24"/>
        </w:rPr>
        <w:br/>
      </w:r>
      <w:r w:rsidRPr="004A68C7">
        <w:rPr>
          <w:rFonts w:cs="Times New Roman"/>
          <w:szCs w:val="24"/>
        </w:rPr>
        <w:t xml:space="preserve">z postanowień GUD stanie się nieważne. </w:t>
      </w:r>
    </w:p>
    <w:p w14:paraId="25534EF3" w14:textId="77777777" w:rsidR="00051FAD" w:rsidRDefault="00051FAD">
      <w:pPr>
        <w:numPr>
          <w:ilvl w:val="1"/>
          <w:numId w:val="322"/>
        </w:numPr>
        <w:ind w:left="709" w:right="2" w:hanging="283"/>
        <w:jc w:val="both"/>
        <w:rPr>
          <w:rFonts w:cs="Times New Roman"/>
          <w:b/>
          <w:color w:val="000000"/>
          <w:w w:val="105"/>
          <w:szCs w:val="24"/>
        </w:rPr>
      </w:pPr>
      <w:r w:rsidRPr="004A68C7">
        <w:rPr>
          <w:rFonts w:cs="Times New Roman"/>
          <w:szCs w:val="24"/>
        </w:rPr>
        <w:t xml:space="preserve">W przypadku zmian w zakresie stanu prawnego lub faktycznego mających związek </w:t>
      </w:r>
      <w:r>
        <w:rPr>
          <w:rFonts w:cs="Times New Roman"/>
          <w:szCs w:val="24"/>
        </w:rPr>
        <w:br/>
      </w:r>
      <w:r w:rsidRPr="004A68C7">
        <w:rPr>
          <w:rFonts w:cs="Times New Roman"/>
          <w:szCs w:val="24"/>
        </w:rPr>
        <w:t xml:space="preserve">z postanowieniami GUD, </w:t>
      </w:r>
      <w:r>
        <w:rPr>
          <w:rFonts w:cs="Times New Roman"/>
          <w:szCs w:val="24"/>
        </w:rPr>
        <w:t xml:space="preserve">OSDn </w:t>
      </w:r>
      <w:r w:rsidRPr="004A68C7">
        <w:rPr>
          <w:rFonts w:cs="Times New Roman"/>
          <w:szCs w:val="24"/>
        </w:rPr>
        <w:t>i Sprzedawca zobowiązują się do podjęcia w dobrej wierze jej renegocjacji pod kątem dostosowania GUD do nowych okoliczności</w:t>
      </w:r>
      <w:r>
        <w:t>.</w:t>
      </w:r>
    </w:p>
    <w:p w14:paraId="68B50C0A" w14:textId="77777777" w:rsidR="00A72E84" w:rsidRDefault="00A72E84" w:rsidP="001F51D6">
      <w:pPr>
        <w:pStyle w:val="Nagwek1"/>
        <w:jc w:val="both"/>
        <w:rPr>
          <w:sz w:val="28"/>
          <w:szCs w:val="28"/>
        </w:rPr>
      </w:pPr>
    </w:p>
    <w:p w14:paraId="67CC6F40" w14:textId="77777777" w:rsidR="00A72E84" w:rsidRDefault="00A72E84" w:rsidP="001F51D6">
      <w:pPr>
        <w:pStyle w:val="Nagwek1"/>
        <w:jc w:val="both"/>
        <w:rPr>
          <w:sz w:val="28"/>
          <w:szCs w:val="28"/>
        </w:rPr>
      </w:pPr>
    </w:p>
    <w:p w14:paraId="0ADFD991" w14:textId="77777777" w:rsidR="00A72E84" w:rsidRDefault="00A72E84" w:rsidP="001F51D6">
      <w:pPr>
        <w:pStyle w:val="Nagwek1"/>
        <w:jc w:val="both"/>
        <w:rPr>
          <w:sz w:val="28"/>
          <w:szCs w:val="28"/>
        </w:rPr>
      </w:pPr>
    </w:p>
    <w:p w14:paraId="477759FC" w14:textId="77777777" w:rsidR="00A72E84" w:rsidRDefault="00A72E84" w:rsidP="001F51D6">
      <w:pPr>
        <w:pStyle w:val="Nagwek1"/>
        <w:jc w:val="both"/>
        <w:rPr>
          <w:sz w:val="28"/>
          <w:szCs w:val="28"/>
        </w:rPr>
      </w:pPr>
    </w:p>
    <w:p w14:paraId="21E89E1C" w14:textId="77777777" w:rsidR="00A72E84" w:rsidRDefault="00A72E84" w:rsidP="001F51D6">
      <w:pPr>
        <w:pStyle w:val="Nagwek1"/>
        <w:jc w:val="both"/>
        <w:rPr>
          <w:sz w:val="28"/>
          <w:szCs w:val="28"/>
        </w:rPr>
      </w:pPr>
    </w:p>
    <w:p w14:paraId="34FA9E27" w14:textId="31D63EDD" w:rsidR="00A72E84" w:rsidRDefault="00A72E84" w:rsidP="001F51D6">
      <w:pPr>
        <w:pStyle w:val="Nagwek1"/>
        <w:jc w:val="both"/>
        <w:rPr>
          <w:sz w:val="28"/>
          <w:szCs w:val="28"/>
        </w:rPr>
      </w:pPr>
    </w:p>
    <w:p w14:paraId="03367A75" w14:textId="66B463C2" w:rsidR="006B59B5" w:rsidRDefault="006B59B5" w:rsidP="006B59B5"/>
    <w:p w14:paraId="3163EF75" w14:textId="61E61725" w:rsidR="00B1081F" w:rsidRDefault="00B1081F" w:rsidP="006B59B5"/>
    <w:p w14:paraId="5312D6C2" w14:textId="46F1FFFA" w:rsidR="00B1081F" w:rsidRDefault="00B1081F" w:rsidP="006B59B5"/>
    <w:p w14:paraId="4CF5EF3D" w14:textId="11E7D3B3" w:rsidR="00EE4966" w:rsidRDefault="00EE4966" w:rsidP="006B59B5"/>
    <w:p w14:paraId="05B13A05" w14:textId="7B0B89EF" w:rsidR="00EE4966" w:rsidRDefault="00EE4966" w:rsidP="006B59B5"/>
    <w:p w14:paraId="04B797E7" w14:textId="124B38FC" w:rsidR="00EE4966" w:rsidRDefault="00EE4966" w:rsidP="006B59B5"/>
    <w:p w14:paraId="6AD5DAA2" w14:textId="293176CF" w:rsidR="00EE4966" w:rsidRDefault="00EE4966" w:rsidP="006B59B5"/>
    <w:p w14:paraId="69A7A3B6" w14:textId="5F406604" w:rsidR="00EE4966" w:rsidRDefault="00EE4966" w:rsidP="006B59B5"/>
    <w:p w14:paraId="44968CAE" w14:textId="5E9FD842" w:rsidR="00EE4966" w:rsidRDefault="00EE4966" w:rsidP="006B59B5"/>
    <w:p w14:paraId="35384F24" w14:textId="4C40F8E3" w:rsidR="00EE4966" w:rsidRDefault="00EE4966" w:rsidP="006B59B5"/>
    <w:p w14:paraId="7398EA03" w14:textId="4C567538" w:rsidR="00EE4966" w:rsidRDefault="00EE4966" w:rsidP="006B59B5"/>
    <w:p w14:paraId="2BDBB033" w14:textId="2603599D" w:rsidR="00EE4966" w:rsidRDefault="00EE4966" w:rsidP="006B59B5"/>
    <w:p w14:paraId="6991A1A4" w14:textId="12F306F8" w:rsidR="00EE4966" w:rsidRDefault="00EE4966" w:rsidP="006B59B5"/>
    <w:p w14:paraId="105F0B46" w14:textId="2940323B" w:rsidR="00EE4966" w:rsidRDefault="00EE4966" w:rsidP="006B59B5"/>
    <w:p w14:paraId="1ED3C4F2" w14:textId="3D3744A4" w:rsidR="00EE4966" w:rsidRDefault="00EE4966" w:rsidP="006B59B5"/>
    <w:p w14:paraId="0C51216C" w14:textId="1F7BD78C" w:rsidR="00EE4966" w:rsidRDefault="00EE4966" w:rsidP="006B59B5"/>
    <w:p w14:paraId="6D08C8E2" w14:textId="050F7AB2" w:rsidR="00EE4966" w:rsidRDefault="00EE4966" w:rsidP="006B59B5"/>
    <w:p w14:paraId="3DE2A40E" w14:textId="3ABC7910" w:rsidR="00EE4966" w:rsidRDefault="00EE4966" w:rsidP="006B59B5"/>
    <w:p w14:paraId="6B7D3BB1" w14:textId="3E67F02F" w:rsidR="00EE4966" w:rsidRDefault="00EE4966" w:rsidP="006B59B5"/>
    <w:p w14:paraId="347610B8" w14:textId="306C2DEC" w:rsidR="00EE4966" w:rsidRDefault="00EE4966" w:rsidP="006B59B5"/>
    <w:p w14:paraId="412A90B9" w14:textId="18FEE8D1" w:rsidR="00EE4966" w:rsidRDefault="00EE4966" w:rsidP="006B59B5"/>
    <w:p w14:paraId="06366B14" w14:textId="70B686E0" w:rsidR="00EE4966" w:rsidRDefault="00EE4966" w:rsidP="006B59B5"/>
    <w:p w14:paraId="25612A73" w14:textId="77777777" w:rsidR="00EE4966" w:rsidRDefault="00EE4966" w:rsidP="006B59B5"/>
    <w:p w14:paraId="7FBEC49A" w14:textId="77777777" w:rsidR="00B1081F" w:rsidRDefault="00B1081F" w:rsidP="006B59B5"/>
    <w:p w14:paraId="3520EF5C" w14:textId="4B8B6F4B" w:rsidR="006B59B5" w:rsidRDefault="006B59B5" w:rsidP="006B59B5"/>
    <w:p w14:paraId="3F39660A" w14:textId="180C66A6" w:rsidR="006B59B5" w:rsidRDefault="006B59B5" w:rsidP="006B59B5"/>
    <w:p w14:paraId="2ECAC00E" w14:textId="6B0930D9" w:rsidR="006B59B5" w:rsidRDefault="006B59B5" w:rsidP="006B59B5"/>
    <w:p w14:paraId="5AA3DA82" w14:textId="77777777" w:rsidR="006B59B5" w:rsidRPr="006B59B5" w:rsidRDefault="006B59B5" w:rsidP="006B59B5"/>
    <w:p w14:paraId="08DCE965" w14:textId="3E820363" w:rsidR="001F51D6" w:rsidRPr="009F21BD" w:rsidRDefault="001F51D6" w:rsidP="006B59B5">
      <w:pPr>
        <w:pStyle w:val="Nagwek1"/>
        <w:jc w:val="both"/>
      </w:pPr>
      <w:bookmarkStart w:id="155" w:name="_Toc141963936"/>
      <w:r w:rsidRPr="00856C06">
        <w:rPr>
          <w:sz w:val="28"/>
          <w:szCs w:val="28"/>
        </w:rPr>
        <w:t xml:space="preserve">Załącznik nr </w:t>
      </w:r>
      <w:r w:rsidR="0023786E">
        <w:rPr>
          <w:sz w:val="28"/>
          <w:szCs w:val="28"/>
        </w:rPr>
        <w:t>5</w:t>
      </w:r>
      <w:r w:rsidRPr="00856C06">
        <w:rPr>
          <w:sz w:val="24"/>
          <w:szCs w:val="24"/>
        </w:rPr>
        <w:t xml:space="preserve"> </w:t>
      </w:r>
      <w:r w:rsidRPr="009C101D">
        <w:rPr>
          <w:b w:val="0"/>
          <w:i/>
          <w:sz w:val="24"/>
          <w:szCs w:val="24"/>
        </w:rPr>
        <w:t xml:space="preserve">- </w:t>
      </w:r>
      <w:r>
        <w:rPr>
          <w:b w:val="0"/>
          <w:i/>
          <w:sz w:val="24"/>
          <w:szCs w:val="24"/>
        </w:rPr>
        <w:t>S</w:t>
      </w:r>
      <w:r w:rsidRPr="001F51D6">
        <w:rPr>
          <w:b w:val="0"/>
          <w:bCs w:val="0"/>
          <w:i/>
          <w:iCs/>
          <w:color w:val="000000"/>
        </w:rPr>
        <w:t>tandardow</w:t>
      </w:r>
      <w:r>
        <w:rPr>
          <w:b w:val="0"/>
          <w:bCs w:val="0"/>
          <w:i/>
          <w:iCs/>
          <w:color w:val="000000"/>
        </w:rPr>
        <w:t>e</w:t>
      </w:r>
      <w:r w:rsidRPr="001F51D6">
        <w:rPr>
          <w:b w:val="0"/>
          <w:bCs w:val="0"/>
          <w:i/>
          <w:iCs/>
          <w:color w:val="000000"/>
        </w:rPr>
        <w:t xml:space="preserve"> profil</w:t>
      </w:r>
      <w:r>
        <w:rPr>
          <w:b w:val="0"/>
          <w:bCs w:val="0"/>
          <w:i/>
          <w:iCs/>
          <w:color w:val="000000"/>
        </w:rPr>
        <w:t>e</w:t>
      </w:r>
      <w:r w:rsidRPr="001F51D6">
        <w:rPr>
          <w:b w:val="0"/>
          <w:bCs w:val="0"/>
          <w:i/>
          <w:iCs/>
          <w:color w:val="000000"/>
        </w:rPr>
        <w:t xml:space="preserve"> zużycia wykorzystywan</w:t>
      </w:r>
      <w:r>
        <w:rPr>
          <w:b w:val="0"/>
          <w:bCs w:val="0"/>
          <w:i/>
          <w:iCs/>
          <w:color w:val="000000"/>
        </w:rPr>
        <w:t>e</w:t>
      </w:r>
      <w:r w:rsidRPr="001F51D6">
        <w:rPr>
          <w:b w:val="0"/>
          <w:bCs w:val="0"/>
          <w:i/>
          <w:iCs/>
          <w:color w:val="000000"/>
        </w:rPr>
        <w:t xml:space="preserve"> </w:t>
      </w:r>
      <w:r w:rsidRPr="001F51D6">
        <w:rPr>
          <w:b w:val="0"/>
          <w:bCs w:val="0"/>
          <w:i/>
          <w:iCs/>
          <w:color w:val="000000"/>
        </w:rPr>
        <w:br/>
        <w:t xml:space="preserve">w bilansowaniu handlowym miejsc dostarczania energii elektrycznej dla odbiorców </w:t>
      </w:r>
      <w:r w:rsidRPr="001F51D6">
        <w:rPr>
          <w:b w:val="0"/>
          <w:bCs w:val="0"/>
          <w:i/>
          <w:iCs/>
          <w:color w:val="000000"/>
        </w:rPr>
        <w:br/>
        <w:t>o mocy umownej nie większej niż 40 kW</w:t>
      </w:r>
      <w:bookmarkEnd w:id="155"/>
    </w:p>
    <w:p w14:paraId="1DF26F2E" w14:textId="77777777" w:rsidR="001F51D6" w:rsidRPr="009F21BD" w:rsidRDefault="001F51D6" w:rsidP="006B59B5">
      <w:pPr>
        <w:pStyle w:val="styl0"/>
      </w:pPr>
    </w:p>
    <w:p w14:paraId="78A006FB" w14:textId="77777777" w:rsidR="001F51D6" w:rsidRPr="009F21BD" w:rsidRDefault="001F51D6" w:rsidP="006B59B5">
      <w:pPr>
        <w:pStyle w:val="styl0"/>
      </w:pPr>
    </w:p>
    <w:p w14:paraId="2E38D222" w14:textId="77777777" w:rsidR="001F51D6" w:rsidRPr="009F21BD" w:rsidRDefault="001F51D6" w:rsidP="006B59B5">
      <w:pPr>
        <w:pStyle w:val="styl0"/>
      </w:pPr>
    </w:p>
    <w:p w14:paraId="54E21B12" w14:textId="77777777" w:rsidR="001F51D6" w:rsidRPr="009F21BD" w:rsidRDefault="001F51D6" w:rsidP="006B59B5">
      <w:pPr>
        <w:pStyle w:val="styl0"/>
      </w:pPr>
    </w:p>
    <w:p w14:paraId="01356EA4" w14:textId="77777777" w:rsidR="001F51D6" w:rsidRPr="009F21BD" w:rsidRDefault="001F51D6" w:rsidP="006B59B5">
      <w:pPr>
        <w:pStyle w:val="styl0"/>
      </w:pPr>
    </w:p>
    <w:p w14:paraId="79E228AC" w14:textId="77777777" w:rsidR="001F51D6" w:rsidRPr="009F21BD" w:rsidRDefault="001F51D6" w:rsidP="001F51D6">
      <w:pPr>
        <w:pStyle w:val="styl0"/>
      </w:pPr>
    </w:p>
    <w:p w14:paraId="743F36EF" w14:textId="77777777" w:rsidR="001F51D6" w:rsidRPr="009F21BD" w:rsidRDefault="001F51D6" w:rsidP="001F51D6">
      <w:pPr>
        <w:pStyle w:val="styl0"/>
      </w:pPr>
    </w:p>
    <w:p w14:paraId="382B5C25" w14:textId="77777777" w:rsidR="001F51D6" w:rsidRPr="009F21BD" w:rsidRDefault="001F51D6" w:rsidP="001F51D6">
      <w:pPr>
        <w:pStyle w:val="styl0"/>
      </w:pPr>
    </w:p>
    <w:p w14:paraId="727AD1E1" w14:textId="77777777" w:rsidR="001F51D6" w:rsidRPr="009F21BD" w:rsidRDefault="001F51D6" w:rsidP="001F51D6">
      <w:pPr>
        <w:pStyle w:val="styl0"/>
      </w:pPr>
    </w:p>
    <w:p w14:paraId="6CD287CB" w14:textId="77777777" w:rsidR="001F51D6" w:rsidRDefault="001F51D6" w:rsidP="001F51D6">
      <w:pPr>
        <w:pStyle w:val="styl0"/>
      </w:pPr>
    </w:p>
    <w:p w14:paraId="63B055AE" w14:textId="77777777" w:rsidR="001F51D6" w:rsidRDefault="001F51D6" w:rsidP="001F51D6">
      <w:pPr>
        <w:pStyle w:val="styl0"/>
      </w:pPr>
    </w:p>
    <w:p w14:paraId="7ED3D371" w14:textId="77777777" w:rsidR="001F51D6" w:rsidRDefault="001F51D6" w:rsidP="001F51D6">
      <w:pPr>
        <w:pStyle w:val="styl0"/>
      </w:pPr>
    </w:p>
    <w:p w14:paraId="1F639116" w14:textId="77777777" w:rsidR="001F51D6" w:rsidRDefault="001F51D6" w:rsidP="001F51D6">
      <w:pPr>
        <w:pStyle w:val="styl0"/>
      </w:pPr>
    </w:p>
    <w:p w14:paraId="49C1B65C" w14:textId="77777777" w:rsidR="001F51D6" w:rsidRDefault="001F51D6" w:rsidP="001F51D6">
      <w:pPr>
        <w:pStyle w:val="styl0"/>
      </w:pPr>
    </w:p>
    <w:p w14:paraId="277DB832" w14:textId="77777777" w:rsidR="001F51D6" w:rsidRDefault="001F51D6" w:rsidP="001F51D6">
      <w:pPr>
        <w:pStyle w:val="styl0"/>
      </w:pPr>
    </w:p>
    <w:p w14:paraId="1D1028AA" w14:textId="77777777" w:rsidR="001F51D6" w:rsidRDefault="001F51D6" w:rsidP="001F51D6">
      <w:pPr>
        <w:pStyle w:val="styl0"/>
      </w:pPr>
    </w:p>
    <w:p w14:paraId="0FF4B4B6" w14:textId="77777777" w:rsidR="001F51D6" w:rsidRDefault="001F51D6" w:rsidP="001F51D6">
      <w:pPr>
        <w:pStyle w:val="styl0"/>
      </w:pPr>
    </w:p>
    <w:p w14:paraId="39C57160" w14:textId="77777777" w:rsidR="001F51D6" w:rsidRDefault="001F51D6" w:rsidP="001F51D6">
      <w:pPr>
        <w:pStyle w:val="styl0"/>
      </w:pPr>
    </w:p>
    <w:p w14:paraId="669B3FBF" w14:textId="77777777" w:rsidR="001F51D6" w:rsidRDefault="001F51D6" w:rsidP="001F51D6">
      <w:pPr>
        <w:pStyle w:val="styl0"/>
      </w:pPr>
    </w:p>
    <w:p w14:paraId="6CE9745A" w14:textId="77777777" w:rsidR="001F51D6" w:rsidRDefault="001F51D6" w:rsidP="001F51D6">
      <w:pPr>
        <w:pStyle w:val="styl0"/>
      </w:pPr>
    </w:p>
    <w:p w14:paraId="53218519" w14:textId="77777777" w:rsidR="001F51D6" w:rsidRDefault="001F51D6" w:rsidP="001F51D6">
      <w:pPr>
        <w:pStyle w:val="styl0"/>
      </w:pPr>
    </w:p>
    <w:p w14:paraId="47FBF935" w14:textId="77777777" w:rsidR="001F51D6" w:rsidRDefault="001F51D6" w:rsidP="001F51D6">
      <w:pPr>
        <w:pStyle w:val="styl0"/>
      </w:pPr>
    </w:p>
    <w:p w14:paraId="28943A07" w14:textId="77777777" w:rsidR="001F51D6" w:rsidRDefault="001F51D6" w:rsidP="001F51D6">
      <w:pPr>
        <w:pStyle w:val="styl0"/>
      </w:pPr>
    </w:p>
    <w:p w14:paraId="5982D4DD" w14:textId="77777777" w:rsidR="001F51D6" w:rsidRDefault="001F51D6" w:rsidP="001F51D6">
      <w:pPr>
        <w:pStyle w:val="styl0"/>
      </w:pPr>
    </w:p>
    <w:p w14:paraId="0B2D1694" w14:textId="77777777" w:rsidR="001F51D6" w:rsidRDefault="001F51D6" w:rsidP="001F51D6">
      <w:pPr>
        <w:pStyle w:val="styl0"/>
      </w:pPr>
    </w:p>
    <w:p w14:paraId="5BC7DBA5" w14:textId="77777777" w:rsidR="001F51D6" w:rsidRDefault="001F51D6" w:rsidP="001F51D6">
      <w:pPr>
        <w:pStyle w:val="styl0"/>
      </w:pPr>
    </w:p>
    <w:p w14:paraId="1D422568" w14:textId="77777777" w:rsidR="001F51D6" w:rsidRDefault="001F51D6" w:rsidP="001F51D6">
      <w:pPr>
        <w:pStyle w:val="styl0"/>
      </w:pPr>
    </w:p>
    <w:p w14:paraId="0DA1BFCE" w14:textId="77777777" w:rsidR="001F51D6" w:rsidRDefault="001F51D6" w:rsidP="001F51D6">
      <w:pPr>
        <w:pStyle w:val="styl0"/>
      </w:pPr>
    </w:p>
    <w:p w14:paraId="1147FE15" w14:textId="77777777" w:rsidR="001F51D6" w:rsidRDefault="001F51D6" w:rsidP="001F51D6">
      <w:pPr>
        <w:pStyle w:val="styl0"/>
      </w:pPr>
    </w:p>
    <w:p w14:paraId="11EB209B" w14:textId="77777777" w:rsidR="001F51D6" w:rsidRDefault="001F51D6" w:rsidP="001F51D6">
      <w:pPr>
        <w:pStyle w:val="styl0"/>
      </w:pPr>
    </w:p>
    <w:p w14:paraId="044E9DE6" w14:textId="77777777" w:rsidR="001F51D6" w:rsidRDefault="001F51D6" w:rsidP="001F51D6">
      <w:pPr>
        <w:pStyle w:val="styl0"/>
      </w:pPr>
    </w:p>
    <w:p w14:paraId="570C2DE3" w14:textId="77777777" w:rsidR="001F51D6" w:rsidRDefault="001F51D6" w:rsidP="001F51D6">
      <w:pPr>
        <w:pStyle w:val="styl0"/>
      </w:pPr>
    </w:p>
    <w:p w14:paraId="09493330" w14:textId="77777777" w:rsidR="001F51D6" w:rsidRDefault="001F51D6" w:rsidP="001F51D6">
      <w:pPr>
        <w:pStyle w:val="styl0"/>
      </w:pPr>
    </w:p>
    <w:p w14:paraId="583D641F" w14:textId="77777777" w:rsidR="001F51D6" w:rsidRDefault="001F51D6" w:rsidP="001F51D6">
      <w:pPr>
        <w:pStyle w:val="styl0"/>
      </w:pPr>
    </w:p>
    <w:p w14:paraId="4636CF21" w14:textId="77777777" w:rsidR="001F51D6" w:rsidRDefault="001F51D6" w:rsidP="001F51D6">
      <w:pPr>
        <w:pStyle w:val="styl0"/>
      </w:pPr>
    </w:p>
    <w:p w14:paraId="3FB504F9" w14:textId="77777777" w:rsidR="001F51D6" w:rsidRDefault="001F51D6" w:rsidP="001F51D6">
      <w:pPr>
        <w:pStyle w:val="styl0"/>
      </w:pPr>
    </w:p>
    <w:p w14:paraId="1E8C9216" w14:textId="77777777" w:rsidR="001F51D6" w:rsidRDefault="001F51D6" w:rsidP="001F51D6">
      <w:pPr>
        <w:pStyle w:val="styl0"/>
      </w:pPr>
    </w:p>
    <w:p w14:paraId="11CD105D" w14:textId="77777777" w:rsidR="001F51D6" w:rsidRDefault="001F51D6" w:rsidP="001F51D6">
      <w:pPr>
        <w:pStyle w:val="styl0"/>
      </w:pPr>
    </w:p>
    <w:p w14:paraId="02F9865F" w14:textId="77777777" w:rsidR="001F51D6" w:rsidRDefault="001F51D6" w:rsidP="001F51D6">
      <w:pPr>
        <w:pStyle w:val="styl0"/>
      </w:pPr>
    </w:p>
    <w:p w14:paraId="39A4A209" w14:textId="77777777" w:rsidR="001F51D6" w:rsidRDefault="001F51D6" w:rsidP="001F51D6">
      <w:pPr>
        <w:pStyle w:val="styl0"/>
      </w:pPr>
    </w:p>
    <w:p w14:paraId="7BE8FD99" w14:textId="77777777" w:rsidR="001F51D6" w:rsidRDefault="001F51D6" w:rsidP="001F51D6">
      <w:pPr>
        <w:pStyle w:val="styl0"/>
      </w:pPr>
    </w:p>
    <w:p w14:paraId="3455CE9E" w14:textId="77777777" w:rsidR="001F51D6" w:rsidRDefault="001F51D6" w:rsidP="001F51D6">
      <w:pPr>
        <w:pStyle w:val="styl0"/>
      </w:pPr>
    </w:p>
    <w:p w14:paraId="5AE45CF0" w14:textId="77777777" w:rsidR="001F51D6" w:rsidRDefault="001F51D6" w:rsidP="001F51D6">
      <w:pPr>
        <w:pStyle w:val="styl0"/>
      </w:pPr>
    </w:p>
    <w:p w14:paraId="05CE3F5A" w14:textId="77777777" w:rsidR="001F51D6" w:rsidRDefault="001F51D6" w:rsidP="001F51D6">
      <w:pPr>
        <w:pStyle w:val="styl0"/>
      </w:pPr>
    </w:p>
    <w:p w14:paraId="54612334" w14:textId="77777777" w:rsidR="001F51D6" w:rsidRDefault="001F51D6" w:rsidP="001F51D6">
      <w:pPr>
        <w:pStyle w:val="styl0"/>
      </w:pPr>
    </w:p>
    <w:p w14:paraId="2D9074FB" w14:textId="77777777" w:rsidR="001F51D6" w:rsidRDefault="001F51D6" w:rsidP="001F51D6">
      <w:pPr>
        <w:pStyle w:val="styl0"/>
      </w:pPr>
    </w:p>
    <w:p w14:paraId="4C2BFDEE" w14:textId="77777777" w:rsidR="00B35D20" w:rsidRDefault="00B35D20" w:rsidP="001F51D6">
      <w:pPr>
        <w:pStyle w:val="styl0"/>
        <w:sectPr w:rsidR="00B35D20" w:rsidSect="00281F50">
          <w:pgSz w:w="11900" w:h="16841"/>
          <w:pgMar w:top="909" w:right="1406" w:bottom="624" w:left="1420" w:header="454" w:footer="0" w:gutter="0"/>
          <w:cols w:space="0" w:equalWidth="0">
            <w:col w:w="9080"/>
          </w:cols>
          <w:docGrid w:linePitch="360"/>
        </w:sectPr>
      </w:pPr>
    </w:p>
    <w:p w14:paraId="4FAFDBA8" w14:textId="21942D5A" w:rsidR="00D950D2" w:rsidRDefault="0033799E" w:rsidP="004B0508">
      <w:pPr>
        <w:pStyle w:val="styl0"/>
        <w:tabs>
          <w:tab w:val="left" w:pos="3890"/>
        </w:tabs>
        <w:jc w:val="center"/>
      </w:pPr>
      <w:r w:rsidRPr="0033799E">
        <w:rPr>
          <w:noProof/>
        </w:rPr>
        <w:drawing>
          <wp:inline distT="0" distB="0" distL="0" distR="0" wp14:anchorId="309B4D56" wp14:editId="63CCCE4B">
            <wp:extent cx="9720580" cy="5215467"/>
            <wp:effectExtent l="0" t="0" r="0" b="4445"/>
            <wp:docPr id="19104313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2627" cy="5216565"/>
                    </a:xfrm>
                    <a:prstGeom prst="rect">
                      <a:avLst/>
                    </a:prstGeom>
                    <a:noFill/>
                    <a:ln>
                      <a:noFill/>
                    </a:ln>
                  </pic:spPr>
                </pic:pic>
              </a:graphicData>
            </a:graphic>
          </wp:inline>
        </w:drawing>
      </w:r>
    </w:p>
    <w:p w14:paraId="71B05585" w14:textId="337CDDA7" w:rsidR="00836539" w:rsidRDefault="00836539" w:rsidP="004B0508">
      <w:pPr>
        <w:pStyle w:val="styl0"/>
        <w:tabs>
          <w:tab w:val="left" w:pos="3890"/>
        </w:tabs>
        <w:jc w:val="center"/>
      </w:pPr>
      <w:r>
        <w:rPr>
          <w:noProof/>
        </w:rPr>
        <w:drawing>
          <wp:inline distT="0" distB="0" distL="0" distR="0" wp14:anchorId="6F9450FB" wp14:editId="1E3A0920">
            <wp:extent cx="9723755" cy="5206365"/>
            <wp:effectExtent l="0" t="0" r="0" b="0"/>
            <wp:docPr id="9866512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23755" cy="5206365"/>
                    </a:xfrm>
                    <a:prstGeom prst="rect">
                      <a:avLst/>
                    </a:prstGeom>
                    <a:noFill/>
                  </pic:spPr>
                </pic:pic>
              </a:graphicData>
            </a:graphic>
          </wp:inline>
        </w:drawing>
      </w:r>
    </w:p>
    <w:p w14:paraId="3095BEC1" w14:textId="793E20BB" w:rsidR="00836539" w:rsidRDefault="00836539" w:rsidP="004B0508">
      <w:pPr>
        <w:pStyle w:val="styl0"/>
        <w:tabs>
          <w:tab w:val="left" w:pos="3890"/>
        </w:tabs>
        <w:jc w:val="center"/>
      </w:pPr>
      <w:r>
        <w:rPr>
          <w:noProof/>
        </w:rPr>
        <w:drawing>
          <wp:inline distT="0" distB="0" distL="0" distR="0" wp14:anchorId="4A8711C2" wp14:editId="2DE24425">
            <wp:extent cx="9723755" cy="5474970"/>
            <wp:effectExtent l="0" t="0" r="0" b="0"/>
            <wp:docPr id="5007035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23755" cy="5474970"/>
                    </a:xfrm>
                    <a:prstGeom prst="rect">
                      <a:avLst/>
                    </a:prstGeom>
                    <a:noFill/>
                  </pic:spPr>
                </pic:pic>
              </a:graphicData>
            </a:graphic>
          </wp:inline>
        </w:drawing>
      </w:r>
    </w:p>
    <w:sectPr w:rsidR="00836539" w:rsidSect="00B35D20">
      <w:pgSz w:w="16841" w:h="11900" w:orient="landscape"/>
      <w:pgMar w:top="1420" w:right="909" w:bottom="1406" w:left="624" w:header="454"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DF283" w14:textId="77777777" w:rsidR="00941F84" w:rsidRDefault="00941F84" w:rsidP="003F310D">
      <w:r>
        <w:separator/>
      </w:r>
    </w:p>
  </w:endnote>
  <w:endnote w:type="continuationSeparator" w:id="0">
    <w:p w14:paraId="5BE10D0F" w14:textId="77777777" w:rsidR="00941F84" w:rsidRDefault="00941F84" w:rsidP="003F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SymbolMT">
    <w:altName w:val="Arial Unicode MS"/>
    <w:panose1 w:val="00000000000000000000"/>
    <w:charset w:val="86"/>
    <w:family w:val="auto"/>
    <w:notTrueType/>
    <w:pitch w:val="default"/>
    <w:sig w:usb0="00000081" w:usb1="080E0000" w:usb2="00000010" w:usb3="00000000" w:csb0="0004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D007" w14:textId="11AA6C39" w:rsidR="008C403A" w:rsidRDefault="008C403A">
    <w:pPr>
      <w:pStyle w:val="Stopka"/>
    </w:pP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74"/>
      <w:gridCol w:w="1921"/>
      <w:gridCol w:w="6266"/>
    </w:tblGrid>
    <w:tr w:rsidR="008C403A" w14:paraId="39743E3E" w14:textId="77777777" w:rsidTr="005C02C1">
      <w:trPr>
        <w:trHeight w:val="80"/>
        <w:jc w:val="center"/>
      </w:trPr>
      <w:tc>
        <w:tcPr>
          <w:tcW w:w="10261" w:type="dxa"/>
          <w:gridSpan w:val="3"/>
          <w:tcBorders>
            <w:top w:val="nil"/>
            <w:left w:val="nil"/>
            <w:bottom w:val="single" w:sz="4" w:space="0" w:color="auto"/>
            <w:right w:val="nil"/>
          </w:tcBorders>
          <w:shd w:val="clear" w:color="auto" w:fill="auto"/>
        </w:tcPr>
        <w:p w14:paraId="40528990" w14:textId="77777777" w:rsidR="008C403A" w:rsidRPr="00A9485E" w:rsidRDefault="008C403A" w:rsidP="003F310D">
          <w:pPr>
            <w:pStyle w:val="Stopka"/>
            <w:jc w:val="center"/>
          </w:pPr>
        </w:p>
      </w:tc>
    </w:tr>
    <w:tr w:rsidR="008C403A" w14:paraId="69A2B950" w14:textId="77777777" w:rsidTr="005C02C1">
      <w:trPr>
        <w:trHeight w:val="197"/>
        <w:jc w:val="center"/>
      </w:trPr>
      <w:tc>
        <w:tcPr>
          <w:tcW w:w="10261" w:type="dxa"/>
          <w:gridSpan w:val="3"/>
          <w:tcBorders>
            <w:top w:val="single" w:sz="4" w:space="0" w:color="auto"/>
          </w:tcBorders>
          <w:shd w:val="clear" w:color="auto" w:fill="auto"/>
        </w:tcPr>
        <w:p w14:paraId="3B849DB3" w14:textId="619E40FB" w:rsidR="008C403A" w:rsidRPr="003F310D" w:rsidRDefault="008C403A" w:rsidP="003F310D">
          <w:pPr>
            <w:pStyle w:val="Stopka"/>
            <w:jc w:val="center"/>
            <w:rPr>
              <w:rFonts w:cs="Times New Roman"/>
              <w:sz w:val="18"/>
              <w:szCs w:val="18"/>
            </w:rPr>
          </w:pPr>
          <w:r w:rsidRPr="003F310D">
            <w:rPr>
              <w:rFonts w:cs="Times New Roman"/>
              <w:sz w:val="18"/>
              <w:szCs w:val="18"/>
            </w:rPr>
            <w:t>Instrukcja Ruchu i Eksploatacji Sieci Dystrybucyjnej</w:t>
          </w:r>
          <w:r>
            <w:rPr>
              <w:rFonts w:cs="Times New Roman"/>
              <w:sz w:val="18"/>
              <w:szCs w:val="18"/>
            </w:rPr>
            <w:t xml:space="preserve"> </w:t>
          </w:r>
          <w:r w:rsidR="00D57274">
            <w:rPr>
              <w:rFonts w:cs="Times New Roman"/>
              <w:sz w:val="18"/>
              <w:szCs w:val="18"/>
            </w:rPr>
            <w:t>ERG S.A.</w:t>
          </w:r>
          <w:r w:rsidRPr="003F310D">
            <w:rPr>
              <w:rFonts w:cs="Times New Roman"/>
              <w:sz w:val="18"/>
              <w:szCs w:val="18"/>
            </w:rPr>
            <w:t xml:space="preserve">                                   </w:t>
          </w:r>
        </w:p>
      </w:tc>
    </w:tr>
    <w:tr w:rsidR="008C403A" w:rsidRPr="00CA2DC6" w14:paraId="00FDCDEB" w14:textId="77777777" w:rsidTr="005C02C1">
      <w:trPr>
        <w:jc w:val="center"/>
      </w:trPr>
      <w:tc>
        <w:tcPr>
          <w:tcW w:w="2074" w:type="dxa"/>
          <w:shd w:val="clear" w:color="auto" w:fill="auto"/>
        </w:tcPr>
        <w:p w14:paraId="22AC1160" w14:textId="597DBD2E" w:rsidR="008C403A" w:rsidRPr="00DF5FAF" w:rsidRDefault="008C403A" w:rsidP="003F310D">
          <w:pPr>
            <w:pStyle w:val="Stopka"/>
            <w:rPr>
              <w:sz w:val="20"/>
            </w:rPr>
          </w:pPr>
          <w:r w:rsidRPr="00DF5FAF">
            <w:rPr>
              <w:sz w:val="20"/>
            </w:rPr>
            <w:t>Data</w:t>
          </w:r>
          <w:r>
            <w:rPr>
              <w:sz w:val="20"/>
            </w:rPr>
            <w:t xml:space="preserve">   </w:t>
          </w:r>
          <w:r w:rsidR="00321BD3">
            <w:rPr>
              <w:sz w:val="20"/>
            </w:rPr>
            <w:t>0</w:t>
          </w:r>
          <w:r w:rsidR="006779EA">
            <w:rPr>
              <w:sz w:val="20"/>
            </w:rPr>
            <w:t>5</w:t>
          </w:r>
          <w:r>
            <w:rPr>
              <w:sz w:val="20"/>
            </w:rPr>
            <w:t>.</w:t>
          </w:r>
          <w:r w:rsidR="00EB0E10">
            <w:rPr>
              <w:sz w:val="20"/>
            </w:rPr>
            <w:t>0</w:t>
          </w:r>
          <w:r w:rsidR="009677FD">
            <w:rPr>
              <w:sz w:val="20"/>
            </w:rPr>
            <w:t>8</w:t>
          </w:r>
          <w:r>
            <w:rPr>
              <w:sz w:val="20"/>
            </w:rPr>
            <w:t>.</w:t>
          </w:r>
          <w:r w:rsidRPr="00DF5FAF">
            <w:rPr>
              <w:sz w:val="20"/>
            </w:rPr>
            <w:t>20</w:t>
          </w:r>
          <w:r>
            <w:rPr>
              <w:sz w:val="20"/>
            </w:rPr>
            <w:t>2</w:t>
          </w:r>
          <w:r w:rsidR="00EB0E10">
            <w:rPr>
              <w:sz w:val="20"/>
            </w:rPr>
            <w:t>3</w:t>
          </w:r>
          <w:r w:rsidRPr="00DF5FAF">
            <w:rPr>
              <w:sz w:val="20"/>
            </w:rPr>
            <w:t xml:space="preserve"> r.</w:t>
          </w:r>
        </w:p>
      </w:tc>
      <w:tc>
        <w:tcPr>
          <w:tcW w:w="1921" w:type="dxa"/>
          <w:shd w:val="clear" w:color="auto" w:fill="auto"/>
        </w:tcPr>
        <w:p w14:paraId="3E234526" w14:textId="33422DD7" w:rsidR="008C403A" w:rsidRPr="00DF5FAF" w:rsidRDefault="008C403A" w:rsidP="00852616">
          <w:pPr>
            <w:pStyle w:val="Stopka"/>
            <w:jc w:val="center"/>
            <w:rPr>
              <w:rFonts w:cs="Times New Roman"/>
              <w:sz w:val="20"/>
            </w:rPr>
          </w:pPr>
          <w:r w:rsidRPr="00DF5FAF">
            <w:rPr>
              <w:rFonts w:cs="Times New Roman"/>
              <w:sz w:val="20"/>
            </w:rPr>
            <w:t xml:space="preserve">Wersja </w:t>
          </w:r>
          <w:r w:rsidR="006779EA">
            <w:rPr>
              <w:rFonts w:cs="Times New Roman"/>
              <w:sz w:val="20"/>
            </w:rPr>
            <w:t>5</w:t>
          </w:r>
          <w:r w:rsidR="00A14B3D">
            <w:rPr>
              <w:rFonts w:cs="Times New Roman"/>
              <w:sz w:val="20"/>
            </w:rPr>
            <w:t>.0</w:t>
          </w:r>
        </w:p>
      </w:tc>
      <w:tc>
        <w:tcPr>
          <w:tcW w:w="6266" w:type="dxa"/>
          <w:shd w:val="clear" w:color="auto" w:fill="auto"/>
        </w:tcPr>
        <w:p w14:paraId="6A20A243" w14:textId="77777777" w:rsidR="008C403A" w:rsidRPr="00DF5FAF" w:rsidRDefault="008C403A" w:rsidP="003F310D">
          <w:pPr>
            <w:pStyle w:val="Stopka"/>
            <w:jc w:val="right"/>
            <w:rPr>
              <w:rFonts w:cs="Times New Roman"/>
              <w:sz w:val="20"/>
            </w:rPr>
          </w:pPr>
          <w:r w:rsidRPr="00DF5FAF">
            <w:rPr>
              <w:rStyle w:val="Numerstrony"/>
              <w:rFonts w:cs="Times New Roman"/>
              <w:sz w:val="20"/>
            </w:rPr>
            <w:t xml:space="preserve">Strona </w:t>
          </w:r>
          <w:r w:rsidRPr="00DF5FAF">
            <w:rPr>
              <w:rStyle w:val="Numerstrony"/>
              <w:rFonts w:cs="Times New Roman"/>
              <w:sz w:val="20"/>
            </w:rPr>
            <w:fldChar w:fldCharType="begin"/>
          </w:r>
          <w:r w:rsidRPr="00DF5FAF">
            <w:rPr>
              <w:rStyle w:val="Numerstrony"/>
              <w:rFonts w:cs="Times New Roman"/>
              <w:sz w:val="20"/>
            </w:rPr>
            <w:instrText xml:space="preserve"> PAGE </w:instrText>
          </w:r>
          <w:r w:rsidRPr="00DF5FAF">
            <w:rPr>
              <w:rStyle w:val="Numerstrony"/>
              <w:rFonts w:cs="Times New Roman"/>
              <w:sz w:val="20"/>
            </w:rPr>
            <w:fldChar w:fldCharType="separate"/>
          </w:r>
          <w:r>
            <w:rPr>
              <w:rStyle w:val="Numerstrony"/>
              <w:rFonts w:cs="Times New Roman"/>
              <w:noProof/>
              <w:sz w:val="20"/>
            </w:rPr>
            <w:t>167</w:t>
          </w:r>
          <w:r w:rsidRPr="00DF5FAF">
            <w:rPr>
              <w:rStyle w:val="Numerstrony"/>
              <w:rFonts w:cs="Times New Roman"/>
              <w:sz w:val="20"/>
            </w:rPr>
            <w:fldChar w:fldCharType="end"/>
          </w:r>
          <w:r w:rsidRPr="00DF5FAF">
            <w:rPr>
              <w:rStyle w:val="Numerstrony"/>
              <w:rFonts w:cs="Times New Roman"/>
              <w:sz w:val="20"/>
            </w:rPr>
            <w:t xml:space="preserve"> z </w:t>
          </w:r>
          <w:r w:rsidRPr="00DF5FAF">
            <w:rPr>
              <w:rStyle w:val="Numerstrony"/>
              <w:rFonts w:cs="Times New Roman"/>
              <w:sz w:val="20"/>
            </w:rPr>
            <w:fldChar w:fldCharType="begin"/>
          </w:r>
          <w:r w:rsidRPr="00DF5FAF">
            <w:rPr>
              <w:rStyle w:val="Numerstrony"/>
              <w:rFonts w:cs="Times New Roman"/>
              <w:sz w:val="20"/>
            </w:rPr>
            <w:instrText xml:space="preserve"> NUMPAGES </w:instrText>
          </w:r>
          <w:r w:rsidRPr="00DF5FAF">
            <w:rPr>
              <w:rStyle w:val="Numerstrony"/>
              <w:rFonts w:cs="Times New Roman"/>
              <w:sz w:val="20"/>
            </w:rPr>
            <w:fldChar w:fldCharType="separate"/>
          </w:r>
          <w:r>
            <w:rPr>
              <w:rStyle w:val="Numerstrony"/>
              <w:rFonts w:cs="Times New Roman"/>
              <w:noProof/>
              <w:sz w:val="20"/>
            </w:rPr>
            <w:t>167</w:t>
          </w:r>
          <w:r w:rsidRPr="00DF5FAF">
            <w:rPr>
              <w:rStyle w:val="Numerstrony"/>
              <w:rFonts w:cs="Times New Roman"/>
              <w:sz w:val="20"/>
            </w:rPr>
            <w:fldChar w:fldCharType="end"/>
          </w:r>
        </w:p>
      </w:tc>
    </w:tr>
    <w:tr w:rsidR="008C403A" w14:paraId="3439B895" w14:textId="77777777" w:rsidTr="005C02C1">
      <w:trPr>
        <w:jc w:val="center"/>
      </w:trPr>
      <w:tc>
        <w:tcPr>
          <w:tcW w:w="10261" w:type="dxa"/>
          <w:gridSpan w:val="3"/>
          <w:shd w:val="clear" w:color="auto" w:fill="auto"/>
        </w:tcPr>
        <w:p w14:paraId="23D1613A" w14:textId="3F39E026" w:rsidR="008C403A" w:rsidRPr="00DF5FAF" w:rsidRDefault="00C84BAD" w:rsidP="00712106">
          <w:pPr>
            <w:pStyle w:val="Stopka"/>
            <w:jc w:val="center"/>
            <w:rPr>
              <w:rFonts w:cs="Times New Roman"/>
              <w:sz w:val="20"/>
            </w:rPr>
          </w:pPr>
          <w:r>
            <w:rPr>
              <w:rFonts w:cs="Times New Roman"/>
              <w:sz w:val="20"/>
            </w:rPr>
            <w:t xml:space="preserve">Data wejścia w życie IRiESD </w:t>
          </w:r>
          <w:r w:rsidR="00321BD3">
            <w:rPr>
              <w:rFonts w:cs="Times New Roman"/>
              <w:sz w:val="20"/>
            </w:rPr>
            <w:t>…………………</w:t>
          </w:r>
          <w:r w:rsidR="00C1458C">
            <w:rPr>
              <w:rFonts w:cs="Times New Roman"/>
              <w:sz w:val="20"/>
            </w:rPr>
            <w:t>.</w:t>
          </w:r>
          <w:r w:rsidR="008C403A">
            <w:rPr>
              <w:rFonts w:cs="Times New Roman"/>
              <w:sz w:val="20"/>
            </w:rPr>
            <w:t>202</w:t>
          </w:r>
          <w:r w:rsidR="00227F88">
            <w:rPr>
              <w:rFonts w:cs="Times New Roman"/>
              <w:sz w:val="20"/>
            </w:rPr>
            <w:t>3</w:t>
          </w:r>
          <w:r w:rsidR="008C403A" w:rsidRPr="00DF5FAF">
            <w:rPr>
              <w:rFonts w:cs="Times New Roman"/>
              <w:sz w:val="20"/>
            </w:rPr>
            <w:t xml:space="preserve"> roku</w:t>
          </w:r>
        </w:p>
        <w:p w14:paraId="328BB208" w14:textId="72004227" w:rsidR="008C403A" w:rsidRPr="00DF5FAF" w:rsidRDefault="008C403A" w:rsidP="00712106">
          <w:pPr>
            <w:pStyle w:val="Stopka"/>
            <w:jc w:val="center"/>
            <w:rPr>
              <w:rFonts w:cs="Times New Roman"/>
              <w:sz w:val="20"/>
            </w:rPr>
          </w:pPr>
        </w:p>
      </w:tc>
    </w:tr>
  </w:tbl>
  <w:p w14:paraId="256AFBE4" w14:textId="77777777" w:rsidR="008C403A" w:rsidRDefault="008C403A">
    <w:pPr>
      <w:pStyle w:val="Stopka"/>
    </w:pPr>
  </w:p>
  <w:p w14:paraId="144E2E2A" w14:textId="77777777" w:rsidR="008C403A" w:rsidRDefault="008C403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50A38" w14:textId="77777777" w:rsidR="00941F84" w:rsidRDefault="00941F84" w:rsidP="003F310D">
      <w:r>
        <w:separator/>
      </w:r>
    </w:p>
  </w:footnote>
  <w:footnote w:type="continuationSeparator" w:id="0">
    <w:p w14:paraId="602C93D2" w14:textId="77777777" w:rsidR="00941F84" w:rsidRDefault="00941F84" w:rsidP="003F3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E338" w14:textId="155F6E19" w:rsidR="008C403A" w:rsidRPr="003F310D" w:rsidRDefault="00D57274" w:rsidP="00051A94">
    <w:pPr>
      <w:pStyle w:val="Nagwek"/>
      <w:tabs>
        <w:tab w:val="clear" w:pos="4536"/>
      </w:tabs>
      <w:rPr>
        <w:rFonts w:cs="Times New Roman"/>
      </w:rPr>
    </w:pPr>
    <w:r>
      <w:rPr>
        <w:rFonts w:cs="Times New Roman"/>
        <w:i/>
        <w:sz w:val="18"/>
        <w:szCs w:val="18"/>
        <w:u w:val="single"/>
      </w:rPr>
      <w:t>ERG S.A.</w:t>
    </w:r>
    <w:r w:rsidR="008C403A">
      <w:rPr>
        <w:rFonts w:cs="Times New Roman"/>
        <w:i/>
        <w:sz w:val="18"/>
        <w:szCs w:val="18"/>
        <w:u w:val="single"/>
      </w:rPr>
      <w:tab/>
    </w:r>
    <w:r w:rsidR="008C403A" w:rsidRPr="003F310D">
      <w:rPr>
        <w:rFonts w:cs="Times New Roman"/>
        <w:i/>
        <w:sz w:val="18"/>
        <w:szCs w:val="18"/>
        <w:u w:val="single"/>
      </w:rPr>
      <w:t xml:space="preserve"> Instrukcja Ruchu i Eksploatacji Sieci Dystrybucyjnej</w:t>
    </w:r>
  </w:p>
  <w:p w14:paraId="5CDBB355" w14:textId="77777777" w:rsidR="008C403A" w:rsidRPr="003F310D" w:rsidRDefault="008C403A" w:rsidP="0014508F">
    <w:pPr>
      <w:pStyle w:val="Nagwek"/>
      <w:tabs>
        <w:tab w:val="clear" w:pos="4536"/>
        <w:tab w:val="clear" w:pos="9072"/>
        <w:tab w:val="left" w:pos="1488"/>
      </w:tabs>
      <w:rPr>
        <w:rFonts w:cs="Times New Roman"/>
      </w:rPr>
    </w:pPr>
    <w:r>
      <w:rPr>
        <w:rFonts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2E0AA652"/>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40266E6E"/>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00001"/>
    <w:multiLevelType w:val="hybridMultilevel"/>
    <w:tmpl w:val="FA88DDFC"/>
    <w:lvl w:ilvl="0" w:tplc="04150017">
      <w:start w:val="1"/>
      <w:numFmt w:val="lowerLetter"/>
      <w:lvlText w:val="%1)"/>
      <w:lvlJc w:val="left"/>
      <w:pPr>
        <w:tabs>
          <w:tab w:val="num" w:pos="2749"/>
        </w:tabs>
      </w:pPr>
      <w:rPr>
        <w:rFonts w:hint="default"/>
      </w:rPr>
    </w:lvl>
    <w:lvl w:ilvl="1" w:tplc="04150017">
      <w:start w:val="1"/>
      <w:numFmt w:val="lowerLetter"/>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257130A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62BBD95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5"/>
    <w:multiLevelType w:val="hybridMultilevel"/>
    <w:tmpl w:val="436C612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6"/>
    <w:multiLevelType w:val="hybridMultilevel"/>
    <w:tmpl w:val="628C89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7"/>
    <w:multiLevelType w:val="hybridMultilevel"/>
    <w:tmpl w:val="333AB1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0"/>
    <w:multiLevelType w:val="hybridMultilevel"/>
    <w:tmpl w:val="41A6E042"/>
    <w:lvl w:ilvl="0" w:tplc="04150011">
      <w:start w:val="1"/>
      <w:numFmt w:val="decimal"/>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65540"/>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9" w15:restartNumberingAfterBreak="0">
    <w:nsid w:val="00000011"/>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2"/>
    <w:multiLevelType w:val="hybridMultilevel"/>
    <w:tmpl w:val="674C4740"/>
    <w:lvl w:ilvl="0" w:tplc="04150011">
      <w:start w:val="1"/>
      <w:numFmt w:val="decimal"/>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65536"/>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1" w15:restartNumberingAfterBreak="0">
    <w:nsid w:val="00000013"/>
    <w:multiLevelType w:val="hybridMultilevel"/>
    <w:tmpl w:val="107CBADE"/>
    <w:lvl w:ilvl="0" w:tplc="3F1801DE">
      <w:start w:val="1"/>
      <w:numFmt w:val="decimal"/>
      <w:lvlText w:val="%1)"/>
      <w:lvlJc w:val="left"/>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65536"/>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2" w15:restartNumberingAfterBreak="0">
    <w:nsid w:val="00000014"/>
    <w:multiLevelType w:val="hybridMultilevel"/>
    <w:tmpl w:val="2CA88610"/>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6"/>
    <w:multiLevelType w:val="hybridMultilevel"/>
    <w:tmpl w:val="02901D82"/>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7"/>
    <w:multiLevelType w:val="hybridMultilevel"/>
    <w:tmpl w:val="33D616F6"/>
    <w:lvl w:ilvl="0" w:tplc="04150011">
      <w:start w:val="1"/>
      <w:numFmt w:val="decimal"/>
      <w:lvlText w:val="%1)"/>
      <w:lvlJc w:val="left"/>
      <w:rPr>
        <w:rFonts w:hint="default"/>
        <w:spacing w:val="-26"/>
        <w:w w:val="99"/>
        <w:sz w:val="24"/>
        <w:szCs w:val="24"/>
        <w:lang w:val="pl-PL" w:eastAsia="pl-PL" w:bidi="pl-PL"/>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16778240"/>
      <w:numFmt w:val="decimal"/>
      <w:lvlText w:val="ᜀĀᜀĀ"/>
      <w:lvlJc w:val="left"/>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decimal"/>
      <w:lvlText w:val=""/>
      <w:lvlJc w:val="left"/>
    </w:lvl>
  </w:abstractNum>
  <w:abstractNum w:abstractNumId="15" w15:restartNumberingAfterBreak="0">
    <w:nsid w:val="00000019"/>
    <w:multiLevelType w:val="hybridMultilevel"/>
    <w:tmpl w:val="8ABA8A20"/>
    <w:lvl w:ilvl="0" w:tplc="FFFFFFFF">
      <w:start w:val="1"/>
      <w:numFmt w:val="bullet"/>
      <w:lvlText w:val="\endash "/>
      <w:lvlJc w:val="left"/>
    </w:lvl>
    <w:lvl w:ilvl="1" w:tplc="12989578">
      <w:start w:val="1"/>
      <w:numFmt w:val="decimal"/>
      <w:lvlText w:val="%2)"/>
      <w:lvlJc w:val="left"/>
      <w:rPr>
        <w:rFonts w:hint="default"/>
        <w:spacing w:val="-26"/>
        <w:w w:val="99"/>
        <w:sz w:val="24"/>
        <w:szCs w:val="24"/>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A"/>
    <w:multiLevelType w:val="hybridMultilevel"/>
    <w:tmpl w:val="686C708C"/>
    <w:lvl w:ilvl="0" w:tplc="FFFFFFFF">
      <w:start w:val="1"/>
      <w:numFmt w:val="decimal"/>
      <w:lvlText w:val="%1)"/>
      <w:lvlJc w:val="left"/>
    </w:lvl>
    <w:lvl w:ilvl="1" w:tplc="04150017">
      <w:start w:val="1"/>
      <w:numFmt w:val="lowerLetter"/>
      <w:lvlText w:val="%2)"/>
      <w:lvlJc w:val="left"/>
      <w:rPr>
        <w:rFonts w:hint="default"/>
      </w:rPr>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7" w15:restartNumberingAfterBreak="0">
    <w:nsid w:val="0000001B"/>
    <w:multiLevelType w:val="hybridMultilevel"/>
    <w:tmpl w:val="737B8D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D"/>
    <w:multiLevelType w:val="hybridMultilevel"/>
    <w:tmpl w:val="22221A70"/>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E"/>
    <w:multiLevelType w:val="hybridMultilevel"/>
    <w:tmpl w:val="867225FA"/>
    <w:lvl w:ilvl="0" w:tplc="04150011">
      <w:start w:val="1"/>
      <w:numFmt w:val="decimal"/>
      <w:lvlText w:val="%1)"/>
      <w:lvlJc w:val="left"/>
      <w:rPr>
        <w:rFonts w:hint="default"/>
        <w:spacing w:val="-26"/>
        <w:w w:val="99"/>
        <w:sz w:val="24"/>
        <w:szCs w:val="24"/>
        <w:lang w:val="pl-PL" w:eastAsia="pl-PL" w:bidi="pl-PL"/>
      </w:rPr>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0" w15:restartNumberingAfterBreak="0">
    <w:nsid w:val="0000001F"/>
    <w:multiLevelType w:val="hybridMultilevel"/>
    <w:tmpl w:val="087CE01A"/>
    <w:lvl w:ilvl="0" w:tplc="01F8C37A">
      <w:start w:val="1"/>
      <w:numFmt w:val="lowerLetter"/>
      <w:lvlText w:val="%1)"/>
      <w:lvlJc w:val="left"/>
      <w:rPr>
        <w:rFonts w:hint="default"/>
        <w:spacing w:val="-26"/>
        <w:w w:val="99"/>
        <w:sz w:val="24"/>
        <w:szCs w:val="24"/>
        <w:lang w:val="pl-PL" w:eastAsia="pl-PL" w:bidi="pl-PL"/>
      </w:rPr>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1" w15:restartNumberingAfterBreak="0">
    <w:nsid w:val="00000020"/>
    <w:multiLevelType w:val="hybridMultilevel"/>
    <w:tmpl w:val="614FD4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1"/>
    <w:multiLevelType w:val="hybridMultilevel"/>
    <w:tmpl w:val="419AC2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3"/>
    <w:multiLevelType w:val="hybridMultilevel"/>
    <w:tmpl w:val="440BADFC"/>
    <w:lvl w:ilvl="0" w:tplc="FFFFFFFF">
      <w:start w:val="1"/>
      <w:numFmt w:val="bullet"/>
      <w:lvlText w:val="\endash "/>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4"/>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6"/>
    <w:multiLevelType w:val="hybridMultilevel"/>
    <w:tmpl w:val="B372BB6A"/>
    <w:lvl w:ilvl="0" w:tplc="D0027EF2">
      <w:start w:val="1"/>
      <w:numFmt w:val="lowerLetter"/>
      <w:lvlText w:val="%1)"/>
      <w:lvlJc w:val="left"/>
      <w:rPr>
        <w:rFonts w:ascii="Times New Roman" w:eastAsia="Times New Roman" w:hAnsi="Times New Roman" w:cs="Times New Roman" w:hint="default"/>
        <w:spacing w:val="-26"/>
        <w:w w:val="99"/>
        <w:sz w:val="24"/>
        <w:szCs w:val="24"/>
      </w:rPr>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40"/>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6" w15:restartNumberingAfterBreak="0">
    <w:nsid w:val="00000032"/>
    <w:multiLevelType w:val="hybridMultilevel"/>
    <w:tmpl w:val="C046C2E2"/>
    <w:lvl w:ilvl="0" w:tplc="3866F540">
      <w:start w:val="1"/>
      <w:numFmt w:val="decimal"/>
      <w:lvlText w:val="%1)"/>
      <w:lvlJc w:val="left"/>
    </w:lvl>
    <w:lvl w:ilvl="1" w:tplc="04150017">
      <w:start w:val="1"/>
      <w:numFmt w:val="lowerLetter"/>
      <w:pStyle w:val="StylwyliczanieZnak"/>
      <w:lvlText w:val="%2)"/>
      <w:lvlJc w:val="left"/>
      <w:rPr>
        <w:rFonts w:hint="default"/>
      </w:rPr>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7" w15:restartNumberingAfterBreak="0">
    <w:nsid w:val="00000034"/>
    <w:multiLevelType w:val="hybridMultilevel"/>
    <w:tmpl w:val="5BBCC006"/>
    <w:lvl w:ilvl="0" w:tplc="04150011">
      <w:start w:val="1"/>
      <w:numFmt w:val="decimal"/>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val=""/>
      <w:lvlJc w:val="left"/>
    </w:lvl>
    <w:lvl w:ilvl="7" w:tplc="FFFFFFFF">
      <w:start w:val="65538"/>
      <w:numFmt w:val="decimal"/>
      <w:lvlText w:val=""/>
      <w:lvlJc w:val="left"/>
    </w:lvl>
    <w:lvl w:ilvl="8" w:tplc="FFFFFFFF">
      <w:start w:val="5888"/>
      <w:numFmt w:val="decimal"/>
      <w:lvlText w:val=""/>
      <w:lvlJc w:val="left"/>
    </w:lvl>
  </w:abstractNum>
  <w:abstractNum w:abstractNumId="28" w15:restartNumberingAfterBreak="0">
    <w:nsid w:val="00000040"/>
    <w:multiLevelType w:val="hybridMultilevel"/>
    <w:tmpl w:val="F40E6FF4"/>
    <w:lvl w:ilvl="0" w:tplc="91BC5A6C">
      <w:start w:val="1"/>
      <w:numFmt w:val="lowerLetter"/>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9" w15:restartNumberingAfterBreak="0">
    <w:nsid w:val="00000042"/>
    <w:multiLevelType w:val="hybridMultilevel"/>
    <w:tmpl w:val="FB965DA4"/>
    <w:lvl w:ilvl="0" w:tplc="04150011">
      <w:start w:val="1"/>
      <w:numFmt w:val="decimal"/>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0" w15:restartNumberingAfterBreak="0">
    <w:nsid w:val="00000045"/>
    <w:multiLevelType w:val="hybridMultilevel"/>
    <w:tmpl w:val="27E4C32A"/>
    <w:lvl w:ilvl="0" w:tplc="04150011">
      <w:start w:val="1"/>
      <w:numFmt w:val="decimal"/>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1" w15:restartNumberingAfterBreak="0">
    <w:nsid w:val="00000051"/>
    <w:multiLevelType w:val="hybridMultilevel"/>
    <w:tmpl w:val="859E90A4"/>
    <w:lvl w:ilvl="0" w:tplc="04150011">
      <w:start w:val="1"/>
      <w:numFmt w:val="decimal"/>
      <w:lvlText w:val="%1)"/>
      <w:lvlJc w:val="left"/>
    </w:lvl>
    <w:lvl w:ilvl="1" w:tplc="FFFFFFFF">
      <w:start w:val="65540"/>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2" w15:restartNumberingAfterBreak="0">
    <w:nsid w:val="00000052"/>
    <w:multiLevelType w:val="hybridMultilevel"/>
    <w:tmpl w:val="75F819CC"/>
    <w:lvl w:ilvl="0" w:tplc="943C5DA8">
      <w:start w:val="1"/>
      <w:numFmt w:val="decimal"/>
      <w:lvlText w:val="%1)"/>
      <w:lvlJc w:val="left"/>
    </w:lvl>
    <w:lvl w:ilvl="1" w:tplc="FFFFFFFF">
      <w:start w:val="65540"/>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3" w15:restartNumberingAfterBreak="0">
    <w:nsid w:val="00000055"/>
    <w:multiLevelType w:val="hybridMultilevel"/>
    <w:tmpl w:val="4FCE25BC"/>
    <w:lvl w:ilvl="0" w:tplc="04150011">
      <w:start w:val="1"/>
      <w:numFmt w:val="decimal"/>
      <w:lvlText w:val="%1)"/>
      <w:lvlJc w:val="left"/>
    </w:lvl>
    <w:lvl w:ilvl="1" w:tplc="FFFFFFFF">
      <w:start w:val="16778240"/>
      <w:numFmt w:val="decimal"/>
      <w:lvlText w:val="ᜀĀᜀĀ"/>
      <w:lvlJc w:val="left"/>
    </w:lvl>
    <w:lvl w:ilvl="2" w:tplc="FFFFFFFF">
      <w:start w:val="5888"/>
      <w:numFmt w:val="decimal"/>
      <w:isLgl/>
      <w:lvlText w:val="ĀᜀĀᜀ"/>
      <w:lvlJc w:val="left"/>
    </w:lvl>
    <w:lvl w:ilvl="3" w:tplc="FFFFFFFF">
      <w:start w:val="16777216"/>
      <w:numFmt w:val="decimal"/>
      <w:lvlText w:val=""/>
      <w:lvlJc w:val="left"/>
    </w:lvl>
    <w:lvl w:ilvl="4" w:tplc="FFFFFFFF">
      <w:start w:val="512"/>
      <w:numFmt w:val="decimal"/>
      <w:lvlRestart w:val="0"/>
      <w:lvlText w:val=""/>
      <w:lvlJc w:val="cente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056"/>
    <w:multiLevelType w:val="hybridMultilevel"/>
    <w:tmpl w:val="C90EC668"/>
    <w:lvl w:ilvl="0" w:tplc="0415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5" w15:restartNumberingAfterBreak="0">
    <w:nsid w:val="00000058"/>
    <w:multiLevelType w:val="hybridMultilevel"/>
    <w:tmpl w:val="461C239A"/>
    <w:lvl w:ilvl="0" w:tplc="9F2E48DA">
      <w:start w:val="1"/>
      <w:numFmt w:val="decimal"/>
      <w:lvlText w:val="%1)"/>
      <w:lvlJc w:val="left"/>
    </w:lvl>
    <w:lvl w:ilvl="1" w:tplc="FFFFFFFF">
      <w:numFmt w:val="decimal"/>
      <w:suff w:val="space"/>
      <w:lvlText w:val=""/>
      <w:lvlJc w:val="left"/>
    </w:lvl>
    <w:lvl w:ilvl="2" w:tplc="FFFFFFFF">
      <w:numFmt w:val="decimal"/>
      <w:suff w:val="space"/>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05A"/>
    <w:multiLevelType w:val="hybridMultilevel"/>
    <w:tmpl w:val="0CF6B59C"/>
    <w:lvl w:ilvl="0" w:tplc="04150011">
      <w:start w:val="1"/>
      <w:numFmt w:val="decimal"/>
      <w:lvlText w:val="%1)"/>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5B"/>
    <w:multiLevelType w:val="hybridMultilevel"/>
    <w:tmpl w:val="10DABAEE"/>
    <w:lvl w:ilvl="0" w:tplc="0415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Ȁ⤀ĀᜀĀᜀ"/>
      <w:lvlJc w:val="left"/>
    </w:lvl>
    <w:lvl w:ilvl="4" w:tplc="FFFFFFFF">
      <w:start w:val="385875968"/>
      <w:numFmt w:val="decimal"/>
      <w:lvlText w:val="ЀĀȀ⤀ȀЀĀȀ"/>
      <w:lvlJc w:val="left"/>
    </w:lvl>
    <w:lvl w:ilvl="5" w:tplc="FFFFFFFF">
      <w:numFmt w:val="decimal"/>
      <w:lvlText w:val=""/>
      <w:lvlJc w:val="left"/>
    </w:lvl>
    <w:lvl w:ilvl="6" w:tplc="FFFFFFFF">
      <w:numFmt w:val="decimal"/>
      <w:suff w:val="space"/>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05C"/>
    <w:multiLevelType w:val="hybridMultilevel"/>
    <w:tmpl w:val="53B83C1A"/>
    <w:lvl w:ilvl="0" w:tplc="0415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none"/>
      <w:lvlText w:val=""/>
      <w:lvlJc w:val="left"/>
      <w:pPr>
        <w:tabs>
          <w:tab w:val="num" w:pos="360"/>
        </w:tabs>
      </w:pPr>
    </w:lvl>
    <w:lvl w:ilvl="8" w:tplc="FFFFFFFF">
      <w:numFmt w:val="decimal"/>
      <w:lvlText w:val=""/>
      <w:lvlJc w:val="left"/>
    </w:lvl>
  </w:abstractNum>
  <w:abstractNum w:abstractNumId="39" w15:restartNumberingAfterBreak="0">
    <w:nsid w:val="0000005D"/>
    <w:multiLevelType w:val="hybridMultilevel"/>
    <w:tmpl w:val="7EE81CF6"/>
    <w:lvl w:ilvl="0" w:tplc="0415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suff w:val="nothing"/>
      <w:lvlText w:val=""/>
      <w:lvlJc w:val="left"/>
    </w:lvl>
    <w:lvl w:ilvl="8" w:tplc="FFFFFFFF">
      <w:start w:val="23"/>
      <w:numFmt w:val="decimal"/>
      <w:lvlText w:val=""/>
      <w:lvlJc w:val="left"/>
    </w:lvl>
  </w:abstractNum>
  <w:abstractNum w:abstractNumId="40" w15:restartNumberingAfterBreak="0">
    <w:nsid w:val="00000062"/>
    <w:multiLevelType w:val="hybridMultilevel"/>
    <w:tmpl w:val="796C907C"/>
    <w:lvl w:ilvl="0" w:tplc="04150011">
      <w:start w:val="1"/>
      <w:numFmt w:val="decimal"/>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40"/>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1" w15:restartNumberingAfterBreak="0">
    <w:nsid w:val="00000063"/>
    <w:multiLevelType w:val="hybridMultilevel"/>
    <w:tmpl w:val="02585DD8"/>
    <w:lvl w:ilvl="0" w:tplc="04150011">
      <w:start w:val="1"/>
      <w:numFmt w:val="decimal"/>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40"/>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2" w15:restartNumberingAfterBreak="0">
    <w:nsid w:val="00000065"/>
    <w:multiLevelType w:val="hybridMultilevel"/>
    <w:tmpl w:val="C1E026AC"/>
    <w:lvl w:ilvl="0" w:tplc="04150011">
      <w:start w:val="1"/>
      <w:numFmt w:val="decimal"/>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40"/>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3" w15:restartNumberingAfterBreak="0">
    <w:nsid w:val="00000066"/>
    <w:multiLevelType w:val="hybridMultilevel"/>
    <w:tmpl w:val="481487F8"/>
    <w:lvl w:ilvl="0" w:tplc="04150011">
      <w:start w:val="1"/>
      <w:numFmt w:val="decimal"/>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numFmt w:val="none"/>
      <w:lvlText w:val=""/>
      <w:lvlJc w:val="left"/>
      <w:pPr>
        <w:tabs>
          <w:tab w:val="num" w:pos="360"/>
        </w:tabs>
      </w:pPr>
    </w:lvl>
    <w:lvl w:ilvl="7" w:tplc="FFFFFFFF">
      <w:start w:val="5888"/>
      <w:numFmt w:val="decimal"/>
      <w:lvlText w:val=""/>
      <w:lvlJc w:val="left"/>
    </w:lvl>
    <w:lvl w:ilvl="8" w:tplc="FFFFFFFF">
      <w:start w:val="5888"/>
      <w:numFmt w:val="decimal"/>
      <w:lvlText w:val=""/>
      <w:lvlJc w:val="left"/>
    </w:lvl>
  </w:abstractNum>
  <w:abstractNum w:abstractNumId="44" w15:restartNumberingAfterBreak="0">
    <w:nsid w:val="00000067"/>
    <w:multiLevelType w:val="hybridMultilevel"/>
    <w:tmpl w:val="23528768"/>
    <w:lvl w:ilvl="0" w:tplc="04150017">
      <w:start w:val="1"/>
      <w:numFmt w:val="lowerLetter"/>
      <w:lvlText w:val="%1)"/>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16778240"/>
      <w:numFmt w:val="decimal"/>
      <w:lvlText w:val="ᜀĀᜀĀ"/>
      <w:lvlJc w:val="left"/>
    </w:lvl>
    <w:lvl w:ilvl="7" w:tplc="FFFFFFFF">
      <w:start w:val="256"/>
      <w:numFmt w:val="decimal"/>
      <w:isLgl/>
      <w:lvlText w:val="⤀ĀᜀĀᜀ"/>
      <w:lvlJc w:val="left"/>
    </w:lvl>
    <w:lvl w:ilvl="8" w:tplc="FFFFFFFF">
      <w:numFmt w:val="decimal"/>
      <w:lvlText w:val=""/>
      <w:lvlJc w:val="left"/>
    </w:lvl>
  </w:abstractNum>
  <w:abstractNum w:abstractNumId="45" w15:restartNumberingAfterBreak="0">
    <w:nsid w:val="00000095"/>
    <w:multiLevelType w:val="hybridMultilevel"/>
    <w:tmpl w:val="BF9A10C4"/>
    <w:lvl w:ilvl="0" w:tplc="04150017">
      <w:start w:val="1"/>
      <w:numFmt w:val="lowerLetter"/>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40"/>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6" w15:restartNumberingAfterBreak="0">
    <w:nsid w:val="00000096"/>
    <w:multiLevelType w:val="hybridMultilevel"/>
    <w:tmpl w:val="2FDC7CB6"/>
    <w:lvl w:ilvl="0" w:tplc="04150017">
      <w:start w:val="1"/>
      <w:numFmt w:val="lowerLetter"/>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40"/>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7" w15:restartNumberingAfterBreak="0">
    <w:nsid w:val="0000009C"/>
    <w:multiLevelType w:val="hybridMultilevel"/>
    <w:tmpl w:val="CE2C147C"/>
    <w:lvl w:ilvl="0" w:tplc="04150017">
      <w:start w:val="1"/>
      <w:numFmt w:val="lowerLetter"/>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65536"/>
      <w:numFmt w:val="decimal"/>
      <w:lvlText w:val=""/>
      <w:lvlJc w:val="left"/>
    </w:lvl>
  </w:abstractNum>
  <w:abstractNum w:abstractNumId="48" w15:restartNumberingAfterBreak="0">
    <w:nsid w:val="0000009D"/>
    <w:multiLevelType w:val="hybridMultilevel"/>
    <w:tmpl w:val="B552C254"/>
    <w:lvl w:ilvl="0" w:tplc="04150017">
      <w:start w:val="1"/>
      <w:numFmt w:val="lowerLetter"/>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65536"/>
      <w:numFmt w:val="decimal"/>
      <w:lvlText w:val=""/>
      <w:lvlJc w:val="left"/>
    </w:lvl>
  </w:abstractNum>
  <w:abstractNum w:abstractNumId="49" w15:restartNumberingAfterBreak="0">
    <w:nsid w:val="0000009F"/>
    <w:multiLevelType w:val="hybridMultilevel"/>
    <w:tmpl w:val="48A2F270"/>
    <w:lvl w:ilvl="0" w:tplc="04150017">
      <w:start w:val="1"/>
      <w:numFmt w:val="lowerLetter"/>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65536"/>
      <w:numFmt w:val="decimal"/>
      <w:lvlText w:val=""/>
      <w:lvlJc w:val="left"/>
    </w:lvl>
  </w:abstractNum>
  <w:abstractNum w:abstractNumId="50" w15:restartNumberingAfterBreak="0">
    <w:nsid w:val="000000AA"/>
    <w:multiLevelType w:val="hybridMultilevel"/>
    <w:tmpl w:val="46849E14"/>
    <w:lvl w:ilvl="0" w:tplc="04150017">
      <w:start w:val="1"/>
      <w:numFmt w:val="lowerLetter"/>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65538"/>
      <w:numFmt w:val="decimal"/>
      <w:lvlText w:val=""/>
      <w:lvlJc w:val="left"/>
    </w:lvl>
  </w:abstractNum>
  <w:abstractNum w:abstractNumId="51" w15:restartNumberingAfterBreak="0">
    <w:nsid w:val="000000AB"/>
    <w:multiLevelType w:val="hybridMultilevel"/>
    <w:tmpl w:val="9BA2114A"/>
    <w:lvl w:ilvl="0" w:tplc="04150017">
      <w:start w:val="1"/>
      <w:numFmt w:val="lowerLetter"/>
      <w:lvlText w:val="%1)"/>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16777216"/>
      <w:numFmt w:val="decimal"/>
      <w:lvlText w:val="ᜀĀᜀĀ"/>
      <w:lvlJc w:val="left"/>
    </w:lvl>
  </w:abstractNum>
  <w:abstractNum w:abstractNumId="52" w15:restartNumberingAfterBreak="0">
    <w:nsid w:val="00183B7F"/>
    <w:multiLevelType w:val="hybridMultilevel"/>
    <w:tmpl w:val="55AAD126"/>
    <w:lvl w:ilvl="0" w:tplc="90CC7CBE">
      <w:start w:val="1"/>
      <w:numFmt w:val="lowerLetter"/>
      <w:lvlText w:val="%1)"/>
      <w:lvlJc w:val="left"/>
      <w:pPr>
        <w:ind w:left="720" w:hanging="360"/>
      </w:pPr>
      <w:rPr>
        <w:rFonts w:hint="default"/>
      </w:rPr>
    </w:lvl>
    <w:lvl w:ilvl="1" w:tplc="320A0DE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02F3BD9"/>
    <w:multiLevelType w:val="hybridMultilevel"/>
    <w:tmpl w:val="BA6C6CBA"/>
    <w:lvl w:ilvl="0" w:tplc="A738AF86">
      <w:start w:val="1"/>
      <w:numFmt w:val="decimal"/>
      <w:lvlText w:val="%1)"/>
      <w:lvlJc w:val="left"/>
      <w:pPr>
        <w:ind w:left="557" w:hanging="425"/>
      </w:pPr>
      <w:rPr>
        <w:rFonts w:ascii="Times New Roman" w:eastAsia="Times New Roman" w:hAnsi="Times New Roman" w:cs="Times New Roman" w:hint="default"/>
        <w:i w:val="0"/>
        <w:spacing w:val="-5"/>
        <w:w w:val="99"/>
        <w:sz w:val="24"/>
        <w:szCs w:val="24"/>
        <w:lang w:val="pl-PL" w:eastAsia="pl-PL" w:bidi="pl-PL"/>
      </w:rPr>
    </w:lvl>
    <w:lvl w:ilvl="1" w:tplc="247E7C8C">
      <w:start w:val="1"/>
      <w:numFmt w:val="lowerLetter"/>
      <w:lvlText w:val="%2)"/>
      <w:lvlJc w:val="left"/>
      <w:pPr>
        <w:ind w:left="912" w:hanging="360"/>
      </w:pPr>
      <w:rPr>
        <w:rFonts w:ascii="Times New Roman" w:eastAsia="Times New Roman" w:hAnsi="Times New Roman" w:cs="Times New Roman" w:hint="default"/>
        <w:spacing w:val="-28"/>
        <w:w w:val="99"/>
        <w:sz w:val="24"/>
        <w:szCs w:val="24"/>
        <w:lang w:val="pl-PL" w:eastAsia="pl-PL" w:bidi="pl-PL"/>
      </w:rPr>
    </w:lvl>
    <w:lvl w:ilvl="2" w:tplc="85DCC974">
      <w:numFmt w:val="bullet"/>
      <w:lvlText w:val="•"/>
      <w:lvlJc w:val="left"/>
      <w:pPr>
        <w:ind w:left="1784" w:hanging="360"/>
      </w:pPr>
      <w:rPr>
        <w:rFonts w:hint="default"/>
        <w:lang w:val="pl-PL" w:eastAsia="pl-PL" w:bidi="pl-PL"/>
      </w:rPr>
    </w:lvl>
    <w:lvl w:ilvl="3" w:tplc="0AA602C4">
      <w:numFmt w:val="bullet"/>
      <w:lvlText w:val="•"/>
      <w:lvlJc w:val="left"/>
      <w:pPr>
        <w:ind w:left="2649" w:hanging="360"/>
      </w:pPr>
      <w:rPr>
        <w:rFonts w:hint="default"/>
        <w:lang w:val="pl-PL" w:eastAsia="pl-PL" w:bidi="pl-PL"/>
      </w:rPr>
    </w:lvl>
    <w:lvl w:ilvl="4" w:tplc="7D7681D6">
      <w:numFmt w:val="bullet"/>
      <w:lvlText w:val="•"/>
      <w:lvlJc w:val="left"/>
      <w:pPr>
        <w:ind w:left="3513" w:hanging="360"/>
      </w:pPr>
      <w:rPr>
        <w:rFonts w:hint="default"/>
        <w:lang w:val="pl-PL" w:eastAsia="pl-PL" w:bidi="pl-PL"/>
      </w:rPr>
    </w:lvl>
    <w:lvl w:ilvl="5" w:tplc="4C68A22A">
      <w:numFmt w:val="bullet"/>
      <w:lvlText w:val="•"/>
      <w:lvlJc w:val="left"/>
      <w:pPr>
        <w:ind w:left="4378" w:hanging="360"/>
      </w:pPr>
      <w:rPr>
        <w:rFonts w:hint="default"/>
        <w:lang w:val="pl-PL" w:eastAsia="pl-PL" w:bidi="pl-PL"/>
      </w:rPr>
    </w:lvl>
    <w:lvl w:ilvl="6" w:tplc="93DAB4FE">
      <w:numFmt w:val="bullet"/>
      <w:lvlText w:val="•"/>
      <w:lvlJc w:val="left"/>
      <w:pPr>
        <w:ind w:left="5242" w:hanging="360"/>
      </w:pPr>
      <w:rPr>
        <w:rFonts w:hint="default"/>
        <w:lang w:val="pl-PL" w:eastAsia="pl-PL" w:bidi="pl-PL"/>
      </w:rPr>
    </w:lvl>
    <w:lvl w:ilvl="7" w:tplc="00564BB0">
      <w:numFmt w:val="bullet"/>
      <w:lvlText w:val="•"/>
      <w:lvlJc w:val="left"/>
      <w:pPr>
        <w:ind w:left="6107" w:hanging="360"/>
      </w:pPr>
      <w:rPr>
        <w:rFonts w:hint="default"/>
        <w:lang w:val="pl-PL" w:eastAsia="pl-PL" w:bidi="pl-PL"/>
      </w:rPr>
    </w:lvl>
    <w:lvl w:ilvl="8" w:tplc="0CF44C42">
      <w:numFmt w:val="bullet"/>
      <w:lvlText w:val="•"/>
      <w:lvlJc w:val="left"/>
      <w:pPr>
        <w:ind w:left="6971" w:hanging="360"/>
      </w:pPr>
      <w:rPr>
        <w:rFonts w:hint="default"/>
        <w:lang w:val="pl-PL" w:eastAsia="pl-PL" w:bidi="pl-PL"/>
      </w:rPr>
    </w:lvl>
  </w:abstractNum>
  <w:abstractNum w:abstractNumId="54" w15:restartNumberingAfterBreak="0">
    <w:nsid w:val="009F1474"/>
    <w:multiLevelType w:val="hybridMultilevel"/>
    <w:tmpl w:val="D11A60DA"/>
    <w:lvl w:ilvl="0" w:tplc="716CE0E2">
      <w:start w:val="8"/>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0B836A3"/>
    <w:multiLevelType w:val="hybridMultilevel"/>
    <w:tmpl w:val="AD38D5D4"/>
    <w:lvl w:ilvl="0" w:tplc="1B2CB7DA">
      <w:start w:val="1"/>
      <w:numFmt w:val="decimal"/>
      <w:lvlText w:val="II.3.3.%1."/>
      <w:lvlJc w:val="left"/>
      <w:pPr>
        <w:ind w:left="72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0B957BE"/>
    <w:multiLevelType w:val="hybridMultilevel"/>
    <w:tmpl w:val="03A0853C"/>
    <w:lvl w:ilvl="0" w:tplc="B29A6F8C">
      <w:start w:val="1"/>
      <w:numFmt w:val="decimal"/>
      <w:lvlText w:val="%1."/>
      <w:lvlJc w:val="left"/>
      <w:pPr>
        <w:ind w:left="1576" w:hanging="343"/>
      </w:pPr>
      <w:rPr>
        <w:rFonts w:ascii="Times New Roman" w:eastAsia="Times New Roman" w:hAnsi="Times New Roman" w:cs="Times New Roman" w:hint="default"/>
        <w:color w:val="525252"/>
        <w:w w:val="105"/>
        <w:sz w:val="24"/>
        <w:szCs w:val="24"/>
      </w:rPr>
    </w:lvl>
    <w:lvl w:ilvl="1" w:tplc="A420CDF4">
      <w:numFmt w:val="bullet"/>
      <w:lvlText w:val="•"/>
      <w:lvlJc w:val="left"/>
      <w:pPr>
        <w:ind w:left="2380" w:hanging="343"/>
      </w:pPr>
      <w:rPr>
        <w:rFonts w:hint="default"/>
      </w:rPr>
    </w:lvl>
    <w:lvl w:ilvl="2" w:tplc="93EC62DA">
      <w:numFmt w:val="bullet"/>
      <w:lvlText w:val="•"/>
      <w:lvlJc w:val="left"/>
      <w:pPr>
        <w:ind w:left="3180" w:hanging="343"/>
      </w:pPr>
      <w:rPr>
        <w:rFonts w:hint="default"/>
      </w:rPr>
    </w:lvl>
    <w:lvl w:ilvl="3" w:tplc="9BC69906">
      <w:numFmt w:val="bullet"/>
      <w:lvlText w:val="•"/>
      <w:lvlJc w:val="left"/>
      <w:pPr>
        <w:ind w:left="3980" w:hanging="343"/>
      </w:pPr>
      <w:rPr>
        <w:rFonts w:hint="default"/>
      </w:rPr>
    </w:lvl>
    <w:lvl w:ilvl="4" w:tplc="EF7C1A08">
      <w:numFmt w:val="bullet"/>
      <w:lvlText w:val="•"/>
      <w:lvlJc w:val="left"/>
      <w:pPr>
        <w:ind w:left="4780" w:hanging="343"/>
      </w:pPr>
      <w:rPr>
        <w:rFonts w:hint="default"/>
      </w:rPr>
    </w:lvl>
    <w:lvl w:ilvl="5" w:tplc="10D03EB0">
      <w:numFmt w:val="bullet"/>
      <w:lvlText w:val="•"/>
      <w:lvlJc w:val="left"/>
      <w:pPr>
        <w:ind w:left="5580" w:hanging="343"/>
      </w:pPr>
      <w:rPr>
        <w:rFonts w:hint="default"/>
      </w:rPr>
    </w:lvl>
    <w:lvl w:ilvl="6" w:tplc="39F82E8A">
      <w:numFmt w:val="bullet"/>
      <w:lvlText w:val="•"/>
      <w:lvlJc w:val="left"/>
      <w:pPr>
        <w:ind w:left="6380" w:hanging="343"/>
      </w:pPr>
      <w:rPr>
        <w:rFonts w:hint="default"/>
      </w:rPr>
    </w:lvl>
    <w:lvl w:ilvl="7" w:tplc="C0F285D2">
      <w:numFmt w:val="bullet"/>
      <w:lvlText w:val="•"/>
      <w:lvlJc w:val="left"/>
      <w:pPr>
        <w:ind w:left="7180" w:hanging="343"/>
      </w:pPr>
      <w:rPr>
        <w:rFonts w:hint="default"/>
      </w:rPr>
    </w:lvl>
    <w:lvl w:ilvl="8" w:tplc="53D695A2">
      <w:numFmt w:val="bullet"/>
      <w:lvlText w:val="•"/>
      <w:lvlJc w:val="left"/>
      <w:pPr>
        <w:ind w:left="7980" w:hanging="343"/>
      </w:pPr>
      <w:rPr>
        <w:rFonts w:hint="default"/>
      </w:rPr>
    </w:lvl>
  </w:abstractNum>
  <w:abstractNum w:abstractNumId="57" w15:restartNumberingAfterBreak="0">
    <w:nsid w:val="01106752"/>
    <w:multiLevelType w:val="hybridMultilevel"/>
    <w:tmpl w:val="17B0365A"/>
    <w:lvl w:ilvl="0" w:tplc="70A845C4">
      <w:start w:val="5"/>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1607F0C"/>
    <w:multiLevelType w:val="hybridMultilevel"/>
    <w:tmpl w:val="52E82430"/>
    <w:lvl w:ilvl="0" w:tplc="CDACEB00">
      <w:start w:val="1"/>
      <w:numFmt w:val="decimal"/>
      <w:lvlText w:val="11.2.%1."/>
      <w:lvlJc w:val="left"/>
      <w:pPr>
        <w:ind w:left="856" w:hanging="360"/>
      </w:pPr>
      <w:rPr>
        <w:rFonts w:hint="default"/>
      </w:rPr>
    </w:lvl>
    <w:lvl w:ilvl="1" w:tplc="04150019" w:tentative="1">
      <w:start w:val="1"/>
      <w:numFmt w:val="lowerLetter"/>
      <w:lvlText w:val="%2."/>
      <w:lvlJc w:val="left"/>
      <w:pPr>
        <w:ind w:left="1576" w:hanging="360"/>
      </w:pPr>
    </w:lvl>
    <w:lvl w:ilvl="2" w:tplc="0415001B" w:tentative="1">
      <w:start w:val="1"/>
      <w:numFmt w:val="lowerRoman"/>
      <w:lvlText w:val="%3."/>
      <w:lvlJc w:val="right"/>
      <w:pPr>
        <w:ind w:left="2296" w:hanging="180"/>
      </w:pPr>
    </w:lvl>
    <w:lvl w:ilvl="3" w:tplc="0415000F" w:tentative="1">
      <w:start w:val="1"/>
      <w:numFmt w:val="decimal"/>
      <w:lvlText w:val="%4."/>
      <w:lvlJc w:val="left"/>
      <w:pPr>
        <w:ind w:left="3016" w:hanging="360"/>
      </w:pPr>
    </w:lvl>
    <w:lvl w:ilvl="4" w:tplc="04150019" w:tentative="1">
      <w:start w:val="1"/>
      <w:numFmt w:val="lowerLetter"/>
      <w:lvlText w:val="%5."/>
      <w:lvlJc w:val="left"/>
      <w:pPr>
        <w:ind w:left="3736" w:hanging="360"/>
      </w:pPr>
    </w:lvl>
    <w:lvl w:ilvl="5" w:tplc="0415001B" w:tentative="1">
      <w:start w:val="1"/>
      <w:numFmt w:val="lowerRoman"/>
      <w:lvlText w:val="%6."/>
      <w:lvlJc w:val="right"/>
      <w:pPr>
        <w:ind w:left="4456" w:hanging="180"/>
      </w:pPr>
    </w:lvl>
    <w:lvl w:ilvl="6" w:tplc="0415000F" w:tentative="1">
      <w:start w:val="1"/>
      <w:numFmt w:val="decimal"/>
      <w:lvlText w:val="%7."/>
      <w:lvlJc w:val="left"/>
      <w:pPr>
        <w:ind w:left="5176" w:hanging="360"/>
      </w:pPr>
    </w:lvl>
    <w:lvl w:ilvl="7" w:tplc="04150019" w:tentative="1">
      <w:start w:val="1"/>
      <w:numFmt w:val="lowerLetter"/>
      <w:lvlText w:val="%8."/>
      <w:lvlJc w:val="left"/>
      <w:pPr>
        <w:ind w:left="5896" w:hanging="360"/>
      </w:pPr>
    </w:lvl>
    <w:lvl w:ilvl="8" w:tplc="0415001B" w:tentative="1">
      <w:start w:val="1"/>
      <w:numFmt w:val="lowerRoman"/>
      <w:lvlText w:val="%9."/>
      <w:lvlJc w:val="right"/>
      <w:pPr>
        <w:ind w:left="6616" w:hanging="180"/>
      </w:pPr>
    </w:lvl>
  </w:abstractNum>
  <w:abstractNum w:abstractNumId="59" w15:restartNumberingAfterBreak="0">
    <w:nsid w:val="01986422"/>
    <w:multiLevelType w:val="hybridMultilevel"/>
    <w:tmpl w:val="93D01148"/>
    <w:lvl w:ilvl="0" w:tplc="23A6F8E8">
      <w:start w:val="1"/>
      <w:numFmt w:val="decimal"/>
      <w:lvlText w:val="(%1)"/>
      <w:lvlJc w:val="left"/>
      <w:pPr>
        <w:ind w:left="1562" w:hanging="360"/>
      </w:pPr>
      <w:rPr>
        <w:rFonts w:hint="default"/>
      </w:rPr>
    </w:lvl>
    <w:lvl w:ilvl="1" w:tplc="1584D5A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1BD6AFB"/>
    <w:multiLevelType w:val="hybridMultilevel"/>
    <w:tmpl w:val="E01AC7D2"/>
    <w:lvl w:ilvl="0" w:tplc="38A8F852">
      <w:start w:val="1"/>
      <w:numFmt w:val="decimal"/>
      <w:lvlText w:val="%1."/>
      <w:lvlJc w:val="left"/>
      <w:pPr>
        <w:ind w:left="1592" w:hanging="340"/>
      </w:pPr>
      <w:rPr>
        <w:rFonts w:ascii="Times New Roman" w:eastAsia="Times New Roman" w:hAnsi="Times New Roman" w:cs="Times New Roman" w:hint="default"/>
        <w:color w:val="545454"/>
        <w:w w:val="105"/>
        <w:sz w:val="22"/>
        <w:szCs w:val="22"/>
      </w:rPr>
    </w:lvl>
    <w:lvl w:ilvl="1" w:tplc="EE4A26A2">
      <w:numFmt w:val="bullet"/>
      <w:lvlText w:val="•"/>
      <w:lvlJc w:val="left"/>
      <w:pPr>
        <w:ind w:left="2398" w:hanging="340"/>
      </w:pPr>
      <w:rPr>
        <w:rFonts w:hint="default"/>
      </w:rPr>
    </w:lvl>
    <w:lvl w:ilvl="2" w:tplc="64FA5D8C">
      <w:numFmt w:val="bullet"/>
      <w:lvlText w:val="•"/>
      <w:lvlJc w:val="left"/>
      <w:pPr>
        <w:ind w:left="3196" w:hanging="340"/>
      </w:pPr>
      <w:rPr>
        <w:rFonts w:hint="default"/>
      </w:rPr>
    </w:lvl>
    <w:lvl w:ilvl="3" w:tplc="45D0B640">
      <w:numFmt w:val="bullet"/>
      <w:lvlText w:val="•"/>
      <w:lvlJc w:val="left"/>
      <w:pPr>
        <w:ind w:left="3994" w:hanging="340"/>
      </w:pPr>
      <w:rPr>
        <w:rFonts w:hint="default"/>
      </w:rPr>
    </w:lvl>
    <w:lvl w:ilvl="4" w:tplc="30B28036">
      <w:numFmt w:val="bullet"/>
      <w:lvlText w:val="•"/>
      <w:lvlJc w:val="left"/>
      <w:pPr>
        <w:ind w:left="4792" w:hanging="340"/>
      </w:pPr>
      <w:rPr>
        <w:rFonts w:hint="default"/>
      </w:rPr>
    </w:lvl>
    <w:lvl w:ilvl="5" w:tplc="133A0C44">
      <w:numFmt w:val="bullet"/>
      <w:lvlText w:val="•"/>
      <w:lvlJc w:val="left"/>
      <w:pPr>
        <w:ind w:left="5590" w:hanging="340"/>
      </w:pPr>
      <w:rPr>
        <w:rFonts w:hint="default"/>
      </w:rPr>
    </w:lvl>
    <w:lvl w:ilvl="6" w:tplc="1242B676">
      <w:numFmt w:val="bullet"/>
      <w:lvlText w:val="•"/>
      <w:lvlJc w:val="left"/>
      <w:pPr>
        <w:ind w:left="6388" w:hanging="340"/>
      </w:pPr>
      <w:rPr>
        <w:rFonts w:hint="default"/>
      </w:rPr>
    </w:lvl>
    <w:lvl w:ilvl="7" w:tplc="7BF028F8">
      <w:numFmt w:val="bullet"/>
      <w:lvlText w:val="•"/>
      <w:lvlJc w:val="left"/>
      <w:pPr>
        <w:ind w:left="7186" w:hanging="340"/>
      </w:pPr>
      <w:rPr>
        <w:rFonts w:hint="default"/>
      </w:rPr>
    </w:lvl>
    <w:lvl w:ilvl="8" w:tplc="3AC60626">
      <w:numFmt w:val="bullet"/>
      <w:lvlText w:val="•"/>
      <w:lvlJc w:val="left"/>
      <w:pPr>
        <w:ind w:left="7984" w:hanging="340"/>
      </w:pPr>
      <w:rPr>
        <w:rFonts w:hint="default"/>
      </w:rPr>
    </w:lvl>
  </w:abstractNum>
  <w:abstractNum w:abstractNumId="61" w15:restartNumberingAfterBreak="0">
    <w:nsid w:val="01C35663"/>
    <w:multiLevelType w:val="hybridMultilevel"/>
    <w:tmpl w:val="B26AFF42"/>
    <w:lvl w:ilvl="0" w:tplc="9D0661C8">
      <w:start w:val="1"/>
      <w:numFmt w:val="decimal"/>
      <w:lvlText w:val="II.2.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2C02714"/>
    <w:multiLevelType w:val="hybridMultilevel"/>
    <w:tmpl w:val="A9CA3588"/>
    <w:lvl w:ilvl="0" w:tplc="4D8C7604">
      <w:start w:val="1"/>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2CB58B9"/>
    <w:multiLevelType w:val="hybridMultilevel"/>
    <w:tmpl w:val="6D82A74E"/>
    <w:lvl w:ilvl="0" w:tplc="742E7676">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3057361"/>
    <w:multiLevelType w:val="hybridMultilevel"/>
    <w:tmpl w:val="288E5D46"/>
    <w:lvl w:ilvl="0" w:tplc="B512029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3254384"/>
    <w:multiLevelType w:val="hybridMultilevel"/>
    <w:tmpl w:val="D80AAA9A"/>
    <w:lvl w:ilvl="0" w:tplc="3AC61124">
      <w:start w:val="1"/>
      <w:numFmt w:val="lowerRoman"/>
      <w:lvlText w:val="%1."/>
      <w:lvlJc w:val="left"/>
      <w:pPr>
        <w:ind w:left="0" w:firstLine="0"/>
      </w:pPr>
      <w:rPr>
        <w:rFonts w:hint="default"/>
        <w:spacing w:val="-26"/>
        <w:w w:val="99"/>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4641175"/>
    <w:multiLevelType w:val="hybridMultilevel"/>
    <w:tmpl w:val="F154B292"/>
    <w:lvl w:ilvl="0" w:tplc="720EE63C">
      <w:start w:val="1"/>
      <w:numFmt w:val="lowerLetter"/>
      <w:lvlText w:val="%1)"/>
      <w:lvlJc w:val="left"/>
      <w:pPr>
        <w:tabs>
          <w:tab w:val="num" w:pos="2264"/>
        </w:tabs>
        <w:ind w:left="2093" w:hanging="113"/>
      </w:pPr>
      <w:rPr>
        <w:rFonts w:hint="default"/>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04CA78B3"/>
    <w:multiLevelType w:val="hybridMultilevel"/>
    <w:tmpl w:val="69AAFABC"/>
    <w:lvl w:ilvl="0" w:tplc="AD145CD4">
      <w:start w:val="1"/>
      <w:numFmt w:val="lowerLetter"/>
      <w:lvlText w:val="%1)"/>
      <w:lvlJc w:val="left"/>
      <w:pPr>
        <w:ind w:left="1051" w:hanging="348"/>
      </w:pPr>
      <w:rPr>
        <w:rFonts w:ascii="Times New Roman" w:eastAsia="Times New Roman" w:hAnsi="Times New Roman" w:cs="Times New Roman" w:hint="default"/>
        <w:color w:val="4F4F4F"/>
        <w:spacing w:val="-1"/>
        <w:w w:val="101"/>
        <w:sz w:val="23"/>
        <w:szCs w:val="23"/>
      </w:rPr>
    </w:lvl>
    <w:lvl w:ilvl="1" w:tplc="A26CBAAC">
      <w:numFmt w:val="bullet"/>
      <w:lvlText w:val="•"/>
      <w:lvlJc w:val="left"/>
      <w:pPr>
        <w:ind w:left="1912" w:hanging="348"/>
      </w:pPr>
      <w:rPr>
        <w:rFonts w:hint="default"/>
      </w:rPr>
    </w:lvl>
    <w:lvl w:ilvl="2" w:tplc="D626EFEC">
      <w:numFmt w:val="bullet"/>
      <w:lvlText w:val="•"/>
      <w:lvlJc w:val="left"/>
      <w:pPr>
        <w:ind w:left="2764" w:hanging="348"/>
      </w:pPr>
      <w:rPr>
        <w:rFonts w:hint="default"/>
      </w:rPr>
    </w:lvl>
    <w:lvl w:ilvl="3" w:tplc="E9AE684A">
      <w:numFmt w:val="bullet"/>
      <w:lvlText w:val="•"/>
      <w:lvlJc w:val="left"/>
      <w:pPr>
        <w:ind w:left="3616" w:hanging="348"/>
      </w:pPr>
      <w:rPr>
        <w:rFonts w:hint="default"/>
      </w:rPr>
    </w:lvl>
    <w:lvl w:ilvl="4" w:tplc="805A9162">
      <w:numFmt w:val="bullet"/>
      <w:lvlText w:val="•"/>
      <w:lvlJc w:val="left"/>
      <w:pPr>
        <w:ind w:left="4468" w:hanging="348"/>
      </w:pPr>
      <w:rPr>
        <w:rFonts w:hint="default"/>
      </w:rPr>
    </w:lvl>
    <w:lvl w:ilvl="5" w:tplc="C324C0A6">
      <w:numFmt w:val="bullet"/>
      <w:lvlText w:val="•"/>
      <w:lvlJc w:val="left"/>
      <w:pPr>
        <w:ind w:left="5320" w:hanging="348"/>
      </w:pPr>
      <w:rPr>
        <w:rFonts w:hint="default"/>
      </w:rPr>
    </w:lvl>
    <w:lvl w:ilvl="6" w:tplc="1D7EECF4">
      <w:numFmt w:val="bullet"/>
      <w:lvlText w:val="•"/>
      <w:lvlJc w:val="left"/>
      <w:pPr>
        <w:ind w:left="6172" w:hanging="348"/>
      </w:pPr>
      <w:rPr>
        <w:rFonts w:hint="default"/>
      </w:rPr>
    </w:lvl>
    <w:lvl w:ilvl="7" w:tplc="D4D230E6">
      <w:numFmt w:val="bullet"/>
      <w:lvlText w:val="•"/>
      <w:lvlJc w:val="left"/>
      <w:pPr>
        <w:ind w:left="7024" w:hanging="348"/>
      </w:pPr>
      <w:rPr>
        <w:rFonts w:hint="default"/>
      </w:rPr>
    </w:lvl>
    <w:lvl w:ilvl="8" w:tplc="2DCE9106">
      <w:numFmt w:val="bullet"/>
      <w:lvlText w:val="•"/>
      <w:lvlJc w:val="left"/>
      <w:pPr>
        <w:ind w:left="7876" w:hanging="348"/>
      </w:pPr>
      <w:rPr>
        <w:rFonts w:hint="default"/>
      </w:rPr>
    </w:lvl>
  </w:abstractNum>
  <w:abstractNum w:abstractNumId="68" w15:restartNumberingAfterBreak="0">
    <w:nsid w:val="05C76328"/>
    <w:multiLevelType w:val="hybridMultilevel"/>
    <w:tmpl w:val="7F8A773A"/>
    <w:lvl w:ilvl="0" w:tplc="B1B28006">
      <w:start w:val="1"/>
      <w:numFmt w:val="decimal"/>
      <w:lvlText w:val="III.4.%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6AE63AE"/>
    <w:multiLevelType w:val="hybridMultilevel"/>
    <w:tmpl w:val="D3946A66"/>
    <w:lvl w:ilvl="0" w:tplc="AB9AD138">
      <w:start w:val="1"/>
      <w:numFmt w:val="lowerLetter"/>
      <w:lvlText w:val="%1)"/>
      <w:lvlJc w:val="left"/>
      <w:pPr>
        <w:ind w:left="422"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06F47959"/>
    <w:multiLevelType w:val="hybridMultilevel"/>
    <w:tmpl w:val="27E26434"/>
    <w:lvl w:ilvl="0" w:tplc="0F4E688C">
      <w:start w:val="1"/>
      <w:numFmt w:val="lowerLetter"/>
      <w:lvlText w:val="%1)"/>
      <w:lvlJc w:val="left"/>
      <w:pPr>
        <w:ind w:left="2204" w:hanging="360"/>
      </w:pPr>
      <w:rPr>
        <w:rFonts w:hint="default"/>
      </w:rPr>
    </w:lvl>
    <w:lvl w:ilvl="1" w:tplc="04150019" w:tentative="1">
      <w:start w:val="1"/>
      <w:numFmt w:val="lowerLetter"/>
      <w:lvlText w:val="%2."/>
      <w:lvlJc w:val="left"/>
      <w:pPr>
        <w:ind w:left="2924" w:hanging="360"/>
      </w:pPr>
    </w:lvl>
    <w:lvl w:ilvl="2" w:tplc="0415001B" w:tentative="1">
      <w:start w:val="1"/>
      <w:numFmt w:val="lowerRoman"/>
      <w:lvlText w:val="%3."/>
      <w:lvlJc w:val="right"/>
      <w:pPr>
        <w:ind w:left="3644" w:hanging="180"/>
      </w:pPr>
    </w:lvl>
    <w:lvl w:ilvl="3" w:tplc="0415000F" w:tentative="1">
      <w:start w:val="1"/>
      <w:numFmt w:val="decimal"/>
      <w:lvlText w:val="%4."/>
      <w:lvlJc w:val="left"/>
      <w:pPr>
        <w:ind w:left="4364" w:hanging="360"/>
      </w:pPr>
    </w:lvl>
    <w:lvl w:ilvl="4" w:tplc="04150019" w:tentative="1">
      <w:start w:val="1"/>
      <w:numFmt w:val="lowerLetter"/>
      <w:lvlText w:val="%5."/>
      <w:lvlJc w:val="left"/>
      <w:pPr>
        <w:ind w:left="5084" w:hanging="360"/>
      </w:pPr>
    </w:lvl>
    <w:lvl w:ilvl="5" w:tplc="0415001B" w:tentative="1">
      <w:start w:val="1"/>
      <w:numFmt w:val="lowerRoman"/>
      <w:lvlText w:val="%6."/>
      <w:lvlJc w:val="right"/>
      <w:pPr>
        <w:ind w:left="5804" w:hanging="180"/>
      </w:pPr>
    </w:lvl>
    <w:lvl w:ilvl="6" w:tplc="0415000F" w:tentative="1">
      <w:start w:val="1"/>
      <w:numFmt w:val="decimal"/>
      <w:lvlText w:val="%7."/>
      <w:lvlJc w:val="left"/>
      <w:pPr>
        <w:ind w:left="6524" w:hanging="360"/>
      </w:pPr>
    </w:lvl>
    <w:lvl w:ilvl="7" w:tplc="04150019" w:tentative="1">
      <w:start w:val="1"/>
      <w:numFmt w:val="lowerLetter"/>
      <w:lvlText w:val="%8."/>
      <w:lvlJc w:val="left"/>
      <w:pPr>
        <w:ind w:left="7244" w:hanging="360"/>
      </w:pPr>
    </w:lvl>
    <w:lvl w:ilvl="8" w:tplc="0415001B" w:tentative="1">
      <w:start w:val="1"/>
      <w:numFmt w:val="lowerRoman"/>
      <w:lvlText w:val="%9."/>
      <w:lvlJc w:val="right"/>
      <w:pPr>
        <w:ind w:left="7964" w:hanging="180"/>
      </w:pPr>
    </w:lvl>
  </w:abstractNum>
  <w:abstractNum w:abstractNumId="71" w15:restartNumberingAfterBreak="0">
    <w:nsid w:val="070864B6"/>
    <w:multiLevelType w:val="hybridMultilevel"/>
    <w:tmpl w:val="D9DC6088"/>
    <w:lvl w:ilvl="0" w:tplc="603AFCF6">
      <w:start w:val="1"/>
      <w:numFmt w:val="decimal"/>
      <w:lvlText w:val="(%1)"/>
      <w:lvlJc w:val="left"/>
      <w:pPr>
        <w:ind w:left="781" w:hanging="360"/>
      </w:pPr>
      <w:rPr>
        <w:rFonts w:hint="default"/>
      </w:rPr>
    </w:lvl>
    <w:lvl w:ilvl="1" w:tplc="03AC2578">
      <w:start w:val="1"/>
      <w:numFmt w:val="decimal"/>
      <w:lvlText w:val="(%2)"/>
      <w:lvlJc w:val="left"/>
      <w:pPr>
        <w:ind w:left="1501" w:hanging="360"/>
      </w:pPr>
      <w:rPr>
        <w:rFonts w:hint="default"/>
      </w:rPr>
    </w:lvl>
    <w:lvl w:ilvl="2" w:tplc="0415001B" w:tentative="1">
      <w:start w:val="1"/>
      <w:numFmt w:val="lowerRoman"/>
      <w:lvlText w:val="%3."/>
      <w:lvlJc w:val="right"/>
      <w:pPr>
        <w:ind w:left="2221" w:hanging="180"/>
      </w:pPr>
    </w:lvl>
    <w:lvl w:ilvl="3" w:tplc="0415000F" w:tentative="1">
      <w:start w:val="1"/>
      <w:numFmt w:val="decimal"/>
      <w:lvlText w:val="%4."/>
      <w:lvlJc w:val="left"/>
      <w:pPr>
        <w:ind w:left="2941" w:hanging="360"/>
      </w:pPr>
    </w:lvl>
    <w:lvl w:ilvl="4" w:tplc="04150019" w:tentative="1">
      <w:start w:val="1"/>
      <w:numFmt w:val="lowerLetter"/>
      <w:lvlText w:val="%5."/>
      <w:lvlJc w:val="left"/>
      <w:pPr>
        <w:ind w:left="3661" w:hanging="360"/>
      </w:pPr>
    </w:lvl>
    <w:lvl w:ilvl="5" w:tplc="0415001B" w:tentative="1">
      <w:start w:val="1"/>
      <w:numFmt w:val="lowerRoman"/>
      <w:lvlText w:val="%6."/>
      <w:lvlJc w:val="right"/>
      <w:pPr>
        <w:ind w:left="4381" w:hanging="180"/>
      </w:pPr>
    </w:lvl>
    <w:lvl w:ilvl="6" w:tplc="0415000F" w:tentative="1">
      <w:start w:val="1"/>
      <w:numFmt w:val="decimal"/>
      <w:lvlText w:val="%7."/>
      <w:lvlJc w:val="left"/>
      <w:pPr>
        <w:ind w:left="5101" w:hanging="360"/>
      </w:pPr>
    </w:lvl>
    <w:lvl w:ilvl="7" w:tplc="04150019" w:tentative="1">
      <w:start w:val="1"/>
      <w:numFmt w:val="lowerLetter"/>
      <w:lvlText w:val="%8."/>
      <w:lvlJc w:val="left"/>
      <w:pPr>
        <w:ind w:left="5821" w:hanging="360"/>
      </w:pPr>
    </w:lvl>
    <w:lvl w:ilvl="8" w:tplc="0415001B" w:tentative="1">
      <w:start w:val="1"/>
      <w:numFmt w:val="lowerRoman"/>
      <w:lvlText w:val="%9."/>
      <w:lvlJc w:val="right"/>
      <w:pPr>
        <w:ind w:left="6541" w:hanging="180"/>
      </w:pPr>
    </w:lvl>
  </w:abstractNum>
  <w:abstractNum w:abstractNumId="72" w15:restartNumberingAfterBreak="0">
    <w:nsid w:val="07185B2A"/>
    <w:multiLevelType w:val="hybridMultilevel"/>
    <w:tmpl w:val="B3FA2C76"/>
    <w:lvl w:ilvl="0" w:tplc="04150017">
      <w:start w:val="1"/>
      <w:numFmt w:val="lowerLetter"/>
      <w:lvlText w:val="%1)"/>
      <w:lvlJc w:val="left"/>
      <w:pPr>
        <w:ind w:left="360" w:hanging="360"/>
      </w:pPr>
    </w:lvl>
    <w:lvl w:ilvl="1" w:tplc="04150011">
      <w:start w:val="1"/>
      <w:numFmt w:val="decimal"/>
      <w:lvlText w:val="%2)"/>
      <w:lvlJc w:val="left"/>
      <w:pPr>
        <w:ind w:left="1080" w:hanging="360"/>
      </w:pPr>
    </w:lvl>
    <w:lvl w:ilvl="2" w:tplc="B0E000CC">
      <w:numFmt w:val="bullet"/>
      <w:lvlText w:val=""/>
      <w:lvlJc w:val="left"/>
      <w:pPr>
        <w:ind w:left="1980" w:hanging="360"/>
      </w:pPr>
      <w:rPr>
        <w:rFonts w:ascii="Symbol" w:eastAsia="Times New Roman" w:hAnsi="Symbol" w:cs="Times New Roman"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07DB7AF5"/>
    <w:multiLevelType w:val="hybridMultilevel"/>
    <w:tmpl w:val="9B48C738"/>
    <w:lvl w:ilvl="0" w:tplc="4C7A4546">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8253022"/>
    <w:multiLevelType w:val="hybridMultilevel"/>
    <w:tmpl w:val="B1B29D74"/>
    <w:lvl w:ilvl="0" w:tplc="024A24C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08443B3C"/>
    <w:multiLevelType w:val="hybridMultilevel"/>
    <w:tmpl w:val="4BCE9F16"/>
    <w:lvl w:ilvl="0" w:tplc="AF6EA7CE">
      <w:start w:val="1"/>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0879468E"/>
    <w:multiLevelType w:val="hybridMultilevel"/>
    <w:tmpl w:val="589CF4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08C109F5"/>
    <w:multiLevelType w:val="hybridMultilevel"/>
    <w:tmpl w:val="47981D76"/>
    <w:lvl w:ilvl="0" w:tplc="EB76D6C4">
      <w:start w:val="1"/>
      <w:numFmt w:val="lowerLetter"/>
      <w:lvlText w:val="%1)"/>
      <w:lvlJc w:val="left"/>
      <w:pPr>
        <w:ind w:left="1852" w:hanging="360"/>
      </w:pPr>
      <w:rPr>
        <w:rFonts w:ascii="Times New Roman" w:eastAsia="Times New Roman" w:hAnsi="Times New Roman" w:cs="Times New Roman" w:hint="default"/>
        <w:spacing w:val="-26"/>
        <w:w w:val="99"/>
        <w:sz w:val="24"/>
        <w:szCs w:val="24"/>
        <w:lang w:val="pl-PL" w:eastAsia="pl-PL" w:bidi="pl-PL"/>
      </w:rPr>
    </w:lvl>
    <w:lvl w:ilvl="1" w:tplc="04150019" w:tentative="1">
      <w:start w:val="1"/>
      <w:numFmt w:val="lowerLetter"/>
      <w:lvlText w:val="%2."/>
      <w:lvlJc w:val="left"/>
      <w:pPr>
        <w:ind w:left="2572" w:hanging="360"/>
      </w:pPr>
    </w:lvl>
    <w:lvl w:ilvl="2" w:tplc="0415001B" w:tentative="1">
      <w:start w:val="1"/>
      <w:numFmt w:val="lowerRoman"/>
      <w:lvlText w:val="%3."/>
      <w:lvlJc w:val="right"/>
      <w:pPr>
        <w:ind w:left="3292" w:hanging="180"/>
      </w:pPr>
    </w:lvl>
    <w:lvl w:ilvl="3" w:tplc="0415000F" w:tentative="1">
      <w:start w:val="1"/>
      <w:numFmt w:val="decimal"/>
      <w:lvlText w:val="%4."/>
      <w:lvlJc w:val="left"/>
      <w:pPr>
        <w:ind w:left="4012" w:hanging="360"/>
      </w:pPr>
    </w:lvl>
    <w:lvl w:ilvl="4" w:tplc="04150019" w:tentative="1">
      <w:start w:val="1"/>
      <w:numFmt w:val="lowerLetter"/>
      <w:lvlText w:val="%5."/>
      <w:lvlJc w:val="left"/>
      <w:pPr>
        <w:ind w:left="4732" w:hanging="360"/>
      </w:pPr>
    </w:lvl>
    <w:lvl w:ilvl="5" w:tplc="0415001B" w:tentative="1">
      <w:start w:val="1"/>
      <w:numFmt w:val="lowerRoman"/>
      <w:lvlText w:val="%6."/>
      <w:lvlJc w:val="right"/>
      <w:pPr>
        <w:ind w:left="5452" w:hanging="180"/>
      </w:pPr>
    </w:lvl>
    <w:lvl w:ilvl="6" w:tplc="0415000F" w:tentative="1">
      <w:start w:val="1"/>
      <w:numFmt w:val="decimal"/>
      <w:lvlText w:val="%7."/>
      <w:lvlJc w:val="left"/>
      <w:pPr>
        <w:ind w:left="6172" w:hanging="360"/>
      </w:pPr>
    </w:lvl>
    <w:lvl w:ilvl="7" w:tplc="04150019" w:tentative="1">
      <w:start w:val="1"/>
      <w:numFmt w:val="lowerLetter"/>
      <w:lvlText w:val="%8."/>
      <w:lvlJc w:val="left"/>
      <w:pPr>
        <w:ind w:left="6892" w:hanging="360"/>
      </w:pPr>
    </w:lvl>
    <w:lvl w:ilvl="8" w:tplc="0415001B" w:tentative="1">
      <w:start w:val="1"/>
      <w:numFmt w:val="lowerRoman"/>
      <w:lvlText w:val="%9."/>
      <w:lvlJc w:val="right"/>
      <w:pPr>
        <w:ind w:left="7612" w:hanging="180"/>
      </w:pPr>
    </w:lvl>
  </w:abstractNum>
  <w:abstractNum w:abstractNumId="78" w15:restartNumberingAfterBreak="0">
    <w:nsid w:val="08ED172C"/>
    <w:multiLevelType w:val="hybridMultilevel"/>
    <w:tmpl w:val="34D080FE"/>
    <w:lvl w:ilvl="0" w:tplc="86109A0A">
      <w:start w:val="1"/>
      <w:numFmt w:val="lowerLetter"/>
      <w:lvlText w:val="%1)"/>
      <w:lvlJc w:val="left"/>
      <w:pPr>
        <w:tabs>
          <w:tab w:val="num" w:pos="1986"/>
        </w:tabs>
        <w:ind w:left="36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08FB3C28"/>
    <w:multiLevelType w:val="hybridMultilevel"/>
    <w:tmpl w:val="32C2C4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092F7B26"/>
    <w:multiLevelType w:val="hybridMultilevel"/>
    <w:tmpl w:val="42C8505E"/>
    <w:lvl w:ilvl="0" w:tplc="060C501A">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094C6439"/>
    <w:multiLevelType w:val="hybridMultilevel"/>
    <w:tmpl w:val="3D5C4F66"/>
    <w:lvl w:ilvl="0" w:tplc="469E70BA">
      <w:start w:val="1"/>
      <w:numFmt w:val="upperRoman"/>
      <w:lvlText w:val="%1."/>
      <w:lvlJc w:val="left"/>
      <w:pPr>
        <w:ind w:left="901" w:hanging="200"/>
        <w:jc w:val="right"/>
      </w:pPr>
      <w:rPr>
        <w:rFonts w:hint="default"/>
        <w:w w:val="94"/>
      </w:rPr>
    </w:lvl>
    <w:lvl w:ilvl="1" w:tplc="880EFA86">
      <w:start w:val="1"/>
      <w:numFmt w:val="decimal"/>
      <w:lvlText w:val="%2."/>
      <w:lvlJc w:val="left"/>
      <w:pPr>
        <w:ind w:left="1377" w:hanging="347"/>
      </w:pPr>
      <w:rPr>
        <w:rFonts w:hint="default"/>
        <w:b w:val="0"/>
        <w:bCs/>
        <w:w w:val="107"/>
      </w:rPr>
    </w:lvl>
    <w:lvl w:ilvl="2" w:tplc="67CA0D28">
      <w:start w:val="1"/>
      <w:numFmt w:val="decimal"/>
      <w:lvlText w:val="%3)"/>
      <w:lvlJc w:val="left"/>
      <w:pPr>
        <w:ind w:left="1645" w:hanging="347"/>
      </w:pPr>
      <w:rPr>
        <w:rFonts w:hint="default"/>
        <w:w w:val="106"/>
      </w:rPr>
    </w:lvl>
    <w:lvl w:ilvl="3" w:tplc="0CF6A108">
      <w:start w:val="1"/>
      <w:numFmt w:val="lowerLetter"/>
      <w:lvlText w:val="%4)"/>
      <w:lvlJc w:val="left"/>
      <w:pPr>
        <w:ind w:left="2055" w:hanging="347"/>
      </w:pPr>
      <w:rPr>
        <w:rFonts w:ascii="Times New Roman" w:eastAsia="Times New Roman" w:hAnsi="Times New Roman" w:cs="Times New Roman" w:hint="default"/>
        <w:color w:val="4D4D4D"/>
        <w:spacing w:val="-1"/>
        <w:w w:val="106"/>
        <w:sz w:val="24"/>
        <w:szCs w:val="24"/>
      </w:rPr>
    </w:lvl>
    <w:lvl w:ilvl="4" w:tplc="714E47C8">
      <w:numFmt w:val="bullet"/>
      <w:lvlText w:val="•"/>
      <w:lvlJc w:val="left"/>
      <w:pPr>
        <w:ind w:left="1360" w:hanging="347"/>
      </w:pPr>
      <w:rPr>
        <w:rFonts w:hint="default"/>
      </w:rPr>
    </w:lvl>
    <w:lvl w:ilvl="5" w:tplc="3D94CF5A">
      <w:numFmt w:val="bullet"/>
      <w:lvlText w:val="•"/>
      <w:lvlJc w:val="left"/>
      <w:pPr>
        <w:ind w:left="1380" w:hanging="347"/>
      </w:pPr>
      <w:rPr>
        <w:rFonts w:hint="default"/>
      </w:rPr>
    </w:lvl>
    <w:lvl w:ilvl="6" w:tplc="5902320A">
      <w:numFmt w:val="bullet"/>
      <w:lvlText w:val="•"/>
      <w:lvlJc w:val="left"/>
      <w:pPr>
        <w:ind w:left="1400" w:hanging="347"/>
      </w:pPr>
      <w:rPr>
        <w:rFonts w:hint="default"/>
      </w:rPr>
    </w:lvl>
    <w:lvl w:ilvl="7" w:tplc="1F74ED62">
      <w:numFmt w:val="bullet"/>
      <w:lvlText w:val="•"/>
      <w:lvlJc w:val="left"/>
      <w:pPr>
        <w:ind w:left="1640" w:hanging="347"/>
      </w:pPr>
      <w:rPr>
        <w:rFonts w:hint="default"/>
      </w:rPr>
    </w:lvl>
    <w:lvl w:ilvl="8" w:tplc="5D98F3BC">
      <w:numFmt w:val="bullet"/>
      <w:lvlText w:val="•"/>
      <w:lvlJc w:val="left"/>
      <w:pPr>
        <w:ind w:left="1720" w:hanging="347"/>
      </w:pPr>
      <w:rPr>
        <w:rFonts w:hint="default"/>
      </w:rPr>
    </w:lvl>
  </w:abstractNum>
  <w:abstractNum w:abstractNumId="82" w15:restartNumberingAfterBreak="0">
    <w:nsid w:val="0974500D"/>
    <w:multiLevelType w:val="hybridMultilevel"/>
    <w:tmpl w:val="597C54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098D15EE"/>
    <w:multiLevelType w:val="hybridMultilevel"/>
    <w:tmpl w:val="FB242B02"/>
    <w:lvl w:ilvl="0" w:tplc="ABB6D47C">
      <w:start w:val="8"/>
      <w:numFmt w:val="decimal"/>
      <w:lvlText w:val="I.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09901379"/>
    <w:multiLevelType w:val="hybridMultilevel"/>
    <w:tmpl w:val="88A6DB02"/>
    <w:lvl w:ilvl="0" w:tplc="4F8E4E88">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09D72340"/>
    <w:multiLevelType w:val="hybridMultilevel"/>
    <w:tmpl w:val="B1ACBA02"/>
    <w:lvl w:ilvl="0" w:tplc="7436B656">
      <w:start w:val="1"/>
      <w:numFmt w:val="decimal"/>
      <w:lvlText w:val="I.3.%1."/>
      <w:lvlJc w:val="left"/>
      <w:pPr>
        <w:ind w:left="720" w:hanging="360"/>
      </w:pPr>
      <w:rPr>
        <w:rFonts w:hint="default"/>
        <w:i w:val="0"/>
        <w:i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0ABF655C"/>
    <w:multiLevelType w:val="hybridMultilevel"/>
    <w:tmpl w:val="9BD009A2"/>
    <w:lvl w:ilvl="0" w:tplc="48FEB970">
      <w:start w:val="5"/>
      <w:numFmt w:val="decimal"/>
      <w:lvlText w:val="II.3.5.3.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0B4C1E76"/>
    <w:multiLevelType w:val="hybridMultilevel"/>
    <w:tmpl w:val="894808F6"/>
    <w:lvl w:ilvl="0" w:tplc="AE381380">
      <w:start w:val="1"/>
      <w:numFmt w:val="decimal"/>
      <w:lvlText w:val="D.3.%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0B8C280F"/>
    <w:multiLevelType w:val="hybridMultilevel"/>
    <w:tmpl w:val="176E379A"/>
    <w:lvl w:ilvl="0" w:tplc="A37094E8">
      <w:start w:val="2"/>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0BBF41CF"/>
    <w:multiLevelType w:val="hybridMultilevel"/>
    <w:tmpl w:val="DC62498A"/>
    <w:lvl w:ilvl="0" w:tplc="900A3802">
      <w:start w:val="1"/>
      <w:numFmt w:val="decimal"/>
      <w:lvlText w:val="%1)"/>
      <w:lvlJc w:val="left"/>
      <w:pPr>
        <w:ind w:left="18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ABF4518C">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0BEA4581"/>
    <w:multiLevelType w:val="hybridMultilevel"/>
    <w:tmpl w:val="2C04DCA4"/>
    <w:lvl w:ilvl="0" w:tplc="1184680E">
      <w:start w:val="1"/>
      <w:numFmt w:val="decimal"/>
      <w:lvlText w:val="%1."/>
      <w:lvlJc w:val="left"/>
      <w:pPr>
        <w:ind w:left="1587" w:hanging="350"/>
      </w:pPr>
      <w:rPr>
        <w:rFonts w:ascii="Times New Roman" w:eastAsia="Times New Roman" w:hAnsi="Times New Roman" w:cs="Times New Roman" w:hint="default"/>
        <w:color w:val="525252"/>
        <w:w w:val="105"/>
        <w:sz w:val="24"/>
        <w:szCs w:val="24"/>
      </w:rPr>
    </w:lvl>
    <w:lvl w:ilvl="1" w:tplc="DA6E67F0">
      <w:numFmt w:val="bullet"/>
      <w:lvlText w:val="•"/>
      <w:lvlJc w:val="left"/>
      <w:pPr>
        <w:ind w:left="2380" w:hanging="350"/>
      </w:pPr>
      <w:rPr>
        <w:rFonts w:hint="default"/>
      </w:rPr>
    </w:lvl>
    <w:lvl w:ilvl="2" w:tplc="BE069288">
      <w:numFmt w:val="bullet"/>
      <w:lvlText w:val="•"/>
      <w:lvlJc w:val="left"/>
      <w:pPr>
        <w:ind w:left="3180" w:hanging="350"/>
      </w:pPr>
      <w:rPr>
        <w:rFonts w:hint="default"/>
      </w:rPr>
    </w:lvl>
    <w:lvl w:ilvl="3" w:tplc="16E81E72">
      <w:numFmt w:val="bullet"/>
      <w:lvlText w:val="•"/>
      <w:lvlJc w:val="left"/>
      <w:pPr>
        <w:ind w:left="3980" w:hanging="350"/>
      </w:pPr>
      <w:rPr>
        <w:rFonts w:hint="default"/>
      </w:rPr>
    </w:lvl>
    <w:lvl w:ilvl="4" w:tplc="7C4E52CE">
      <w:numFmt w:val="bullet"/>
      <w:lvlText w:val="•"/>
      <w:lvlJc w:val="left"/>
      <w:pPr>
        <w:ind w:left="4780" w:hanging="350"/>
      </w:pPr>
      <w:rPr>
        <w:rFonts w:hint="default"/>
      </w:rPr>
    </w:lvl>
    <w:lvl w:ilvl="5" w:tplc="2B06FE52">
      <w:numFmt w:val="bullet"/>
      <w:lvlText w:val="•"/>
      <w:lvlJc w:val="left"/>
      <w:pPr>
        <w:ind w:left="5580" w:hanging="350"/>
      </w:pPr>
      <w:rPr>
        <w:rFonts w:hint="default"/>
      </w:rPr>
    </w:lvl>
    <w:lvl w:ilvl="6" w:tplc="569AABD8">
      <w:numFmt w:val="bullet"/>
      <w:lvlText w:val="•"/>
      <w:lvlJc w:val="left"/>
      <w:pPr>
        <w:ind w:left="6380" w:hanging="350"/>
      </w:pPr>
      <w:rPr>
        <w:rFonts w:hint="default"/>
      </w:rPr>
    </w:lvl>
    <w:lvl w:ilvl="7" w:tplc="0F5EE876">
      <w:numFmt w:val="bullet"/>
      <w:lvlText w:val="•"/>
      <w:lvlJc w:val="left"/>
      <w:pPr>
        <w:ind w:left="7180" w:hanging="350"/>
      </w:pPr>
      <w:rPr>
        <w:rFonts w:hint="default"/>
      </w:rPr>
    </w:lvl>
    <w:lvl w:ilvl="8" w:tplc="95BE13AE">
      <w:numFmt w:val="bullet"/>
      <w:lvlText w:val="•"/>
      <w:lvlJc w:val="left"/>
      <w:pPr>
        <w:ind w:left="7980" w:hanging="350"/>
      </w:pPr>
      <w:rPr>
        <w:rFonts w:hint="default"/>
      </w:rPr>
    </w:lvl>
  </w:abstractNum>
  <w:abstractNum w:abstractNumId="91" w15:restartNumberingAfterBreak="0">
    <w:nsid w:val="0BF01BF9"/>
    <w:multiLevelType w:val="multilevel"/>
    <w:tmpl w:val="B05EB524"/>
    <w:lvl w:ilvl="0">
      <w:start w:val="2"/>
      <w:numFmt w:val="upperRoman"/>
      <w:lvlText w:val="%1"/>
      <w:lvlJc w:val="left"/>
      <w:pPr>
        <w:ind w:left="602" w:hanging="1128"/>
      </w:pPr>
      <w:rPr>
        <w:rFonts w:hint="default"/>
      </w:rPr>
    </w:lvl>
    <w:lvl w:ilvl="1">
      <w:start w:val="4"/>
      <w:numFmt w:val="decimal"/>
      <w:lvlText w:val="%1.%2"/>
      <w:lvlJc w:val="left"/>
      <w:pPr>
        <w:ind w:left="602" w:hanging="1128"/>
      </w:pPr>
      <w:rPr>
        <w:rFonts w:hint="default"/>
      </w:rPr>
    </w:lvl>
    <w:lvl w:ilvl="2">
      <w:start w:val="7"/>
      <w:numFmt w:val="decimal"/>
      <w:lvlText w:val="%1.%2.%3"/>
      <w:lvlJc w:val="left"/>
      <w:pPr>
        <w:ind w:left="602" w:hanging="1128"/>
      </w:pPr>
      <w:rPr>
        <w:rFonts w:hint="default"/>
      </w:rPr>
    </w:lvl>
    <w:lvl w:ilvl="3">
      <w:start w:val="4"/>
      <w:numFmt w:val="decimal"/>
      <w:lvlText w:val="%1.%2.%3.%4"/>
      <w:lvlJc w:val="left"/>
      <w:pPr>
        <w:ind w:left="602" w:hanging="1128"/>
      </w:pPr>
      <w:rPr>
        <w:rFonts w:hint="default"/>
      </w:rPr>
    </w:lvl>
    <w:lvl w:ilvl="4">
      <w:start w:val="1"/>
      <w:numFmt w:val="decimal"/>
      <w:lvlText w:val="%1.%2.%3.%4.%5."/>
      <w:lvlJc w:val="left"/>
      <w:pPr>
        <w:ind w:left="602" w:hanging="1128"/>
      </w:pPr>
      <w:rPr>
        <w:rFonts w:ascii="Times New Roman" w:eastAsia="Times New Roman" w:hAnsi="Times New Roman" w:cs="Times New Roman" w:hint="default"/>
        <w:color w:val="484848"/>
        <w:w w:val="104"/>
        <w:sz w:val="22"/>
        <w:szCs w:val="22"/>
      </w:rPr>
    </w:lvl>
    <w:lvl w:ilvl="5">
      <w:start w:val="1"/>
      <w:numFmt w:val="lowerLetter"/>
      <w:lvlText w:val="%6)"/>
      <w:lvlJc w:val="left"/>
      <w:pPr>
        <w:ind w:left="1019" w:hanging="278"/>
      </w:pPr>
      <w:rPr>
        <w:rFonts w:ascii="Times New Roman" w:eastAsia="Times New Roman" w:hAnsi="Times New Roman" w:cs="Times New Roman" w:hint="default"/>
        <w:color w:val="000000" w:themeColor="text1"/>
        <w:spacing w:val="-1"/>
        <w:w w:val="106"/>
        <w:sz w:val="24"/>
        <w:szCs w:val="24"/>
      </w:rPr>
    </w:lvl>
    <w:lvl w:ilvl="6">
      <w:numFmt w:val="bullet"/>
      <w:lvlText w:val="•"/>
      <w:lvlJc w:val="left"/>
      <w:pPr>
        <w:ind w:left="5820" w:hanging="278"/>
      </w:pPr>
      <w:rPr>
        <w:rFonts w:hint="default"/>
      </w:rPr>
    </w:lvl>
    <w:lvl w:ilvl="7">
      <w:numFmt w:val="bullet"/>
      <w:lvlText w:val="•"/>
      <w:lvlJc w:val="left"/>
      <w:pPr>
        <w:ind w:left="6780" w:hanging="278"/>
      </w:pPr>
      <w:rPr>
        <w:rFonts w:hint="default"/>
      </w:rPr>
    </w:lvl>
    <w:lvl w:ilvl="8">
      <w:numFmt w:val="bullet"/>
      <w:lvlText w:val="•"/>
      <w:lvlJc w:val="left"/>
      <w:pPr>
        <w:ind w:left="7740" w:hanging="278"/>
      </w:pPr>
      <w:rPr>
        <w:rFonts w:hint="default"/>
      </w:rPr>
    </w:lvl>
  </w:abstractNum>
  <w:abstractNum w:abstractNumId="92" w15:restartNumberingAfterBreak="0">
    <w:nsid w:val="0C7A4AD7"/>
    <w:multiLevelType w:val="hybridMultilevel"/>
    <w:tmpl w:val="BE682444"/>
    <w:lvl w:ilvl="0" w:tplc="86004CD8">
      <w:start w:val="2"/>
      <w:numFmt w:val="decimal"/>
      <w:lvlText w:val="%1."/>
      <w:lvlJc w:val="left"/>
      <w:pPr>
        <w:ind w:left="1345" w:hanging="348"/>
      </w:pPr>
      <w:rPr>
        <w:rFonts w:hint="default"/>
        <w:w w:val="101"/>
      </w:rPr>
    </w:lvl>
    <w:lvl w:ilvl="1" w:tplc="62D85026">
      <w:numFmt w:val="bullet"/>
      <w:lvlText w:val="•"/>
      <w:lvlJc w:val="left"/>
      <w:pPr>
        <w:ind w:left="2164" w:hanging="348"/>
      </w:pPr>
      <w:rPr>
        <w:rFonts w:hint="default"/>
      </w:rPr>
    </w:lvl>
    <w:lvl w:ilvl="2" w:tplc="2438CE22">
      <w:numFmt w:val="bullet"/>
      <w:lvlText w:val="•"/>
      <w:lvlJc w:val="left"/>
      <w:pPr>
        <w:ind w:left="2988" w:hanging="348"/>
      </w:pPr>
      <w:rPr>
        <w:rFonts w:hint="default"/>
      </w:rPr>
    </w:lvl>
    <w:lvl w:ilvl="3" w:tplc="88882D80">
      <w:numFmt w:val="bullet"/>
      <w:lvlText w:val="•"/>
      <w:lvlJc w:val="left"/>
      <w:pPr>
        <w:ind w:left="3812" w:hanging="348"/>
      </w:pPr>
      <w:rPr>
        <w:rFonts w:hint="default"/>
      </w:rPr>
    </w:lvl>
    <w:lvl w:ilvl="4" w:tplc="E9F4CFE6">
      <w:numFmt w:val="bullet"/>
      <w:lvlText w:val="•"/>
      <w:lvlJc w:val="left"/>
      <w:pPr>
        <w:ind w:left="4636" w:hanging="348"/>
      </w:pPr>
      <w:rPr>
        <w:rFonts w:hint="default"/>
      </w:rPr>
    </w:lvl>
    <w:lvl w:ilvl="5" w:tplc="5E08D49E">
      <w:numFmt w:val="bullet"/>
      <w:lvlText w:val="•"/>
      <w:lvlJc w:val="left"/>
      <w:pPr>
        <w:ind w:left="5460" w:hanging="348"/>
      </w:pPr>
      <w:rPr>
        <w:rFonts w:hint="default"/>
      </w:rPr>
    </w:lvl>
    <w:lvl w:ilvl="6" w:tplc="6F98A17C">
      <w:numFmt w:val="bullet"/>
      <w:lvlText w:val="•"/>
      <w:lvlJc w:val="left"/>
      <w:pPr>
        <w:ind w:left="6284" w:hanging="348"/>
      </w:pPr>
      <w:rPr>
        <w:rFonts w:hint="default"/>
      </w:rPr>
    </w:lvl>
    <w:lvl w:ilvl="7" w:tplc="A418B3AE">
      <w:numFmt w:val="bullet"/>
      <w:lvlText w:val="•"/>
      <w:lvlJc w:val="left"/>
      <w:pPr>
        <w:ind w:left="7108" w:hanging="348"/>
      </w:pPr>
      <w:rPr>
        <w:rFonts w:hint="default"/>
      </w:rPr>
    </w:lvl>
    <w:lvl w:ilvl="8" w:tplc="C798BB9E">
      <w:numFmt w:val="bullet"/>
      <w:lvlText w:val="•"/>
      <w:lvlJc w:val="left"/>
      <w:pPr>
        <w:ind w:left="7932" w:hanging="348"/>
      </w:pPr>
      <w:rPr>
        <w:rFonts w:hint="default"/>
      </w:rPr>
    </w:lvl>
  </w:abstractNum>
  <w:abstractNum w:abstractNumId="93" w15:restartNumberingAfterBreak="0">
    <w:nsid w:val="0C9C7542"/>
    <w:multiLevelType w:val="hybridMultilevel"/>
    <w:tmpl w:val="73609AE4"/>
    <w:lvl w:ilvl="0" w:tplc="6A0E3CC8">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0CAA7C89"/>
    <w:multiLevelType w:val="hybridMultilevel"/>
    <w:tmpl w:val="390275A0"/>
    <w:lvl w:ilvl="0" w:tplc="79961050">
      <w:start w:val="1"/>
      <w:numFmt w:val="decimal"/>
      <w:lvlText w:val="D.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0CC5177E"/>
    <w:multiLevelType w:val="hybridMultilevel"/>
    <w:tmpl w:val="29F8576C"/>
    <w:lvl w:ilvl="0" w:tplc="02C49A5A">
      <w:start w:val="1"/>
      <w:numFmt w:val="lowerLetter"/>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0CE56FCF"/>
    <w:multiLevelType w:val="hybridMultilevel"/>
    <w:tmpl w:val="496640F4"/>
    <w:lvl w:ilvl="0" w:tplc="A0AEBF7C">
      <w:start w:val="1"/>
      <w:numFmt w:val="lowerLetter"/>
      <w:lvlText w:val="%1)"/>
      <w:lvlJc w:val="left"/>
      <w:pPr>
        <w:ind w:left="1174" w:hanging="359"/>
      </w:pPr>
      <w:rPr>
        <w:rFonts w:ascii="Times New Roman" w:eastAsia="Times New Roman" w:hAnsi="Times New Roman" w:cs="Times New Roman" w:hint="default"/>
        <w:color w:val="4F4F4F"/>
        <w:spacing w:val="-1"/>
        <w:w w:val="106"/>
        <w:sz w:val="24"/>
        <w:szCs w:val="24"/>
      </w:rPr>
    </w:lvl>
    <w:lvl w:ilvl="1" w:tplc="63589378">
      <w:start w:val="1"/>
      <w:numFmt w:val="lowerRoman"/>
      <w:lvlText w:val="%2."/>
      <w:lvlJc w:val="left"/>
      <w:pPr>
        <w:ind w:left="1710" w:hanging="246"/>
      </w:pPr>
      <w:rPr>
        <w:rFonts w:ascii="Times New Roman" w:eastAsia="Times New Roman" w:hAnsi="Times New Roman" w:cs="Times New Roman" w:hint="default"/>
        <w:color w:val="4F4F4F"/>
        <w:spacing w:val="-1"/>
        <w:w w:val="98"/>
        <w:sz w:val="24"/>
        <w:szCs w:val="24"/>
      </w:rPr>
    </w:lvl>
    <w:lvl w:ilvl="2" w:tplc="B6C8C8EE">
      <w:numFmt w:val="bullet"/>
      <w:lvlText w:val="•"/>
      <w:lvlJc w:val="left"/>
      <w:pPr>
        <w:ind w:left="2593" w:hanging="246"/>
      </w:pPr>
      <w:rPr>
        <w:rFonts w:hint="default"/>
      </w:rPr>
    </w:lvl>
    <w:lvl w:ilvl="3" w:tplc="C96CEB88">
      <w:numFmt w:val="bullet"/>
      <w:lvlText w:val="•"/>
      <w:lvlJc w:val="left"/>
      <w:pPr>
        <w:ind w:left="3466" w:hanging="246"/>
      </w:pPr>
      <w:rPr>
        <w:rFonts w:hint="default"/>
      </w:rPr>
    </w:lvl>
    <w:lvl w:ilvl="4" w:tplc="72A82FC0">
      <w:numFmt w:val="bullet"/>
      <w:lvlText w:val="•"/>
      <w:lvlJc w:val="left"/>
      <w:pPr>
        <w:ind w:left="4340" w:hanging="246"/>
      </w:pPr>
      <w:rPr>
        <w:rFonts w:hint="default"/>
      </w:rPr>
    </w:lvl>
    <w:lvl w:ilvl="5" w:tplc="33826278">
      <w:numFmt w:val="bullet"/>
      <w:lvlText w:val="•"/>
      <w:lvlJc w:val="left"/>
      <w:pPr>
        <w:ind w:left="5213" w:hanging="246"/>
      </w:pPr>
      <w:rPr>
        <w:rFonts w:hint="default"/>
      </w:rPr>
    </w:lvl>
    <w:lvl w:ilvl="6" w:tplc="1242DE20">
      <w:numFmt w:val="bullet"/>
      <w:lvlText w:val="•"/>
      <w:lvlJc w:val="left"/>
      <w:pPr>
        <w:ind w:left="6086" w:hanging="246"/>
      </w:pPr>
      <w:rPr>
        <w:rFonts w:hint="default"/>
      </w:rPr>
    </w:lvl>
    <w:lvl w:ilvl="7" w:tplc="1A36DDCE">
      <w:numFmt w:val="bullet"/>
      <w:lvlText w:val="•"/>
      <w:lvlJc w:val="left"/>
      <w:pPr>
        <w:ind w:left="6960" w:hanging="246"/>
      </w:pPr>
      <w:rPr>
        <w:rFonts w:hint="default"/>
      </w:rPr>
    </w:lvl>
    <w:lvl w:ilvl="8" w:tplc="C3AC47E8">
      <w:numFmt w:val="bullet"/>
      <w:lvlText w:val="•"/>
      <w:lvlJc w:val="left"/>
      <w:pPr>
        <w:ind w:left="7833" w:hanging="246"/>
      </w:pPr>
      <w:rPr>
        <w:rFonts w:hint="default"/>
      </w:rPr>
    </w:lvl>
  </w:abstractNum>
  <w:abstractNum w:abstractNumId="97" w15:restartNumberingAfterBreak="0">
    <w:nsid w:val="0D094F99"/>
    <w:multiLevelType w:val="hybridMultilevel"/>
    <w:tmpl w:val="C40E0188"/>
    <w:lvl w:ilvl="0" w:tplc="871241E6">
      <w:start w:val="1"/>
      <w:numFmt w:val="decimal"/>
      <w:lvlText w:val="%1)"/>
      <w:lvlJc w:val="left"/>
      <w:pPr>
        <w:ind w:left="563" w:hanging="358"/>
      </w:pPr>
      <w:rPr>
        <w:rFonts w:ascii="Times New Roman" w:eastAsia="Times New Roman" w:hAnsi="Times New Roman" w:cs="Times New Roman" w:hint="default"/>
        <w:spacing w:val="-23"/>
        <w:w w:val="99"/>
        <w:sz w:val="24"/>
        <w:szCs w:val="24"/>
        <w:lang w:val="pl-PL" w:eastAsia="pl-PL" w:bidi="pl-PL"/>
      </w:rPr>
    </w:lvl>
    <w:lvl w:ilvl="1" w:tplc="72A0C3EC">
      <w:numFmt w:val="bullet"/>
      <w:lvlText w:val="•"/>
      <w:lvlJc w:val="left"/>
      <w:pPr>
        <w:ind w:left="1374" w:hanging="358"/>
      </w:pPr>
      <w:rPr>
        <w:rFonts w:hint="default"/>
        <w:lang w:val="pl-PL" w:eastAsia="pl-PL" w:bidi="pl-PL"/>
      </w:rPr>
    </w:lvl>
    <w:lvl w:ilvl="2" w:tplc="EFC2AA50">
      <w:numFmt w:val="bullet"/>
      <w:lvlText w:val="•"/>
      <w:lvlJc w:val="left"/>
      <w:pPr>
        <w:ind w:left="2188" w:hanging="358"/>
      </w:pPr>
      <w:rPr>
        <w:rFonts w:hint="default"/>
        <w:lang w:val="pl-PL" w:eastAsia="pl-PL" w:bidi="pl-PL"/>
      </w:rPr>
    </w:lvl>
    <w:lvl w:ilvl="3" w:tplc="5A3E81A6">
      <w:numFmt w:val="bullet"/>
      <w:lvlText w:val="•"/>
      <w:lvlJc w:val="left"/>
      <w:pPr>
        <w:ind w:left="3002" w:hanging="358"/>
      </w:pPr>
      <w:rPr>
        <w:rFonts w:hint="default"/>
        <w:lang w:val="pl-PL" w:eastAsia="pl-PL" w:bidi="pl-PL"/>
      </w:rPr>
    </w:lvl>
    <w:lvl w:ilvl="4" w:tplc="5F664494">
      <w:numFmt w:val="bullet"/>
      <w:lvlText w:val="•"/>
      <w:lvlJc w:val="left"/>
      <w:pPr>
        <w:ind w:left="3817" w:hanging="358"/>
      </w:pPr>
      <w:rPr>
        <w:rFonts w:hint="default"/>
        <w:lang w:val="pl-PL" w:eastAsia="pl-PL" w:bidi="pl-PL"/>
      </w:rPr>
    </w:lvl>
    <w:lvl w:ilvl="5" w:tplc="5FA0D69E">
      <w:numFmt w:val="bullet"/>
      <w:lvlText w:val="•"/>
      <w:lvlJc w:val="left"/>
      <w:pPr>
        <w:ind w:left="4631" w:hanging="358"/>
      </w:pPr>
      <w:rPr>
        <w:rFonts w:hint="default"/>
        <w:lang w:val="pl-PL" w:eastAsia="pl-PL" w:bidi="pl-PL"/>
      </w:rPr>
    </w:lvl>
    <w:lvl w:ilvl="6" w:tplc="1862DB6E">
      <w:numFmt w:val="bullet"/>
      <w:lvlText w:val="•"/>
      <w:lvlJc w:val="left"/>
      <w:pPr>
        <w:ind w:left="5445" w:hanging="358"/>
      </w:pPr>
      <w:rPr>
        <w:rFonts w:hint="default"/>
        <w:lang w:val="pl-PL" w:eastAsia="pl-PL" w:bidi="pl-PL"/>
      </w:rPr>
    </w:lvl>
    <w:lvl w:ilvl="7" w:tplc="B46C23C4">
      <w:numFmt w:val="bullet"/>
      <w:lvlText w:val="•"/>
      <w:lvlJc w:val="left"/>
      <w:pPr>
        <w:ind w:left="6260" w:hanging="358"/>
      </w:pPr>
      <w:rPr>
        <w:rFonts w:hint="default"/>
        <w:lang w:val="pl-PL" w:eastAsia="pl-PL" w:bidi="pl-PL"/>
      </w:rPr>
    </w:lvl>
    <w:lvl w:ilvl="8" w:tplc="6B82B7D8">
      <w:numFmt w:val="bullet"/>
      <w:lvlText w:val="•"/>
      <w:lvlJc w:val="left"/>
      <w:pPr>
        <w:ind w:left="7074" w:hanging="358"/>
      </w:pPr>
      <w:rPr>
        <w:rFonts w:hint="default"/>
        <w:lang w:val="pl-PL" w:eastAsia="pl-PL" w:bidi="pl-PL"/>
      </w:rPr>
    </w:lvl>
  </w:abstractNum>
  <w:abstractNum w:abstractNumId="98" w15:restartNumberingAfterBreak="0">
    <w:nsid w:val="0D3E30AC"/>
    <w:multiLevelType w:val="hybridMultilevel"/>
    <w:tmpl w:val="B610092A"/>
    <w:lvl w:ilvl="0" w:tplc="6CB6E1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0D7621AF"/>
    <w:multiLevelType w:val="hybridMultilevel"/>
    <w:tmpl w:val="F496BBB2"/>
    <w:lvl w:ilvl="0" w:tplc="1FDEF06C">
      <w:start w:val="7"/>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0E656100"/>
    <w:multiLevelType w:val="hybridMultilevel"/>
    <w:tmpl w:val="7B947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0E836465"/>
    <w:multiLevelType w:val="hybridMultilevel"/>
    <w:tmpl w:val="50843D08"/>
    <w:lvl w:ilvl="0" w:tplc="E5521D52">
      <w:start w:val="1"/>
      <w:numFmt w:val="lowerLetter"/>
      <w:lvlText w:val="%1)"/>
      <w:lvlJc w:val="left"/>
      <w:pPr>
        <w:ind w:left="1636" w:hanging="360"/>
      </w:pPr>
      <w:rPr>
        <w:rFonts w:hint="default"/>
      </w:rPr>
    </w:lvl>
    <w:lvl w:ilvl="1" w:tplc="04150019">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02" w15:restartNumberingAfterBreak="0">
    <w:nsid w:val="0EE76654"/>
    <w:multiLevelType w:val="hybridMultilevel"/>
    <w:tmpl w:val="E3745E30"/>
    <w:lvl w:ilvl="0" w:tplc="C3807D48">
      <w:start w:val="4"/>
      <w:numFmt w:val="decimal"/>
      <w:lvlText w:val="%1."/>
      <w:lvlJc w:val="left"/>
      <w:pPr>
        <w:ind w:left="1085" w:hanging="345"/>
      </w:pPr>
      <w:rPr>
        <w:rFonts w:ascii="Times New Roman" w:eastAsia="Times New Roman" w:hAnsi="Times New Roman" w:cs="Times New Roman" w:hint="default"/>
        <w:color w:val="4F4F4F"/>
        <w:w w:val="106"/>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0EFA4494"/>
    <w:multiLevelType w:val="hybridMultilevel"/>
    <w:tmpl w:val="8CECE236"/>
    <w:lvl w:ilvl="0" w:tplc="55A04204">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0F14359C"/>
    <w:multiLevelType w:val="hybridMultilevel"/>
    <w:tmpl w:val="E29AD5A0"/>
    <w:lvl w:ilvl="0" w:tplc="8B329C02">
      <w:start w:val="1"/>
      <w:numFmt w:val="decimal"/>
      <w:lvlText w:val="%1)"/>
      <w:lvlJc w:val="left"/>
      <w:pPr>
        <w:ind w:left="289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0F6B2F7B"/>
    <w:multiLevelType w:val="hybridMultilevel"/>
    <w:tmpl w:val="214AA08E"/>
    <w:lvl w:ilvl="0" w:tplc="C77EC3D2">
      <w:start w:val="1"/>
      <w:numFmt w:val="decimal"/>
      <w:lvlText w:val="%1)"/>
      <w:lvlJc w:val="left"/>
      <w:pPr>
        <w:tabs>
          <w:tab w:val="num" w:pos="360"/>
        </w:tabs>
        <w:ind w:left="360" w:hanging="360"/>
      </w:pPr>
      <w:rPr>
        <w:color w:val="auto"/>
      </w:rPr>
    </w:lvl>
    <w:lvl w:ilvl="1" w:tplc="04150017">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06" w15:restartNumberingAfterBreak="0">
    <w:nsid w:val="0F7F1DAB"/>
    <w:multiLevelType w:val="hybridMultilevel"/>
    <w:tmpl w:val="A54E5196"/>
    <w:lvl w:ilvl="0" w:tplc="2416C156">
      <w:start w:val="1"/>
      <w:numFmt w:val="decimal"/>
      <w:lvlText w:val="%1)"/>
      <w:lvlJc w:val="left"/>
      <w:pPr>
        <w:ind w:left="865" w:hanging="273"/>
        <w:jc w:val="right"/>
      </w:pPr>
      <w:rPr>
        <w:rFonts w:hint="default"/>
        <w:w w:val="101"/>
      </w:rPr>
    </w:lvl>
    <w:lvl w:ilvl="1" w:tplc="9F3AF672">
      <w:start w:val="1"/>
      <w:numFmt w:val="lowerLetter"/>
      <w:lvlText w:val="%2)"/>
      <w:lvlJc w:val="left"/>
      <w:pPr>
        <w:ind w:left="1334" w:hanging="273"/>
      </w:pPr>
      <w:rPr>
        <w:rFonts w:hint="default"/>
        <w:spacing w:val="-1"/>
        <w:w w:val="106"/>
      </w:rPr>
    </w:lvl>
    <w:lvl w:ilvl="2" w:tplc="28DAA160">
      <w:numFmt w:val="bullet"/>
      <w:lvlText w:val="•"/>
      <w:lvlJc w:val="left"/>
      <w:pPr>
        <w:ind w:left="1340" w:hanging="273"/>
      </w:pPr>
      <w:rPr>
        <w:rFonts w:hint="default"/>
      </w:rPr>
    </w:lvl>
    <w:lvl w:ilvl="3" w:tplc="7DD82A36">
      <w:numFmt w:val="bullet"/>
      <w:lvlText w:val="•"/>
      <w:lvlJc w:val="left"/>
      <w:pPr>
        <w:ind w:left="2370" w:hanging="273"/>
      </w:pPr>
      <w:rPr>
        <w:rFonts w:hint="default"/>
      </w:rPr>
    </w:lvl>
    <w:lvl w:ilvl="4" w:tplc="BFBAE790">
      <w:numFmt w:val="bullet"/>
      <w:lvlText w:val="•"/>
      <w:lvlJc w:val="left"/>
      <w:pPr>
        <w:ind w:left="3400" w:hanging="273"/>
      </w:pPr>
      <w:rPr>
        <w:rFonts w:hint="default"/>
      </w:rPr>
    </w:lvl>
    <w:lvl w:ilvl="5" w:tplc="3BD25BAA">
      <w:numFmt w:val="bullet"/>
      <w:lvlText w:val="•"/>
      <w:lvlJc w:val="left"/>
      <w:pPr>
        <w:ind w:left="4430" w:hanging="273"/>
      </w:pPr>
      <w:rPr>
        <w:rFonts w:hint="default"/>
      </w:rPr>
    </w:lvl>
    <w:lvl w:ilvl="6" w:tplc="FD4E597A">
      <w:numFmt w:val="bullet"/>
      <w:lvlText w:val="•"/>
      <w:lvlJc w:val="left"/>
      <w:pPr>
        <w:ind w:left="5460" w:hanging="273"/>
      </w:pPr>
      <w:rPr>
        <w:rFonts w:hint="default"/>
      </w:rPr>
    </w:lvl>
    <w:lvl w:ilvl="7" w:tplc="0D1C6A78">
      <w:numFmt w:val="bullet"/>
      <w:lvlText w:val="•"/>
      <w:lvlJc w:val="left"/>
      <w:pPr>
        <w:ind w:left="6490" w:hanging="273"/>
      </w:pPr>
      <w:rPr>
        <w:rFonts w:hint="default"/>
      </w:rPr>
    </w:lvl>
    <w:lvl w:ilvl="8" w:tplc="FDDC87BE">
      <w:numFmt w:val="bullet"/>
      <w:lvlText w:val="•"/>
      <w:lvlJc w:val="left"/>
      <w:pPr>
        <w:ind w:left="7520" w:hanging="273"/>
      </w:pPr>
      <w:rPr>
        <w:rFonts w:hint="default"/>
      </w:rPr>
    </w:lvl>
  </w:abstractNum>
  <w:abstractNum w:abstractNumId="107" w15:restartNumberingAfterBreak="0">
    <w:nsid w:val="1089138B"/>
    <w:multiLevelType w:val="hybridMultilevel"/>
    <w:tmpl w:val="03A09434"/>
    <w:lvl w:ilvl="0" w:tplc="5A12C602">
      <w:start w:val="3"/>
      <w:numFmt w:val="lowerLetter"/>
      <w:lvlText w:val="%1)"/>
      <w:lvlJc w:val="left"/>
      <w:pPr>
        <w:ind w:left="348" w:hanging="348"/>
      </w:pPr>
      <w:rPr>
        <w:rFonts w:hint="default"/>
        <w:spacing w:val="-1"/>
        <w:w w:val="10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1147107"/>
    <w:multiLevelType w:val="hybridMultilevel"/>
    <w:tmpl w:val="597C54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14B1149"/>
    <w:multiLevelType w:val="hybridMultilevel"/>
    <w:tmpl w:val="4F747EB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1DC680C"/>
    <w:multiLevelType w:val="hybridMultilevel"/>
    <w:tmpl w:val="DF763CF8"/>
    <w:lvl w:ilvl="0" w:tplc="E46A5760">
      <w:start w:val="1"/>
      <w:numFmt w:val="decimal"/>
      <w:lvlText w:val="11.1.%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2200471"/>
    <w:multiLevelType w:val="hybridMultilevel"/>
    <w:tmpl w:val="183E8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28C28E4"/>
    <w:multiLevelType w:val="hybridMultilevel"/>
    <w:tmpl w:val="A874D306"/>
    <w:lvl w:ilvl="0" w:tplc="91BC5A6C">
      <w:start w:val="1"/>
      <w:numFmt w:val="lowerLetter"/>
      <w:lvlText w:val="%1)"/>
      <w:lvlJc w:val="left"/>
      <w:pPr>
        <w:ind w:left="1920" w:hanging="360"/>
      </w:pPr>
      <w:rPr>
        <w:rFonts w:hint="default"/>
      </w:rPr>
    </w:lvl>
    <w:lvl w:ilvl="1" w:tplc="EFBEF00C">
      <w:start w:val="1"/>
      <w:numFmt w:val="lowerLetter"/>
      <w:lvlText w:val="%2)"/>
      <w:lvlJc w:val="left"/>
      <w:pPr>
        <w:ind w:left="2640" w:hanging="360"/>
      </w:pPr>
      <w:rPr>
        <w:rFonts w:hint="default"/>
      </w:rPr>
    </w:lvl>
    <w:lvl w:ilvl="2" w:tplc="47F610FE">
      <w:start w:val="1"/>
      <w:numFmt w:val="decimal"/>
      <w:lvlText w:val="%3)"/>
      <w:lvlJc w:val="left"/>
      <w:pPr>
        <w:ind w:left="3540" w:hanging="360"/>
      </w:pPr>
      <w:rPr>
        <w:rFonts w:hint="default"/>
        <w:color w:val="000000"/>
      </w:r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13" w15:restartNumberingAfterBreak="0">
    <w:nsid w:val="12B85B80"/>
    <w:multiLevelType w:val="hybridMultilevel"/>
    <w:tmpl w:val="AD86660A"/>
    <w:lvl w:ilvl="0" w:tplc="A7E45A32">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4" w15:restartNumberingAfterBreak="0">
    <w:nsid w:val="13542AA7"/>
    <w:multiLevelType w:val="hybridMultilevel"/>
    <w:tmpl w:val="EA987930"/>
    <w:lvl w:ilvl="0" w:tplc="56CA05BC">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35E22F3"/>
    <w:multiLevelType w:val="hybridMultilevel"/>
    <w:tmpl w:val="2C309B26"/>
    <w:lvl w:ilvl="0" w:tplc="0BC283F8">
      <w:start w:val="10"/>
      <w:numFmt w:val="decimal"/>
      <w:lvlText w:val="%1."/>
      <w:lvlJc w:val="right"/>
      <w:pPr>
        <w:ind w:left="106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3863F54"/>
    <w:multiLevelType w:val="multilevel"/>
    <w:tmpl w:val="B05EB524"/>
    <w:lvl w:ilvl="0">
      <w:start w:val="2"/>
      <w:numFmt w:val="upperRoman"/>
      <w:lvlText w:val="%1"/>
      <w:lvlJc w:val="left"/>
      <w:pPr>
        <w:ind w:left="602" w:hanging="1128"/>
      </w:pPr>
      <w:rPr>
        <w:rFonts w:hint="default"/>
      </w:rPr>
    </w:lvl>
    <w:lvl w:ilvl="1">
      <w:start w:val="4"/>
      <w:numFmt w:val="decimal"/>
      <w:lvlText w:val="%1.%2"/>
      <w:lvlJc w:val="left"/>
      <w:pPr>
        <w:ind w:left="602" w:hanging="1128"/>
      </w:pPr>
      <w:rPr>
        <w:rFonts w:hint="default"/>
      </w:rPr>
    </w:lvl>
    <w:lvl w:ilvl="2">
      <w:start w:val="7"/>
      <w:numFmt w:val="decimal"/>
      <w:lvlText w:val="%1.%2.%3"/>
      <w:lvlJc w:val="left"/>
      <w:pPr>
        <w:ind w:left="602" w:hanging="1128"/>
      </w:pPr>
      <w:rPr>
        <w:rFonts w:hint="default"/>
      </w:rPr>
    </w:lvl>
    <w:lvl w:ilvl="3">
      <w:start w:val="4"/>
      <w:numFmt w:val="decimal"/>
      <w:lvlText w:val="%1.%2.%3.%4"/>
      <w:lvlJc w:val="left"/>
      <w:pPr>
        <w:ind w:left="602" w:hanging="1128"/>
      </w:pPr>
      <w:rPr>
        <w:rFonts w:hint="default"/>
      </w:rPr>
    </w:lvl>
    <w:lvl w:ilvl="4">
      <w:start w:val="1"/>
      <w:numFmt w:val="decimal"/>
      <w:lvlText w:val="%1.%2.%3.%4.%5."/>
      <w:lvlJc w:val="left"/>
      <w:pPr>
        <w:ind w:left="602" w:hanging="1128"/>
      </w:pPr>
      <w:rPr>
        <w:rFonts w:ascii="Times New Roman" w:eastAsia="Times New Roman" w:hAnsi="Times New Roman" w:cs="Times New Roman" w:hint="default"/>
        <w:color w:val="484848"/>
        <w:w w:val="104"/>
        <w:sz w:val="22"/>
        <w:szCs w:val="22"/>
      </w:rPr>
    </w:lvl>
    <w:lvl w:ilvl="5">
      <w:start w:val="1"/>
      <w:numFmt w:val="lowerLetter"/>
      <w:lvlText w:val="%6)"/>
      <w:lvlJc w:val="left"/>
      <w:pPr>
        <w:ind w:left="1019" w:hanging="278"/>
      </w:pPr>
      <w:rPr>
        <w:rFonts w:ascii="Times New Roman" w:eastAsia="Times New Roman" w:hAnsi="Times New Roman" w:cs="Times New Roman" w:hint="default"/>
        <w:color w:val="000000" w:themeColor="text1"/>
        <w:spacing w:val="-1"/>
        <w:w w:val="106"/>
        <w:sz w:val="24"/>
        <w:szCs w:val="24"/>
      </w:rPr>
    </w:lvl>
    <w:lvl w:ilvl="6">
      <w:numFmt w:val="bullet"/>
      <w:lvlText w:val="•"/>
      <w:lvlJc w:val="left"/>
      <w:pPr>
        <w:ind w:left="5820" w:hanging="278"/>
      </w:pPr>
      <w:rPr>
        <w:rFonts w:hint="default"/>
      </w:rPr>
    </w:lvl>
    <w:lvl w:ilvl="7">
      <w:numFmt w:val="bullet"/>
      <w:lvlText w:val="•"/>
      <w:lvlJc w:val="left"/>
      <w:pPr>
        <w:ind w:left="6780" w:hanging="278"/>
      </w:pPr>
      <w:rPr>
        <w:rFonts w:hint="default"/>
      </w:rPr>
    </w:lvl>
    <w:lvl w:ilvl="8">
      <w:numFmt w:val="bullet"/>
      <w:lvlText w:val="•"/>
      <w:lvlJc w:val="left"/>
      <w:pPr>
        <w:ind w:left="7740" w:hanging="278"/>
      </w:pPr>
      <w:rPr>
        <w:rFonts w:hint="default"/>
      </w:rPr>
    </w:lvl>
  </w:abstractNum>
  <w:abstractNum w:abstractNumId="117" w15:restartNumberingAfterBreak="0">
    <w:nsid w:val="13C34B39"/>
    <w:multiLevelType w:val="hybridMultilevel"/>
    <w:tmpl w:val="0A00F6D8"/>
    <w:lvl w:ilvl="0" w:tplc="38AEFBBE">
      <w:start w:val="1"/>
      <w:numFmt w:val="lowerLetter"/>
      <w:lvlText w:val="%1)"/>
      <w:lvlJc w:val="left"/>
      <w:pPr>
        <w:ind w:left="28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13EB4E04"/>
    <w:multiLevelType w:val="hybridMultilevel"/>
    <w:tmpl w:val="7C9CE2D2"/>
    <w:lvl w:ilvl="0" w:tplc="92404234">
      <w:start w:val="1"/>
      <w:numFmt w:val="lowerLetter"/>
      <w:lvlText w:val="%1)"/>
      <w:lvlJc w:val="left"/>
      <w:pPr>
        <w:tabs>
          <w:tab w:val="num" w:pos="360"/>
        </w:tabs>
        <w:ind w:left="360" w:hanging="360"/>
      </w:pPr>
      <w:rPr>
        <w:rFonts w:hint="default"/>
        <w:b w:val="0"/>
        <w:i w:val="0"/>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19" w15:restartNumberingAfterBreak="0">
    <w:nsid w:val="14460521"/>
    <w:multiLevelType w:val="hybridMultilevel"/>
    <w:tmpl w:val="08AAAF76"/>
    <w:lvl w:ilvl="0" w:tplc="3AEAB576">
      <w:start w:val="8"/>
      <w:numFmt w:val="decimal"/>
      <w:lvlText w:val="II.2.1.%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4A1299C"/>
    <w:multiLevelType w:val="hybridMultilevel"/>
    <w:tmpl w:val="7EC23B52"/>
    <w:lvl w:ilvl="0" w:tplc="1B5055A8">
      <w:start w:val="1"/>
      <w:numFmt w:val="decimal"/>
      <w:lvlText w:val="%1."/>
      <w:lvlJc w:val="left"/>
      <w:pPr>
        <w:ind w:left="1579" w:hanging="346"/>
      </w:pPr>
      <w:rPr>
        <w:rFonts w:ascii="Times New Roman" w:eastAsia="Times New Roman" w:hAnsi="Times New Roman" w:cs="Times New Roman" w:hint="default"/>
        <w:color w:val="525252"/>
        <w:w w:val="105"/>
        <w:sz w:val="24"/>
        <w:szCs w:val="24"/>
      </w:rPr>
    </w:lvl>
    <w:lvl w:ilvl="1" w:tplc="654EF180">
      <w:numFmt w:val="bullet"/>
      <w:lvlText w:val="•"/>
      <w:lvlJc w:val="left"/>
      <w:pPr>
        <w:ind w:left="2380" w:hanging="346"/>
      </w:pPr>
      <w:rPr>
        <w:rFonts w:hint="default"/>
      </w:rPr>
    </w:lvl>
    <w:lvl w:ilvl="2" w:tplc="569AD9E0">
      <w:numFmt w:val="bullet"/>
      <w:lvlText w:val="•"/>
      <w:lvlJc w:val="left"/>
      <w:pPr>
        <w:ind w:left="3180" w:hanging="346"/>
      </w:pPr>
      <w:rPr>
        <w:rFonts w:hint="default"/>
      </w:rPr>
    </w:lvl>
    <w:lvl w:ilvl="3" w:tplc="21344EB4">
      <w:numFmt w:val="bullet"/>
      <w:lvlText w:val="•"/>
      <w:lvlJc w:val="left"/>
      <w:pPr>
        <w:ind w:left="3980" w:hanging="346"/>
      </w:pPr>
      <w:rPr>
        <w:rFonts w:hint="default"/>
      </w:rPr>
    </w:lvl>
    <w:lvl w:ilvl="4" w:tplc="D14E5200">
      <w:numFmt w:val="bullet"/>
      <w:lvlText w:val="•"/>
      <w:lvlJc w:val="left"/>
      <w:pPr>
        <w:ind w:left="4780" w:hanging="346"/>
      </w:pPr>
      <w:rPr>
        <w:rFonts w:hint="default"/>
      </w:rPr>
    </w:lvl>
    <w:lvl w:ilvl="5" w:tplc="1996F8A2">
      <w:numFmt w:val="bullet"/>
      <w:lvlText w:val="•"/>
      <w:lvlJc w:val="left"/>
      <w:pPr>
        <w:ind w:left="5580" w:hanging="346"/>
      </w:pPr>
      <w:rPr>
        <w:rFonts w:hint="default"/>
      </w:rPr>
    </w:lvl>
    <w:lvl w:ilvl="6" w:tplc="12FEEB3A">
      <w:numFmt w:val="bullet"/>
      <w:lvlText w:val="•"/>
      <w:lvlJc w:val="left"/>
      <w:pPr>
        <w:ind w:left="6380" w:hanging="346"/>
      </w:pPr>
      <w:rPr>
        <w:rFonts w:hint="default"/>
      </w:rPr>
    </w:lvl>
    <w:lvl w:ilvl="7" w:tplc="C4E40940">
      <w:numFmt w:val="bullet"/>
      <w:lvlText w:val="•"/>
      <w:lvlJc w:val="left"/>
      <w:pPr>
        <w:ind w:left="7180" w:hanging="346"/>
      </w:pPr>
      <w:rPr>
        <w:rFonts w:hint="default"/>
      </w:rPr>
    </w:lvl>
    <w:lvl w:ilvl="8" w:tplc="5D5ACEC0">
      <w:numFmt w:val="bullet"/>
      <w:lvlText w:val="•"/>
      <w:lvlJc w:val="left"/>
      <w:pPr>
        <w:ind w:left="7980" w:hanging="346"/>
      </w:pPr>
      <w:rPr>
        <w:rFonts w:hint="default"/>
      </w:rPr>
    </w:lvl>
  </w:abstractNum>
  <w:abstractNum w:abstractNumId="121" w15:restartNumberingAfterBreak="0">
    <w:nsid w:val="150C2FD1"/>
    <w:multiLevelType w:val="hybridMultilevel"/>
    <w:tmpl w:val="E70E9B94"/>
    <w:lvl w:ilvl="0" w:tplc="04FC8174">
      <w:start w:val="1"/>
      <w:numFmt w:val="decimal"/>
      <w:lvlText w:val="%1)"/>
      <w:lvlJc w:val="left"/>
      <w:pPr>
        <w:ind w:left="1010" w:hanging="339"/>
      </w:pPr>
      <w:rPr>
        <w:rFonts w:ascii="Times New Roman" w:eastAsia="Times New Roman" w:hAnsi="Times New Roman" w:cs="Times New Roman" w:hint="default"/>
        <w:color w:val="464646"/>
        <w:w w:val="103"/>
        <w:sz w:val="24"/>
        <w:szCs w:val="24"/>
      </w:rPr>
    </w:lvl>
    <w:lvl w:ilvl="1" w:tplc="1B560746">
      <w:numFmt w:val="bullet"/>
      <w:lvlText w:val="•"/>
      <w:lvlJc w:val="left"/>
      <w:pPr>
        <w:ind w:left="1884" w:hanging="339"/>
      </w:pPr>
      <w:rPr>
        <w:rFonts w:hint="default"/>
      </w:rPr>
    </w:lvl>
    <w:lvl w:ilvl="2" w:tplc="660C4AA4">
      <w:numFmt w:val="bullet"/>
      <w:lvlText w:val="•"/>
      <w:lvlJc w:val="left"/>
      <w:pPr>
        <w:ind w:left="2748" w:hanging="339"/>
      </w:pPr>
      <w:rPr>
        <w:rFonts w:hint="default"/>
      </w:rPr>
    </w:lvl>
    <w:lvl w:ilvl="3" w:tplc="FFA864FE">
      <w:numFmt w:val="bullet"/>
      <w:lvlText w:val="•"/>
      <w:lvlJc w:val="left"/>
      <w:pPr>
        <w:ind w:left="3612" w:hanging="339"/>
      </w:pPr>
      <w:rPr>
        <w:rFonts w:hint="default"/>
      </w:rPr>
    </w:lvl>
    <w:lvl w:ilvl="4" w:tplc="0442D6A6">
      <w:numFmt w:val="bullet"/>
      <w:lvlText w:val="•"/>
      <w:lvlJc w:val="left"/>
      <w:pPr>
        <w:ind w:left="4476" w:hanging="339"/>
      </w:pPr>
      <w:rPr>
        <w:rFonts w:hint="default"/>
      </w:rPr>
    </w:lvl>
    <w:lvl w:ilvl="5" w:tplc="5FB4DF46">
      <w:numFmt w:val="bullet"/>
      <w:lvlText w:val="•"/>
      <w:lvlJc w:val="left"/>
      <w:pPr>
        <w:ind w:left="5340" w:hanging="339"/>
      </w:pPr>
      <w:rPr>
        <w:rFonts w:hint="default"/>
      </w:rPr>
    </w:lvl>
    <w:lvl w:ilvl="6" w:tplc="12800C6E">
      <w:numFmt w:val="bullet"/>
      <w:lvlText w:val="•"/>
      <w:lvlJc w:val="left"/>
      <w:pPr>
        <w:ind w:left="6204" w:hanging="339"/>
      </w:pPr>
      <w:rPr>
        <w:rFonts w:hint="default"/>
      </w:rPr>
    </w:lvl>
    <w:lvl w:ilvl="7" w:tplc="2CBEFD66">
      <w:numFmt w:val="bullet"/>
      <w:lvlText w:val="•"/>
      <w:lvlJc w:val="left"/>
      <w:pPr>
        <w:ind w:left="7068" w:hanging="339"/>
      </w:pPr>
      <w:rPr>
        <w:rFonts w:hint="default"/>
      </w:rPr>
    </w:lvl>
    <w:lvl w:ilvl="8" w:tplc="D3D07A88">
      <w:numFmt w:val="bullet"/>
      <w:lvlText w:val="•"/>
      <w:lvlJc w:val="left"/>
      <w:pPr>
        <w:ind w:left="7932" w:hanging="339"/>
      </w:pPr>
      <w:rPr>
        <w:rFonts w:hint="default"/>
      </w:rPr>
    </w:lvl>
  </w:abstractNum>
  <w:abstractNum w:abstractNumId="122" w15:restartNumberingAfterBreak="0">
    <w:nsid w:val="15156A40"/>
    <w:multiLevelType w:val="hybridMultilevel"/>
    <w:tmpl w:val="B3E85592"/>
    <w:lvl w:ilvl="0" w:tplc="3BD8612A">
      <w:start w:val="4"/>
      <w:numFmt w:val="upperRoman"/>
      <w:lvlText w:val="%1."/>
      <w:lvlJc w:val="left"/>
      <w:pPr>
        <w:ind w:left="1629" w:hanging="360"/>
      </w:pPr>
      <w:rPr>
        <w:rFonts w:ascii="Times New Roman" w:eastAsia="Arial" w:hAnsi="Times New Roman" w:cs="Times New Roman" w:hint="default"/>
        <w:b w:val="0"/>
        <w:bCs w:val="0"/>
        <w:spacing w:val="0"/>
        <w:w w:val="100"/>
        <w:sz w:val="24"/>
        <w:szCs w:val="24"/>
      </w:rPr>
    </w:lvl>
    <w:lvl w:ilvl="1" w:tplc="1BA60AE2">
      <w:start w:val="1"/>
      <w:numFmt w:val="decimal"/>
      <w:lvlText w:val="%2."/>
      <w:lvlJc w:val="left"/>
      <w:pPr>
        <w:ind w:left="1440" w:hanging="360"/>
      </w:pPr>
      <w:rPr>
        <w:rFonts w:ascii="Times New Roman" w:eastAsia="Calibri" w:hAnsi="Times New Roman" w:cs="Times New Roman"/>
        <w:b w:val="0"/>
        <w:b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5161A52"/>
    <w:multiLevelType w:val="hybridMultilevel"/>
    <w:tmpl w:val="3716BBE0"/>
    <w:lvl w:ilvl="0" w:tplc="D0749E6A">
      <w:start w:val="1"/>
      <w:numFmt w:val="lowerLetter"/>
      <w:lvlText w:val="%1)"/>
      <w:lvlJc w:val="left"/>
      <w:pPr>
        <w:ind w:left="3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53D001A"/>
    <w:multiLevelType w:val="hybridMultilevel"/>
    <w:tmpl w:val="0C3489DC"/>
    <w:lvl w:ilvl="0" w:tplc="58C84EA6">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167F3D37"/>
    <w:multiLevelType w:val="hybridMultilevel"/>
    <w:tmpl w:val="498AC21A"/>
    <w:lvl w:ilvl="0" w:tplc="F3F6D502">
      <w:start w:val="2"/>
      <w:numFmt w:val="decimal"/>
      <w:lvlText w:val="%1)"/>
      <w:lvlJc w:val="righ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171C2FBD"/>
    <w:multiLevelType w:val="hybridMultilevel"/>
    <w:tmpl w:val="2F10E07A"/>
    <w:lvl w:ilvl="0" w:tplc="1DEC5F9A">
      <w:start w:val="2"/>
      <w:numFmt w:val="decimal"/>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7B65203"/>
    <w:multiLevelType w:val="hybridMultilevel"/>
    <w:tmpl w:val="DF5C7802"/>
    <w:lvl w:ilvl="0" w:tplc="63704936">
      <w:start w:val="2"/>
      <w:numFmt w:val="decimal"/>
      <w:lvlText w:val="%1)"/>
      <w:lvlJc w:val="left"/>
      <w:pPr>
        <w:ind w:left="1873" w:hanging="342"/>
      </w:pPr>
      <w:rPr>
        <w:rFonts w:ascii="Times New Roman" w:eastAsia="Times New Roman" w:hAnsi="Times New Roman" w:cs="Times New Roman" w:hint="default"/>
        <w:color w:val="4F4F4F"/>
        <w:w w:val="100"/>
        <w:sz w:val="24"/>
        <w:szCs w:val="24"/>
      </w:rPr>
    </w:lvl>
    <w:lvl w:ilvl="1" w:tplc="50B49F90">
      <w:numFmt w:val="bullet"/>
      <w:lvlText w:val="•"/>
      <w:lvlJc w:val="left"/>
      <w:pPr>
        <w:ind w:left="2650" w:hanging="342"/>
      </w:pPr>
      <w:rPr>
        <w:rFonts w:hint="default"/>
      </w:rPr>
    </w:lvl>
    <w:lvl w:ilvl="2" w:tplc="BE6E3090">
      <w:numFmt w:val="bullet"/>
      <w:lvlText w:val="•"/>
      <w:lvlJc w:val="left"/>
      <w:pPr>
        <w:ind w:left="3420" w:hanging="342"/>
      </w:pPr>
      <w:rPr>
        <w:rFonts w:hint="default"/>
      </w:rPr>
    </w:lvl>
    <w:lvl w:ilvl="3" w:tplc="7486B608">
      <w:numFmt w:val="bullet"/>
      <w:lvlText w:val="•"/>
      <w:lvlJc w:val="left"/>
      <w:pPr>
        <w:ind w:left="4190" w:hanging="342"/>
      </w:pPr>
      <w:rPr>
        <w:rFonts w:hint="default"/>
      </w:rPr>
    </w:lvl>
    <w:lvl w:ilvl="4" w:tplc="FE6E8F80">
      <w:numFmt w:val="bullet"/>
      <w:lvlText w:val="•"/>
      <w:lvlJc w:val="left"/>
      <w:pPr>
        <w:ind w:left="4960" w:hanging="342"/>
      </w:pPr>
      <w:rPr>
        <w:rFonts w:hint="default"/>
      </w:rPr>
    </w:lvl>
    <w:lvl w:ilvl="5" w:tplc="9C028F2A">
      <w:numFmt w:val="bullet"/>
      <w:lvlText w:val="•"/>
      <w:lvlJc w:val="left"/>
      <w:pPr>
        <w:ind w:left="5730" w:hanging="342"/>
      </w:pPr>
      <w:rPr>
        <w:rFonts w:hint="default"/>
      </w:rPr>
    </w:lvl>
    <w:lvl w:ilvl="6" w:tplc="A4BE8842">
      <w:numFmt w:val="bullet"/>
      <w:lvlText w:val="•"/>
      <w:lvlJc w:val="left"/>
      <w:pPr>
        <w:ind w:left="6500" w:hanging="342"/>
      </w:pPr>
      <w:rPr>
        <w:rFonts w:hint="default"/>
      </w:rPr>
    </w:lvl>
    <w:lvl w:ilvl="7" w:tplc="B934A28E">
      <w:numFmt w:val="bullet"/>
      <w:lvlText w:val="•"/>
      <w:lvlJc w:val="left"/>
      <w:pPr>
        <w:ind w:left="7270" w:hanging="342"/>
      </w:pPr>
      <w:rPr>
        <w:rFonts w:hint="default"/>
      </w:rPr>
    </w:lvl>
    <w:lvl w:ilvl="8" w:tplc="A80ECA2E">
      <w:numFmt w:val="bullet"/>
      <w:lvlText w:val="•"/>
      <w:lvlJc w:val="left"/>
      <w:pPr>
        <w:ind w:left="8040" w:hanging="342"/>
      </w:pPr>
      <w:rPr>
        <w:rFonts w:hint="default"/>
      </w:rPr>
    </w:lvl>
  </w:abstractNum>
  <w:abstractNum w:abstractNumId="128" w15:restartNumberingAfterBreak="0">
    <w:nsid w:val="17BA5D6C"/>
    <w:multiLevelType w:val="hybridMultilevel"/>
    <w:tmpl w:val="283E3ADA"/>
    <w:lvl w:ilvl="0" w:tplc="356248EA">
      <w:start w:val="1"/>
      <w:numFmt w:val="lowerLetter"/>
      <w:lvlText w:val="%1)"/>
      <w:lvlJc w:val="left"/>
      <w:pPr>
        <w:tabs>
          <w:tab w:val="num" w:pos="-1800"/>
        </w:tabs>
        <w:ind w:left="-1877" w:hanging="283"/>
      </w:pPr>
      <w:rPr>
        <w:rFonts w:hint="default"/>
      </w:rPr>
    </w:lvl>
    <w:lvl w:ilvl="1" w:tplc="6256134A">
      <w:start w:val="1"/>
      <w:numFmt w:val="lowerLetter"/>
      <w:pStyle w:val="Spistreci4"/>
      <w:lvlText w:val="%2)"/>
      <w:lvlJc w:val="left"/>
      <w:pPr>
        <w:tabs>
          <w:tab w:val="num" w:pos="360"/>
        </w:tabs>
        <w:ind w:left="357" w:hanging="35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360"/>
        </w:tabs>
        <w:ind w:left="360" w:hanging="360"/>
      </w:pPr>
    </w:lvl>
    <w:lvl w:ilvl="5" w:tplc="0415001B" w:tentative="1">
      <w:start w:val="1"/>
      <w:numFmt w:val="lowerRoman"/>
      <w:lvlText w:val="%6."/>
      <w:lvlJc w:val="right"/>
      <w:pPr>
        <w:tabs>
          <w:tab w:val="num" w:pos="1080"/>
        </w:tabs>
        <w:ind w:left="1080" w:hanging="180"/>
      </w:pPr>
    </w:lvl>
    <w:lvl w:ilvl="6" w:tplc="0415000F" w:tentative="1">
      <w:start w:val="1"/>
      <w:numFmt w:val="decimal"/>
      <w:lvlText w:val="%7."/>
      <w:lvlJc w:val="left"/>
      <w:pPr>
        <w:tabs>
          <w:tab w:val="num" w:pos="1800"/>
        </w:tabs>
        <w:ind w:left="1800" w:hanging="360"/>
      </w:pPr>
    </w:lvl>
    <w:lvl w:ilvl="7" w:tplc="04150019" w:tentative="1">
      <w:start w:val="1"/>
      <w:numFmt w:val="lowerLetter"/>
      <w:lvlText w:val="%8."/>
      <w:lvlJc w:val="left"/>
      <w:pPr>
        <w:tabs>
          <w:tab w:val="num" w:pos="2520"/>
        </w:tabs>
        <w:ind w:left="2520" w:hanging="360"/>
      </w:pPr>
    </w:lvl>
    <w:lvl w:ilvl="8" w:tplc="0415001B" w:tentative="1">
      <w:start w:val="1"/>
      <w:numFmt w:val="lowerRoman"/>
      <w:lvlText w:val="%9."/>
      <w:lvlJc w:val="right"/>
      <w:pPr>
        <w:tabs>
          <w:tab w:val="num" w:pos="3240"/>
        </w:tabs>
        <w:ind w:left="3240" w:hanging="180"/>
      </w:pPr>
    </w:lvl>
  </w:abstractNum>
  <w:abstractNum w:abstractNumId="129" w15:restartNumberingAfterBreak="0">
    <w:nsid w:val="19366E03"/>
    <w:multiLevelType w:val="hybridMultilevel"/>
    <w:tmpl w:val="5666D8CE"/>
    <w:lvl w:ilvl="0" w:tplc="C9AC7190">
      <w:start w:val="6"/>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1A3926CA"/>
    <w:multiLevelType w:val="hybridMultilevel"/>
    <w:tmpl w:val="A0B025D4"/>
    <w:lvl w:ilvl="0" w:tplc="878EFA1C">
      <w:start w:val="11"/>
      <w:numFmt w:val="decimal"/>
      <w:lvlText w:val="%1."/>
      <w:lvlJc w:val="left"/>
      <w:pPr>
        <w:ind w:left="1402" w:hanging="337"/>
        <w:jc w:val="right"/>
      </w:pPr>
      <w:rPr>
        <w:rFonts w:hint="default"/>
        <w:w w:val="97"/>
      </w:rPr>
    </w:lvl>
    <w:lvl w:ilvl="1" w:tplc="BFD019BA">
      <w:start w:val="1"/>
      <w:numFmt w:val="decimal"/>
      <w:lvlText w:val="%2)"/>
      <w:lvlJc w:val="left"/>
      <w:pPr>
        <w:ind w:left="1856" w:hanging="335"/>
      </w:pPr>
      <w:rPr>
        <w:rFonts w:ascii="Times New Roman" w:eastAsia="Times New Roman" w:hAnsi="Times New Roman" w:cs="Times New Roman" w:hint="default"/>
        <w:color w:val="4F4F4F"/>
        <w:w w:val="95"/>
        <w:sz w:val="23"/>
        <w:szCs w:val="23"/>
      </w:rPr>
    </w:lvl>
    <w:lvl w:ilvl="2" w:tplc="485C3F26">
      <w:numFmt w:val="bullet"/>
      <w:lvlText w:val="•"/>
      <w:lvlJc w:val="left"/>
      <w:pPr>
        <w:ind w:left="2717" w:hanging="335"/>
      </w:pPr>
      <w:rPr>
        <w:rFonts w:hint="default"/>
      </w:rPr>
    </w:lvl>
    <w:lvl w:ilvl="3" w:tplc="11CE5D68">
      <w:numFmt w:val="bullet"/>
      <w:lvlText w:val="•"/>
      <w:lvlJc w:val="left"/>
      <w:pPr>
        <w:ind w:left="3575" w:hanging="335"/>
      </w:pPr>
      <w:rPr>
        <w:rFonts w:hint="default"/>
      </w:rPr>
    </w:lvl>
    <w:lvl w:ilvl="4" w:tplc="DEB4639E">
      <w:numFmt w:val="bullet"/>
      <w:lvlText w:val="•"/>
      <w:lvlJc w:val="left"/>
      <w:pPr>
        <w:ind w:left="4433" w:hanging="335"/>
      </w:pPr>
      <w:rPr>
        <w:rFonts w:hint="default"/>
      </w:rPr>
    </w:lvl>
    <w:lvl w:ilvl="5" w:tplc="095EB7C2">
      <w:numFmt w:val="bullet"/>
      <w:lvlText w:val="•"/>
      <w:lvlJc w:val="left"/>
      <w:pPr>
        <w:ind w:left="5291" w:hanging="335"/>
      </w:pPr>
      <w:rPr>
        <w:rFonts w:hint="default"/>
      </w:rPr>
    </w:lvl>
    <w:lvl w:ilvl="6" w:tplc="2386205C">
      <w:numFmt w:val="bullet"/>
      <w:lvlText w:val="•"/>
      <w:lvlJc w:val="left"/>
      <w:pPr>
        <w:ind w:left="6148" w:hanging="335"/>
      </w:pPr>
      <w:rPr>
        <w:rFonts w:hint="default"/>
      </w:rPr>
    </w:lvl>
    <w:lvl w:ilvl="7" w:tplc="C41285BC">
      <w:numFmt w:val="bullet"/>
      <w:lvlText w:val="•"/>
      <w:lvlJc w:val="left"/>
      <w:pPr>
        <w:ind w:left="7006" w:hanging="335"/>
      </w:pPr>
      <w:rPr>
        <w:rFonts w:hint="default"/>
      </w:rPr>
    </w:lvl>
    <w:lvl w:ilvl="8" w:tplc="1690D54E">
      <w:numFmt w:val="bullet"/>
      <w:lvlText w:val="•"/>
      <w:lvlJc w:val="left"/>
      <w:pPr>
        <w:ind w:left="7864" w:hanging="335"/>
      </w:pPr>
      <w:rPr>
        <w:rFonts w:hint="default"/>
      </w:rPr>
    </w:lvl>
  </w:abstractNum>
  <w:abstractNum w:abstractNumId="131" w15:restartNumberingAfterBreak="0">
    <w:nsid w:val="1AF31E75"/>
    <w:multiLevelType w:val="hybridMultilevel"/>
    <w:tmpl w:val="900C9CFE"/>
    <w:lvl w:ilvl="0" w:tplc="6846AB7E">
      <w:start w:val="1"/>
      <w:numFmt w:val="lowerLetter"/>
      <w:lvlText w:val="%1)"/>
      <w:lvlJc w:val="left"/>
      <w:pPr>
        <w:ind w:left="440" w:hanging="360"/>
      </w:pPr>
      <w:rPr>
        <w:rFonts w:hint="default"/>
      </w:rPr>
    </w:lvl>
    <w:lvl w:ilvl="1" w:tplc="04150019" w:tentative="1">
      <w:start w:val="1"/>
      <w:numFmt w:val="lowerLetter"/>
      <w:lvlText w:val="%2."/>
      <w:lvlJc w:val="left"/>
      <w:pPr>
        <w:ind w:left="1160" w:hanging="360"/>
      </w:pPr>
    </w:lvl>
    <w:lvl w:ilvl="2" w:tplc="0415001B" w:tentative="1">
      <w:start w:val="1"/>
      <w:numFmt w:val="lowerRoman"/>
      <w:lvlText w:val="%3."/>
      <w:lvlJc w:val="right"/>
      <w:pPr>
        <w:ind w:left="1880" w:hanging="180"/>
      </w:pPr>
    </w:lvl>
    <w:lvl w:ilvl="3" w:tplc="0415000F" w:tentative="1">
      <w:start w:val="1"/>
      <w:numFmt w:val="decimal"/>
      <w:lvlText w:val="%4."/>
      <w:lvlJc w:val="left"/>
      <w:pPr>
        <w:ind w:left="2600" w:hanging="360"/>
      </w:pPr>
    </w:lvl>
    <w:lvl w:ilvl="4" w:tplc="04150019" w:tentative="1">
      <w:start w:val="1"/>
      <w:numFmt w:val="lowerLetter"/>
      <w:lvlText w:val="%5."/>
      <w:lvlJc w:val="left"/>
      <w:pPr>
        <w:ind w:left="3320" w:hanging="360"/>
      </w:pPr>
    </w:lvl>
    <w:lvl w:ilvl="5" w:tplc="0415001B" w:tentative="1">
      <w:start w:val="1"/>
      <w:numFmt w:val="lowerRoman"/>
      <w:lvlText w:val="%6."/>
      <w:lvlJc w:val="right"/>
      <w:pPr>
        <w:ind w:left="4040" w:hanging="180"/>
      </w:pPr>
    </w:lvl>
    <w:lvl w:ilvl="6" w:tplc="0415000F" w:tentative="1">
      <w:start w:val="1"/>
      <w:numFmt w:val="decimal"/>
      <w:lvlText w:val="%7."/>
      <w:lvlJc w:val="left"/>
      <w:pPr>
        <w:ind w:left="4760" w:hanging="360"/>
      </w:pPr>
    </w:lvl>
    <w:lvl w:ilvl="7" w:tplc="04150019" w:tentative="1">
      <w:start w:val="1"/>
      <w:numFmt w:val="lowerLetter"/>
      <w:lvlText w:val="%8."/>
      <w:lvlJc w:val="left"/>
      <w:pPr>
        <w:ind w:left="5480" w:hanging="360"/>
      </w:pPr>
    </w:lvl>
    <w:lvl w:ilvl="8" w:tplc="0415001B" w:tentative="1">
      <w:start w:val="1"/>
      <w:numFmt w:val="lowerRoman"/>
      <w:lvlText w:val="%9."/>
      <w:lvlJc w:val="right"/>
      <w:pPr>
        <w:ind w:left="6200" w:hanging="180"/>
      </w:pPr>
    </w:lvl>
  </w:abstractNum>
  <w:abstractNum w:abstractNumId="132" w15:restartNumberingAfterBreak="0">
    <w:nsid w:val="1B984C1D"/>
    <w:multiLevelType w:val="hybridMultilevel"/>
    <w:tmpl w:val="448E4AEE"/>
    <w:lvl w:ilvl="0" w:tplc="A3CC4102">
      <w:start w:val="1"/>
      <w:numFmt w:val="decimal"/>
      <w:lvlText w:val="A.10.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1BAF2C62"/>
    <w:multiLevelType w:val="multilevel"/>
    <w:tmpl w:val="6FE40B98"/>
    <w:lvl w:ilvl="0">
      <w:start w:val="11"/>
      <w:numFmt w:val="decimal"/>
      <w:lvlText w:val="%1"/>
      <w:lvlJc w:val="left"/>
      <w:pPr>
        <w:ind w:left="1489" w:hanging="820"/>
      </w:pPr>
      <w:rPr>
        <w:rFonts w:hint="default"/>
      </w:rPr>
    </w:lvl>
    <w:lvl w:ilvl="1">
      <w:start w:val="4"/>
      <w:numFmt w:val="decimal"/>
      <w:lvlText w:val="%1.%2"/>
      <w:lvlJc w:val="left"/>
      <w:pPr>
        <w:ind w:left="1489" w:hanging="820"/>
      </w:pPr>
      <w:rPr>
        <w:rFonts w:hint="default"/>
      </w:rPr>
    </w:lvl>
    <w:lvl w:ilvl="2">
      <w:start w:val="7"/>
      <w:numFmt w:val="decimal"/>
      <w:lvlText w:val="%1.%2.%3"/>
      <w:lvlJc w:val="left"/>
      <w:pPr>
        <w:ind w:left="1489" w:hanging="820"/>
      </w:pPr>
      <w:rPr>
        <w:rFonts w:hint="default"/>
      </w:rPr>
    </w:lvl>
    <w:lvl w:ilvl="3">
      <w:start w:val="3"/>
      <w:numFmt w:val="decimal"/>
      <w:lvlText w:val="%1.%2.%3.%4."/>
      <w:lvlJc w:val="left"/>
      <w:pPr>
        <w:ind w:left="1489" w:hanging="820"/>
        <w:jc w:val="right"/>
      </w:pPr>
      <w:rPr>
        <w:rFonts w:hint="default"/>
        <w:b/>
        <w:bCs/>
        <w:w w:val="97"/>
      </w:rPr>
    </w:lvl>
    <w:lvl w:ilvl="4">
      <w:start w:val="1"/>
      <w:numFmt w:val="decimal"/>
      <w:lvlText w:val="%1.%2.%3.%4.%5."/>
      <w:lvlJc w:val="left"/>
      <w:pPr>
        <w:ind w:left="683" w:hanging="980"/>
      </w:pPr>
      <w:rPr>
        <w:rFonts w:ascii="Times New Roman" w:eastAsia="Times New Roman" w:hAnsi="Times New Roman" w:cs="Times New Roman" w:hint="default"/>
        <w:color w:val="494949"/>
        <w:w w:val="96"/>
        <w:sz w:val="22"/>
        <w:szCs w:val="22"/>
      </w:rPr>
    </w:lvl>
    <w:lvl w:ilvl="5">
      <w:start w:val="1"/>
      <w:numFmt w:val="lowerLetter"/>
      <w:lvlText w:val="%6)"/>
      <w:lvlJc w:val="left"/>
      <w:pPr>
        <w:ind w:left="1094" w:hanging="278"/>
        <w:jc w:val="right"/>
      </w:pPr>
      <w:rPr>
        <w:rFonts w:hint="default"/>
        <w:spacing w:val="-1"/>
        <w:w w:val="106"/>
      </w:rPr>
    </w:lvl>
    <w:lvl w:ilvl="6">
      <w:numFmt w:val="bullet"/>
      <w:lvlText w:val="•"/>
      <w:lvlJc w:val="left"/>
      <w:pPr>
        <w:ind w:left="5570" w:hanging="278"/>
      </w:pPr>
      <w:rPr>
        <w:rFonts w:hint="default"/>
      </w:rPr>
    </w:lvl>
    <w:lvl w:ilvl="7">
      <w:numFmt w:val="bullet"/>
      <w:lvlText w:val="•"/>
      <w:lvlJc w:val="left"/>
      <w:pPr>
        <w:ind w:left="6592" w:hanging="278"/>
      </w:pPr>
      <w:rPr>
        <w:rFonts w:hint="default"/>
      </w:rPr>
    </w:lvl>
    <w:lvl w:ilvl="8">
      <w:numFmt w:val="bullet"/>
      <w:lvlText w:val="•"/>
      <w:lvlJc w:val="left"/>
      <w:pPr>
        <w:ind w:left="7615" w:hanging="278"/>
      </w:pPr>
      <w:rPr>
        <w:rFonts w:hint="default"/>
      </w:rPr>
    </w:lvl>
  </w:abstractNum>
  <w:abstractNum w:abstractNumId="134" w15:restartNumberingAfterBreak="0">
    <w:nsid w:val="1C4A7318"/>
    <w:multiLevelType w:val="hybridMultilevel"/>
    <w:tmpl w:val="7FC4116E"/>
    <w:lvl w:ilvl="0" w:tplc="67CA0D28">
      <w:start w:val="1"/>
      <w:numFmt w:val="decimal"/>
      <w:lvlText w:val="%1)"/>
      <w:lvlJc w:val="left"/>
      <w:pPr>
        <w:ind w:left="2060" w:hanging="360"/>
      </w:pPr>
      <w:rPr>
        <w:rFonts w:hint="default"/>
        <w:w w:val="106"/>
      </w:rPr>
    </w:lvl>
    <w:lvl w:ilvl="1" w:tplc="04150019" w:tentative="1">
      <w:start w:val="1"/>
      <w:numFmt w:val="lowerLetter"/>
      <w:lvlText w:val="%2."/>
      <w:lvlJc w:val="left"/>
      <w:pPr>
        <w:ind w:left="2780" w:hanging="360"/>
      </w:pPr>
    </w:lvl>
    <w:lvl w:ilvl="2" w:tplc="0415001B" w:tentative="1">
      <w:start w:val="1"/>
      <w:numFmt w:val="lowerRoman"/>
      <w:lvlText w:val="%3."/>
      <w:lvlJc w:val="right"/>
      <w:pPr>
        <w:ind w:left="3500" w:hanging="180"/>
      </w:pPr>
    </w:lvl>
    <w:lvl w:ilvl="3" w:tplc="0415000F" w:tentative="1">
      <w:start w:val="1"/>
      <w:numFmt w:val="decimal"/>
      <w:lvlText w:val="%4."/>
      <w:lvlJc w:val="left"/>
      <w:pPr>
        <w:ind w:left="4220" w:hanging="360"/>
      </w:pPr>
    </w:lvl>
    <w:lvl w:ilvl="4" w:tplc="04150019" w:tentative="1">
      <w:start w:val="1"/>
      <w:numFmt w:val="lowerLetter"/>
      <w:lvlText w:val="%5."/>
      <w:lvlJc w:val="left"/>
      <w:pPr>
        <w:ind w:left="4940" w:hanging="360"/>
      </w:pPr>
    </w:lvl>
    <w:lvl w:ilvl="5" w:tplc="0415001B" w:tentative="1">
      <w:start w:val="1"/>
      <w:numFmt w:val="lowerRoman"/>
      <w:lvlText w:val="%6."/>
      <w:lvlJc w:val="right"/>
      <w:pPr>
        <w:ind w:left="5660" w:hanging="180"/>
      </w:pPr>
    </w:lvl>
    <w:lvl w:ilvl="6" w:tplc="0415000F" w:tentative="1">
      <w:start w:val="1"/>
      <w:numFmt w:val="decimal"/>
      <w:lvlText w:val="%7."/>
      <w:lvlJc w:val="left"/>
      <w:pPr>
        <w:ind w:left="6380" w:hanging="360"/>
      </w:pPr>
    </w:lvl>
    <w:lvl w:ilvl="7" w:tplc="04150019" w:tentative="1">
      <w:start w:val="1"/>
      <w:numFmt w:val="lowerLetter"/>
      <w:lvlText w:val="%8."/>
      <w:lvlJc w:val="left"/>
      <w:pPr>
        <w:ind w:left="7100" w:hanging="360"/>
      </w:pPr>
    </w:lvl>
    <w:lvl w:ilvl="8" w:tplc="0415001B" w:tentative="1">
      <w:start w:val="1"/>
      <w:numFmt w:val="lowerRoman"/>
      <w:lvlText w:val="%9."/>
      <w:lvlJc w:val="right"/>
      <w:pPr>
        <w:ind w:left="7820" w:hanging="180"/>
      </w:pPr>
    </w:lvl>
  </w:abstractNum>
  <w:abstractNum w:abstractNumId="135" w15:restartNumberingAfterBreak="0">
    <w:nsid w:val="1CE231CA"/>
    <w:multiLevelType w:val="hybridMultilevel"/>
    <w:tmpl w:val="8734471C"/>
    <w:lvl w:ilvl="0" w:tplc="CF7E8D74">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1E3E6313"/>
    <w:multiLevelType w:val="hybridMultilevel"/>
    <w:tmpl w:val="8A22DB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1EC34727"/>
    <w:multiLevelType w:val="hybridMultilevel"/>
    <w:tmpl w:val="612AE848"/>
    <w:lvl w:ilvl="0" w:tplc="603AFCF6">
      <w:start w:val="1"/>
      <w:numFmt w:val="decimal"/>
      <w:lvlText w:val="(%1)"/>
      <w:lvlJc w:val="left"/>
      <w:pPr>
        <w:ind w:left="1908" w:hanging="360"/>
      </w:pPr>
      <w:rPr>
        <w:rFonts w:hint="default"/>
      </w:rPr>
    </w:lvl>
    <w:lvl w:ilvl="1" w:tplc="9F4EE63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1F1C2935"/>
    <w:multiLevelType w:val="hybridMultilevel"/>
    <w:tmpl w:val="777071E2"/>
    <w:lvl w:ilvl="0" w:tplc="FB86DE90">
      <w:start w:val="1"/>
      <w:numFmt w:val="decimal"/>
      <w:lvlText w:val="%1."/>
      <w:lvlJc w:val="left"/>
      <w:pPr>
        <w:ind w:left="1609" w:hanging="340"/>
      </w:pPr>
      <w:rPr>
        <w:rFonts w:ascii="Times New Roman" w:eastAsia="Times New Roman" w:hAnsi="Times New Roman" w:cs="Times New Roman" w:hint="default"/>
        <w:color w:val="545454"/>
        <w:w w:val="101"/>
        <w:sz w:val="24"/>
        <w:szCs w:val="24"/>
      </w:rPr>
    </w:lvl>
    <w:lvl w:ilvl="1" w:tplc="7632FFEC">
      <w:start w:val="1"/>
      <w:numFmt w:val="decimal"/>
      <w:lvlText w:val="%2)"/>
      <w:lvlJc w:val="left"/>
      <w:pPr>
        <w:ind w:left="1888" w:hanging="342"/>
      </w:pPr>
      <w:rPr>
        <w:rFonts w:hint="default"/>
        <w:b w:val="0"/>
        <w:bCs/>
        <w:w w:val="103"/>
      </w:rPr>
    </w:lvl>
    <w:lvl w:ilvl="2" w:tplc="F31400D8">
      <w:start w:val="1"/>
      <w:numFmt w:val="lowerLetter"/>
      <w:lvlText w:val="%3)"/>
      <w:lvlJc w:val="left"/>
      <w:pPr>
        <w:ind w:left="2296" w:hanging="341"/>
      </w:pPr>
      <w:rPr>
        <w:rFonts w:ascii="Times New Roman" w:eastAsia="Times New Roman" w:hAnsi="Times New Roman" w:cs="Times New Roman" w:hint="default"/>
        <w:color w:val="545454"/>
        <w:spacing w:val="-1"/>
        <w:w w:val="106"/>
        <w:sz w:val="24"/>
        <w:szCs w:val="24"/>
      </w:rPr>
    </w:lvl>
    <w:lvl w:ilvl="3" w:tplc="2A60E83E">
      <w:numFmt w:val="bullet"/>
      <w:lvlText w:val="•"/>
      <w:lvlJc w:val="left"/>
      <w:pPr>
        <w:ind w:left="3210" w:hanging="341"/>
      </w:pPr>
      <w:rPr>
        <w:rFonts w:hint="default"/>
      </w:rPr>
    </w:lvl>
    <w:lvl w:ilvl="4" w:tplc="5044AC3C">
      <w:numFmt w:val="bullet"/>
      <w:lvlText w:val="•"/>
      <w:lvlJc w:val="left"/>
      <w:pPr>
        <w:ind w:left="4120" w:hanging="341"/>
      </w:pPr>
      <w:rPr>
        <w:rFonts w:hint="default"/>
      </w:rPr>
    </w:lvl>
    <w:lvl w:ilvl="5" w:tplc="E4183140">
      <w:numFmt w:val="bullet"/>
      <w:lvlText w:val="•"/>
      <w:lvlJc w:val="left"/>
      <w:pPr>
        <w:ind w:left="5030" w:hanging="341"/>
      </w:pPr>
      <w:rPr>
        <w:rFonts w:hint="default"/>
      </w:rPr>
    </w:lvl>
    <w:lvl w:ilvl="6" w:tplc="F3440D1C">
      <w:numFmt w:val="bullet"/>
      <w:lvlText w:val="•"/>
      <w:lvlJc w:val="left"/>
      <w:pPr>
        <w:ind w:left="5940" w:hanging="341"/>
      </w:pPr>
      <w:rPr>
        <w:rFonts w:hint="default"/>
      </w:rPr>
    </w:lvl>
    <w:lvl w:ilvl="7" w:tplc="54628A04">
      <w:numFmt w:val="bullet"/>
      <w:lvlText w:val="•"/>
      <w:lvlJc w:val="left"/>
      <w:pPr>
        <w:ind w:left="6850" w:hanging="341"/>
      </w:pPr>
      <w:rPr>
        <w:rFonts w:hint="default"/>
      </w:rPr>
    </w:lvl>
    <w:lvl w:ilvl="8" w:tplc="387C43CC">
      <w:numFmt w:val="bullet"/>
      <w:lvlText w:val="•"/>
      <w:lvlJc w:val="left"/>
      <w:pPr>
        <w:ind w:left="7760" w:hanging="341"/>
      </w:pPr>
      <w:rPr>
        <w:rFonts w:hint="default"/>
      </w:rPr>
    </w:lvl>
  </w:abstractNum>
  <w:abstractNum w:abstractNumId="139" w15:restartNumberingAfterBreak="0">
    <w:nsid w:val="1F400491"/>
    <w:multiLevelType w:val="hybridMultilevel"/>
    <w:tmpl w:val="E53CAA5E"/>
    <w:lvl w:ilvl="0" w:tplc="68B0902E">
      <w:start w:val="1"/>
      <w:numFmt w:val="decimal"/>
      <w:lvlText w:val="III.6.%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03375D4"/>
    <w:multiLevelType w:val="hybridMultilevel"/>
    <w:tmpl w:val="3892867A"/>
    <w:lvl w:ilvl="0" w:tplc="65E46054">
      <w:start w:val="1"/>
      <w:numFmt w:val="decimal"/>
      <w:lvlText w:val="%1)"/>
      <w:lvlJc w:val="left"/>
      <w:pPr>
        <w:ind w:left="583" w:hanging="360"/>
      </w:pPr>
      <w:rPr>
        <w:rFonts w:ascii="Times New Roman" w:eastAsia="Times New Roman" w:hAnsi="Times New Roman" w:cs="Times New Roman" w:hint="default"/>
        <w:spacing w:val="-20"/>
        <w:w w:val="99"/>
        <w:sz w:val="24"/>
        <w:szCs w:val="24"/>
        <w:lang w:val="pl-PL" w:eastAsia="pl-PL" w:bidi="pl-PL"/>
      </w:rPr>
    </w:lvl>
    <w:lvl w:ilvl="1" w:tplc="108C4DD0">
      <w:numFmt w:val="bullet"/>
      <w:lvlText w:val="•"/>
      <w:lvlJc w:val="left"/>
      <w:pPr>
        <w:ind w:left="1401" w:hanging="360"/>
      </w:pPr>
      <w:rPr>
        <w:rFonts w:hint="default"/>
        <w:lang w:val="pl-PL" w:eastAsia="pl-PL" w:bidi="pl-PL"/>
      </w:rPr>
    </w:lvl>
    <w:lvl w:ilvl="2" w:tplc="BE9C0FBC">
      <w:numFmt w:val="bullet"/>
      <w:lvlText w:val="•"/>
      <w:lvlJc w:val="left"/>
      <w:pPr>
        <w:ind w:left="2223" w:hanging="360"/>
      </w:pPr>
      <w:rPr>
        <w:rFonts w:hint="default"/>
        <w:lang w:val="pl-PL" w:eastAsia="pl-PL" w:bidi="pl-PL"/>
      </w:rPr>
    </w:lvl>
    <w:lvl w:ilvl="3" w:tplc="0E729F88">
      <w:numFmt w:val="bullet"/>
      <w:lvlText w:val="•"/>
      <w:lvlJc w:val="left"/>
      <w:pPr>
        <w:ind w:left="3044" w:hanging="360"/>
      </w:pPr>
      <w:rPr>
        <w:rFonts w:hint="default"/>
        <w:lang w:val="pl-PL" w:eastAsia="pl-PL" w:bidi="pl-PL"/>
      </w:rPr>
    </w:lvl>
    <w:lvl w:ilvl="4" w:tplc="B0CE4F68">
      <w:numFmt w:val="bullet"/>
      <w:lvlText w:val="•"/>
      <w:lvlJc w:val="left"/>
      <w:pPr>
        <w:ind w:left="3866" w:hanging="360"/>
      </w:pPr>
      <w:rPr>
        <w:rFonts w:hint="default"/>
        <w:lang w:val="pl-PL" w:eastAsia="pl-PL" w:bidi="pl-PL"/>
      </w:rPr>
    </w:lvl>
    <w:lvl w:ilvl="5" w:tplc="A2CE6B02">
      <w:numFmt w:val="bullet"/>
      <w:lvlText w:val="•"/>
      <w:lvlJc w:val="left"/>
      <w:pPr>
        <w:ind w:left="4688" w:hanging="360"/>
      </w:pPr>
      <w:rPr>
        <w:rFonts w:hint="default"/>
        <w:lang w:val="pl-PL" w:eastAsia="pl-PL" w:bidi="pl-PL"/>
      </w:rPr>
    </w:lvl>
    <w:lvl w:ilvl="6" w:tplc="C71C2A66">
      <w:numFmt w:val="bullet"/>
      <w:lvlText w:val="•"/>
      <w:lvlJc w:val="left"/>
      <w:pPr>
        <w:ind w:left="5509" w:hanging="360"/>
      </w:pPr>
      <w:rPr>
        <w:rFonts w:hint="default"/>
        <w:lang w:val="pl-PL" w:eastAsia="pl-PL" w:bidi="pl-PL"/>
      </w:rPr>
    </w:lvl>
    <w:lvl w:ilvl="7" w:tplc="E7E0138A">
      <w:numFmt w:val="bullet"/>
      <w:lvlText w:val="•"/>
      <w:lvlJc w:val="left"/>
      <w:pPr>
        <w:ind w:left="6331" w:hanging="360"/>
      </w:pPr>
      <w:rPr>
        <w:rFonts w:hint="default"/>
        <w:lang w:val="pl-PL" w:eastAsia="pl-PL" w:bidi="pl-PL"/>
      </w:rPr>
    </w:lvl>
    <w:lvl w:ilvl="8" w:tplc="F33E237A">
      <w:numFmt w:val="bullet"/>
      <w:lvlText w:val="•"/>
      <w:lvlJc w:val="left"/>
      <w:pPr>
        <w:ind w:left="7152" w:hanging="360"/>
      </w:pPr>
      <w:rPr>
        <w:rFonts w:hint="default"/>
        <w:lang w:val="pl-PL" w:eastAsia="pl-PL" w:bidi="pl-PL"/>
      </w:rPr>
    </w:lvl>
  </w:abstractNum>
  <w:abstractNum w:abstractNumId="141" w15:restartNumberingAfterBreak="0">
    <w:nsid w:val="20396E3D"/>
    <w:multiLevelType w:val="hybridMultilevel"/>
    <w:tmpl w:val="E54E62EE"/>
    <w:lvl w:ilvl="0" w:tplc="BB52C39E">
      <w:start w:val="1"/>
      <w:numFmt w:val="decimal"/>
      <w:lvlText w:val="%1)"/>
      <w:lvlJc w:val="left"/>
      <w:pPr>
        <w:ind w:left="0" w:firstLine="0"/>
      </w:pPr>
      <w:rPr>
        <w:rFonts w:hint="default"/>
        <w:spacing w:val="-26"/>
        <w:w w:val="99"/>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0631DFF"/>
    <w:multiLevelType w:val="hybridMultilevel"/>
    <w:tmpl w:val="09A663D0"/>
    <w:lvl w:ilvl="0" w:tplc="D86C411C">
      <w:start w:val="1"/>
      <w:numFmt w:val="lowerLetter"/>
      <w:lvlText w:val="%1)"/>
      <w:lvlJc w:val="left"/>
      <w:pPr>
        <w:tabs>
          <w:tab w:val="num" w:pos="1986"/>
        </w:tabs>
        <w:ind w:left="36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08D01EA"/>
    <w:multiLevelType w:val="hybridMultilevel"/>
    <w:tmpl w:val="03981904"/>
    <w:lvl w:ilvl="0" w:tplc="BC5479D4">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1060C3F"/>
    <w:multiLevelType w:val="hybridMultilevel"/>
    <w:tmpl w:val="16CABC20"/>
    <w:lvl w:ilvl="0" w:tplc="E5DE2B7E">
      <w:start w:val="1"/>
      <w:numFmt w:val="lowerLetter"/>
      <w:lvlText w:val="%1)"/>
      <w:lvlJc w:val="left"/>
      <w:pPr>
        <w:tabs>
          <w:tab w:val="num" w:pos="286"/>
        </w:tabs>
        <w:ind w:left="794" w:firstLine="286"/>
      </w:pPr>
      <w:rPr>
        <w:rFonts w:hint="default"/>
        <w:b w:val="0"/>
        <w:bCs/>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5" w15:restartNumberingAfterBreak="0">
    <w:nsid w:val="224E3D68"/>
    <w:multiLevelType w:val="hybridMultilevel"/>
    <w:tmpl w:val="23BEAEB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6" w15:restartNumberingAfterBreak="0">
    <w:nsid w:val="225674E4"/>
    <w:multiLevelType w:val="hybridMultilevel"/>
    <w:tmpl w:val="366A0D70"/>
    <w:lvl w:ilvl="0" w:tplc="1FB6F11C">
      <w:start w:val="1"/>
      <w:numFmt w:val="decimal"/>
      <w:lvlText w:val="%1)"/>
      <w:lvlJc w:val="righ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2C1083F"/>
    <w:multiLevelType w:val="multilevel"/>
    <w:tmpl w:val="AC46643E"/>
    <w:lvl w:ilvl="0">
      <w:start w:val="4"/>
      <w:numFmt w:val="upperRoman"/>
      <w:lvlText w:val="%1"/>
      <w:lvlJc w:val="left"/>
      <w:pPr>
        <w:ind w:left="2610" w:hanging="1085"/>
      </w:pPr>
      <w:rPr>
        <w:rFonts w:hint="default"/>
      </w:rPr>
    </w:lvl>
    <w:lvl w:ilvl="1">
      <w:start w:val="3"/>
      <w:numFmt w:val="decimal"/>
      <w:lvlText w:val="%1.%2"/>
      <w:lvlJc w:val="left"/>
      <w:pPr>
        <w:ind w:left="2610" w:hanging="1085"/>
      </w:pPr>
      <w:rPr>
        <w:rFonts w:hint="default"/>
      </w:rPr>
    </w:lvl>
    <w:lvl w:ilvl="2">
      <w:start w:val="4"/>
      <w:numFmt w:val="decimal"/>
      <w:lvlText w:val="IV.3.5.%3."/>
      <w:lvlJc w:val="left"/>
      <w:pPr>
        <w:ind w:left="1885" w:hanging="360"/>
      </w:pPr>
      <w:rPr>
        <w:rFonts w:hint="default"/>
      </w:rPr>
    </w:lvl>
    <w:lvl w:ilvl="3">
      <w:start w:val="2"/>
      <w:numFmt w:val="decimal"/>
      <w:lvlText w:val="%1.%2.%3.%4."/>
      <w:lvlJc w:val="left"/>
      <w:pPr>
        <w:ind w:left="2610" w:hanging="1085"/>
      </w:pPr>
      <w:rPr>
        <w:rFonts w:ascii="Times New Roman" w:eastAsia="Times New Roman" w:hAnsi="Times New Roman" w:cs="Times New Roman" w:hint="default"/>
        <w:color w:val="494949"/>
        <w:w w:val="104"/>
        <w:sz w:val="22"/>
        <w:szCs w:val="22"/>
      </w:rPr>
    </w:lvl>
    <w:lvl w:ilvl="4">
      <w:start w:val="1"/>
      <w:numFmt w:val="decimal"/>
      <w:lvlText w:val="%5)"/>
      <w:lvlJc w:val="left"/>
      <w:pPr>
        <w:ind w:left="3007" w:hanging="360"/>
      </w:pPr>
      <w:rPr>
        <w:rFonts w:hint="default"/>
      </w:rPr>
    </w:lvl>
    <w:lvl w:ilvl="5">
      <w:numFmt w:val="bullet"/>
      <w:lvlText w:val="•"/>
      <w:lvlJc w:val="left"/>
      <w:pPr>
        <w:ind w:left="6748" w:hanging="245"/>
      </w:pPr>
      <w:rPr>
        <w:rFonts w:hint="default"/>
      </w:rPr>
    </w:lvl>
    <w:lvl w:ilvl="6">
      <w:numFmt w:val="bullet"/>
      <w:lvlText w:val="•"/>
      <w:lvlJc w:val="left"/>
      <w:pPr>
        <w:ind w:left="7711" w:hanging="245"/>
      </w:pPr>
      <w:rPr>
        <w:rFonts w:hint="default"/>
      </w:rPr>
    </w:lvl>
    <w:lvl w:ilvl="7">
      <w:numFmt w:val="bullet"/>
      <w:lvlText w:val="•"/>
      <w:lvlJc w:val="left"/>
      <w:pPr>
        <w:ind w:left="8673" w:hanging="245"/>
      </w:pPr>
      <w:rPr>
        <w:rFonts w:hint="default"/>
      </w:rPr>
    </w:lvl>
    <w:lvl w:ilvl="8">
      <w:numFmt w:val="bullet"/>
      <w:lvlText w:val="•"/>
      <w:lvlJc w:val="left"/>
      <w:pPr>
        <w:ind w:left="9635" w:hanging="245"/>
      </w:pPr>
      <w:rPr>
        <w:rFonts w:hint="default"/>
      </w:rPr>
    </w:lvl>
  </w:abstractNum>
  <w:abstractNum w:abstractNumId="148" w15:restartNumberingAfterBreak="0">
    <w:nsid w:val="22FE205F"/>
    <w:multiLevelType w:val="hybridMultilevel"/>
    <w:tmpl w:val="25DE1900"/>
    <w:lvl w:ilvl="0" w:tplc="D2B4EBF2">
      <w:start w:val="2"/>
      <w:numFmt w:val="low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3407E18"/>
    <w:multiLevelType w:val="hybridMultilevel"/>
    <w:tmpl w:val="7D4E9F44"/>
    <w:lvl w:ilvl="0" w:tplc="519C2ED6">
      <w:start w:val="4"/>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38A27AF"/>
    <w:multiLevelType w:val="hybridMultilevel"/>
    <w:tmpl w:val="4D08B646"/>
    <w:lvl w:ilvl="0" w:tplc="116CD2C8">
      <w:start w:val="1"/>
      <w:numFmt w:val="decimal"/>
      <w:lvlText w:val="%1)"/>
      <w:lvlJc w:val="left"/>
      <w:pPr>
        <w:ind w:left="633" w:hanging="358"/>
      </w:pPr>
      <w:rPr>
        <w:rFonts w:ascii="Times New Roman" w:eastAsia="Times New Roman" w:hAnsi="Times New Roman" w:cs="Times New Roman" w:hint="default"/>
        <w:spacing w:val="-30"/>
        <w:w w:val="99"/>
        <w:sz w:val="24"/>
        <w:szCs w:val="24"/>
        <w:lang w:val="pl-PL" w:eastAsia="pl-PL" w:bidi="pl-PL"/>
      </w:rPr>
    </w:lvl>
    <w:lvl w:ilvl="1" w:tplc="B9D6E946">
      <w:numFmt w:val="bullet"/>
      <w:lvlText w:val="•"/>
      <w:lvlJc w:val="left"/>
      <w:pPr>
        <w:ind w:left="1446" w:hanging="358"/>
      </w:pPr>
      <w:rPr>
        <w:rFonts w:hint="default"/>
        <w:lang w:val="pl-PL" w:eastAsia="pl-PL" w:bidi="pl-PL"/>
      </w:rPr>
    </w:lvl>
    <w:lvl w:ilvl="2" w:tplc="B9020C7C">
      <w:numFmt w:val="bullet"/>
      <w:lvlText w:val="•"/>
      <w:lvlJc w:val="left"/>
      <w:pPr>
        <w:ind w:left="2253" w:hanging="358"/>
      </w:pPr>
      <w:rPr>
        <w:rFonts w:hint="default"/>
        <w:lang w:val="pl-PL" w:eastAsia="pl-PL" w:bidi="pl-PL"/>
      </w:rPr>
    </w:lvl>
    <w:lvl w:ilvl="3" w:tplc="62026224">
      <w:numFmt w:val="bullet"/>
      <w:lvlText w:val="•"/>
      <w:lvlJc w:val="left"/>
      <w:pPr>
        <w:ind w:left="3059" w:hanging="358"/>
      </w:pPr>
      <w:rPr>
        <w:rFonts w:hint="default"/>
        <w:lang w:val="pl-PL" w:eastAsia="pl-PL" w:bidi="pl-PL"/>
      </w:rPr>
    </w:lvl>
    <w:lvl w:ilvl="4" w:tplc="5DD40A8A">
      <w:numFmt w:val="bullet"/>
      <w:lvlText w:val="•"/>
      <w:lvlJc w:val="left"/>
      <w:pPr>
        <w:ind w:left="3866" w:hanging="358"/>
      </w:pPr>
      <w:rPr>
        <w:rFonts w:hint="default"/>
        <w:lang w:val="pl-PL" w:eastAsia="pl-PL" w:bidi="pl-PL"/>
      </w:rPr>
    </w:lvl>
    <w:lvl w:ilvl="5" w:tplc="B06CCBA0">
      <w:numFmt w:val="bullet"/>
      <w:lvlText w:val="•"/>
      <w:lvlJc w:val="left"/>
      <w:pPr>
        <w:ind w:left="4672" w:hanging="358"/>
      </w:pPr>
      <w:rPr>
        <w:rFonts w:hint="default"/>
        <w:lang w:val="pl-PL" w:eastAsia="pl-PL" w:bidi="pl-PL"/>
      </w:rPr>
    </w:lvl>
    <w:lvl w:ilvl="6" w:tplc="4B72D6B4">
      <w:numFmt w:val="bullet"/>
      <w:lvlText w:val="•"/>
      <w:lvlJc w:val="left"/>
      <w:pPr>
        <w:ind w:left="5479" w:hanging="358"/>
      </w:pPr>
      <w:rPr>
        <w:rFonts w:hint="default"/>
        <w:lang w:val="pl-PL" w:eastAsia="pl-PL" w:bidi="pl-PL"/>
      </w:rPr>
    </w:lvl>
    <w:lvl w:ilvl="7" w:tplc="6A2A6EE8">
      <w:numFmt w:val="bullet"/>
      <w:lvlText w:val="•"/>
      <w:lvlJc w:val="left"/>
      <w:pPr>
        <w:ind w:left="6285" w:hanging="358"/>
      </w:pPr>
      <w:rPr>
        <w:rFonts w:hint="default"/>
        <w:lang w:val="pl-PL" w:eastAsia="pl-PL" w:bidi="pl-PL"/>
      </w:rPr>
    </w:lvl>
    <w:lvl w:ilvl="8" w:tplc="34564C90">
      <w:numFmt w:val="bullet"/>
      <w:lvlText w:val="•"/>
      <w:lvlJc w:val="left"/>
      <w:pPr>
        <w:ind w:left="7092" w:hanging="358"/>
      </w:pPr>
      <w:rPr>
        <w:rFonts w:hint="default"/>
        <w:lang w:val="pl-PL" w:eastAsia="pl-PL" w:bidi="pl-PL"/>
      </w:rPr>
    </w:lvl>
  </w:abstractNum>
  <w:abstractNum w:abstractNumId="151" w15:restartNumberingAfterBreak="0">
    <w:nsid w:val="244405C5"/>
    <w:multiLevelType w:val="hybridMultilevel"/>
    <w:tmpl w:val="704EE45E"/>
    <w:lvl w:ilvl="0" w:tplc="F6AA9F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446394B"/>
    <w:multiLevelType w:val="hybridMultilevel"/>
    <w:tmpl w:val="9548754E"/>
    <w:lvl w:ilvl="0" w:tplc="9B34C67A">
      <w:start w:val="8"/>
      <w:numFmt w:val="decimal"/>
      <w:lvlText w:val="%1)"/>
      <w:lvlJc w:val="left"/>
      <w:pPr>
        <w:ind w:left="809" w:hanging="409"/>
      </w:pPr>
      <w:rPr>
        <w:rFonts w:ascii="Times New Roman" w:eastAsia="Times New Roman" w:hAnsi="Times New Roman" w:cs="Times New Roman" w:hint="default"/>
        <w:color w:val="4F4F4D"/>
        <w:w w:val="109"/>
        <w:sz w:val="21"/>
        <w:szCs w:val="21"/>
      </w:rPr>
    </w:lvl>
    <w:lvl w:ilvl="1" w:tplc="967A6982">
      <w:start w:val="2"/>
      <w:numFmt w:val="decimal"/>
      <w:lvlText w:val="%2)"/>
      <w:lvlJc w:val="left"/>
      <w:pPr>
        <w:ind w:left="1086" w:hanging="272"/>
      </w:pPr>
      <w:rPr>
        <w:rFonts w:ascii="Times New Roman" w:eastAsia="Times New Roman" w:hAnsi="Times New Roman" w:cs="Times New Roman" w:hint="default"/>
        <w:color w:val="4F4F4D"/>
        <w:w w:val="109"/>
        <w:sz w:val="24"/>
        <w:szCs w:val="24"/>
      </w:rPr>
    </w:lvl>
    <w:lvl w:ilvl="2" w:tplc="AB7C1FB0">
      <w:numFmt w:val="bullet"/>
      <w:lvlText w:val="•"/>
      <w:lvlJc w:val="left"/>
      <w:pPr>
        <w:ind w:left="2024" w:hanging="272"/>
      </w:pPr>
      <w:rPr>
        <w:rFonts w:hint="default"/>
      </w:rPr>
    </w:lvl>
    <w:lvl w:ilvl="3" w:tplc="FBA692BE">
      <w:numFmt w:val="bullet"/>
      <w:lvlText w:val="•"/>
      <w:lvlJc w:val="left"/>
      <w:pPr>
        <w:ind w:left="2968" w:hanging="272"/>
      </w:pPr>
      <w:rPr>
        <w:rFonts w:hint="default"/>
      </w:rPr>
    </w:lvl>
    <w:lvl w:ilvl="4" w:tplc="0CA8EDA6">
      <w:numFmt w:val="bullet"/>
      <w:lvlText w:val="•"/>
      <w:lvlJc w:val="left"/>
      <w:pPr>
        <w:ind w:left="3913" w:hanging="272"/>
      </w:pPr>
      <w:rPr>
        <w:rFonts w:hint="default"/>
      </w:rPr>
    </w:lvl>
    <w:lvl w:ilvl="5" w:tplc="8D56C926">
      <w:numFmt w:val="bullet"/>
      <w:lvlText w:val="•"/>
      <w:lvlJc w:val="left"/>
      <w:pPr>
        <w:ind w:left="4857" w:hanging="272"/>
      </w:pPr>
      <w:rPr>
        <w:rFonts w:hint="default"/>
      </w:rPr>
    </w:lvl>
    <w:lvl w:ilvl="6" w:tplc="3D5EB5D8">
      <w:numFmt w:val="bullet"/>
      <w:lvlText w:val="•"/>
      <w:lvlJc w:val="left"/>
      <w:pPr>
        <w:ind w:left="5802" w:hanging="272"/>
      </w:pPr>
      <w:rPr>
        <w:rFonts w:hint="default"/>
      </w:rPr>
    </w:lvl>
    <w:lvl w:ilvl="7" w:tplc="A2F8A12C">
      <w:numFmt w:val="bullet"/>
      <w:lvlText w:val="•"/>
      <w:lvlJc w:val="left"/>
      <w:pPr>
        <w:ind w:left="6746" w:hanging="272"/>
      </w:pPr>
      <w:rPr>
        <w:rFonts w:hint="default"/>
      </w:rPr>
    </w:lvl>
    <w:lvl w:ilvl="8" w:tplc="BD0E67CA">
      <w:numFmt w:val="bullet"/>
      <w:lvlText w:val="•"/>
      <w:lvlJc w:val="left"/>
      <w:pPr>
        <w:ind w:left="7691" w:hanging="272"/>
      </w:pPr>
      <w:rPr>
        <w:rFonts w:hint="default"/>
      </w:rPr>
    </w:lvl>
  </w:abstractNum>
  <w:abstractNum w:abstractNumId="153" w15:restartNumberingAfterBreak="0">
    <w:nsid w:val="246B63D6"/>
    <w:multiLevelType w:val="hybridMultilevel"/>
    <w:tmpl w:val="5E9AA33E"/>
    <w:lvl w:ilvl="0" w:tplc="C5001C04">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54" w15:restartNumberingAfterBreak="0">
    <w:nsid w:val="24B0272F"/>
    <w:multiLevelType w:val="hybridMultilevel"/>
    <w:tmpl w:val="F1B8BB86"/>
    <w:lvl w:ilvl="0" w:tplc="C1A46926">
      <w:start w:val="10"/>
      <w:numFmt w:val="decimal"/>
      <w:lvlText w:val="I.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24E359FB"/>
    <w:multiLevelType w:val="hybridMultilevel"/>
    <w:tmpl w:val="C8C4A6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25CB0F99"/>
    <w:multiLevelType w:val="hybridMultilevel"/>
    <w:tmpl w:val="2E4C8F14"/>
    <w:lvl w:ilvl="0" w:tplc="62A618FE">
      <w:start w:val="1"/>
      <w:numFmt w:val="decimal"/>
      <w:lvlText w:val="I.5.%1."/>
      <w:lvlJc w:val="left"/>
      <w:pPr>
        <w:ind w:left="1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5FF72FA"/>
    <w:multiLevelType w:val="hybridMultilevel"/>
    <w:tmpl w:val="6D4EA30A"/>
    <w:lvl w:ilvl="0" w:tplc="2FE85B8A">
      <w:start w:val="3"/>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6374314"/>
    <w:multiLevelType w:val="hybridMultilevel"/>
    <w:tmpl w:val="4714535C"/>
    <w:lvl w:ilvl="0" w:tplc="0D24708C">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6AA024E"/>
    <w:multiLevelType w:val="hybridMultilevel"/>
    <w:tmpl w:val="2466C5EC"/>
    <w:lvl w:ilvl="0" w:tplc="62BE6ABE">
      <w:start w:val="1"/>
      <w:numFmt w:val="decimal"/>
      <w:lvlText w:val="I.2.%1."/>
      <w:lvlJc w:val="left"/>
      <w:pPr>
        <w:ind w:left="781" w:hanging="360"/>
      </w:pPr>
      <w:rPr>
        <w:rFonts w:hint="default"/>
      </w:rPr>
    </w:lvl>
    <w:lvl w:ilvl="1" w:tplc="04150019" w:tentative="1">
      <w:start w:val="1"/>
      <w:numFmt w:val="lowerLetter"/>
      <w:lvlText w:val="%2."/>
      <w:lvlJc w:val="left"/>
      <w:pPr>
        <w:ind w:left="1501" w:hanging="360"/>
      </w:pPr>
    </w:lvl>
    <w:lvl w:ilvl="2" w:tplc="0415001B" w:tentative="1">
      <w:start w:val="1"/>
      <w:numFmt w:val="lowerRoman"/>
      <w:lvlText w:val="%3."/>
      <w:lvlJc w:val="right"/>
      <w:pPr>
        <w:ind w:left="2221" w:hanging="180"/>
      </w:pPr>
    </w:lvl>
    <w:lvl w:ilvl="3" w:tplc="0415000F" w:tentative="1">
      <w:start w:val="1"/>
      <w:numFmt w:val="decimal"/>
      <w:lvlText w:val="%4."/>
      <w:lvlJc w:val="left"/>
      <w:pPr>
        <w:ind w:left="2941" w:hanging="360"/>
      </w:pPr>
    </w:lvl>
    <w:lvl w:ilvl="4" w:tplc="04150019" w:tentative="1">
      <w:start w:val="1"/>
      <w:numFmt w:val="lowerLetter"/>
      <w:lvlText w:val="%5."/>
      <w:lvlJc w:val="left"/>
      <w:pPr>
        <w:ind w:left="3661" w:hanging="360"/>
      </w:pPr>
    </w:lvl>
    <w:lvl w:ilvl="5" w:tplc="0415001B" w:tentative="1">
      <w:start w:val="1"/>
      <w:numFmt w:val="lowerRoman"/>
      <w:lvlText w:val="%6."/>
      <w:lvlJc w:val="right"/>
      <w:pPr>
        <w:ind w:left="4381" w:hanging="180"/>
      </w:pPr>
    </w:lvl>
    <w:lvl w:ilvl="6" w:tplc="0415000F" w:tentative="1">
      <w:start w:val="1"/>
      <w:numFmt w:val="decimal"/>
      <w:lvlText w:val="%7."/>
      <w:lvlJc w:val="left"/>
      <w:pPr>
        <w:ind w:left="5101" w:hanging="360"/>
      </w:pPr>
    </w:lvl>
    <w:lvl w:ilvl="7" w:tplc="04150019" w:tentative="1">
      <w:start w:val="1"/>
      <w:numFmt w:val="lowerLetter"/>
      <w:lvlText w:val="%8."/>
      <w:lvlJc w:val="left"/>
      <w:pPr>
        <w:ind w:left="5821" w:hanging="360"/>
      </w:pPr>
    </w:lvl>
    <w:lvl w:ilvl="8" w:tplc="0415001B" w:tentative="1">
      <w:start w:val="1"/>
      <w:numFmt w:val="lowerRoman"/>
      <w:lvlText w:val="%9."/>
      <w:lvlJc w:val="right"/>
      <w:pPr>
        <w:ind w:left="6541" w:hanging="180"/>
      </w:pPr>
    </w:lvl>
  </w:abstractNum>
  <w:abstractNum w:abstractNumId="160" w15:restartNumberingAfterBreak="0">
    <w:nsid w:val="26B23766"/>
    <w:multiLevelType w:val="hybridMultilevel"/>
    <w:tmpl w:val="003086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6FF2C3B"/>
    <w:multiLevelType w:val="hybridMultilevel"/>
    <w:tmpl w:val="BBEA9862"/>
    <w:lvl w:ilvl="0" w:tplc="04150017">
      <w:start w:val="1"/>
      <w:numFmt w:val="lowerLetter"/>
      <w:lvlText w:va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40"/>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62" w15:restartNumberingAfterBreak="0">
    <w:nsid w:val="273B3453"/>
    <w:multiLevelType w:val="hybridMultilevel"/>
    <w:tmpl w:val="285215BC"/>
    <w:lvl w:ilvl="0" w:tplc="DFDA3C14">
      <w:start w:val="1"/>
      <w:numFmt w:val="decimal"/>
      <w:lvlText w:val="III.3.%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7A17485"/>
    <w:multiLevelType w:val="hybridMultilevel"/>
    <w:tmpl w:val="AEB62FC2"/>
    <w:lvl w:ilvl="0" w:tplc="C382ED90">
      <w:start w:val="3"/>
      <w:numFmt w:val="decimal"/>
      <w:lvlText w:val="I.%1."/>
      <w:lvlJc w:val="left"/>
      <w:pPr>
        <w:ind w:left="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7FF20E4"/>
    <w:multiLevelType w:val="hybridMultilevel"/>
    <w:tmpl w:val="E620026C"/>
    <w:lvl w:ilvl="0" w:tplc="AC1894AE">
      <w:start w:val="1"/>
      <w:numFmt w:val="decimal"/>
      <w:lvlText w:val="II.3.7.4.%1."/>
      <w:lvlJc w:val="left"/>
      <w:pPr>
        <w:ind w:left="98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80327AC"/>
    <w:multiLevelType w:val="hybridMultilevel"/>
    <w:tmpl w:val="61FEC206"/>
    <w:lvl w:ilvl="0" w:tplc="7938FD52">
      <w:start w:val="1"/>
      <w:numFmt w:val="lowerLetter"/>
      <w:lvlText w:val="%1)"/>
      <w:lvlJc w:val="left"/>
      <w:pPr>
        <w:ind w:left="2487" w:hanging="360"/>
      </w:pPr>
      <w:rPr>
        <w:rFonts w:ascii="Times New Roman" w:eastAsia="Arial" w:hAnsi="Times New Roman" w:cs="Times New Roman" w:hint="default"/>
        <w:b w:val="0"/>
        <w:bCs w:val="0"/>
        <w:spacing w:val="0"/>
        <w:w w:val="1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9072385"/>
    <w:multiLevelType w:val="hybridMultilevel"/>
    <w:tmpl w:val="A6BC21E2"/>
    <w:lvl w:ilvl="0" w:tplc="BB44BCE4">
      <w:start w:val="11"/>
      <w:numFmt w:val="decimal"/>
      <w:lvlText w:val="%1)"/>
      <w:lvlJc w:val="left"/>
      <w:pPr>
        <w:ind w:left="1061" w:hanging="367"/>
      </w:pPr>
      <w:rPr>
        <w:rFonts w:hint="default"/>
        <w:w w:val="98"/>
      </w:rPr>
    </w:lvl>
    <w:lvl w:ilvl="1" w:tplc="FB7A0A74">
      <w:numFmt w:val="bullet"/>
      <w:lvlText w:val="•"/>
      <w:lvlJc w:val="left"/>
      <w:pPr>
        <w:ind w:left="1912" w:hanging="367"/>
      </w:pPr>
      <w:rPr>
        <w:rFonts w:hint="default"/>
      </w:rPr>
    </w:lvl>
    <w:lvl w:ilvl="2" w:tplc="561A7CCA">
      <w:numFmt w:val="bullet"/>
      <w:lvlText w:val="•"/>
      <w:lvlJc w:val="left"/>
      <w:pPr>
        <w:ind w:left="2764" w:hanging="367"/>
      </w:pPr>
      <w:rPr>
        <w:rFonts w:hint="default"/>
      </w:rPr>
    </w:lvl>
    <w:lvl w:ilvl="3" w:tplc="F4783B0E">
      <w:numFmt w:val="bullet"/>
      <w:lvlText w:val="•"/>
      <w:lvlJc w:val="left"/>
      <w:pPr>
        <w:ind w:left="3616" w:hanging="367"/>
      </w:pPr>
      <w:rPr>
        <w:rFonts w:hint="default"/>
      </w:rPr>
    </w:lvl>
    <w:lvl w:ilvl="4" w:tplc="06EAB19A">
      <w:numFmt w:val="bullet"/>
      <w:lvlText w:val="•"/>
      <w:lvlJc w:val="left"/>
      <w:pPr>
        <w:ind w:left="4468" w:hanging="367"/>
      </w:pPr>
      <w:rPr>
        <w:rFonts w:hint="default"/>
      </w:rPr>
    </w:lvl>
    <w:lvl w:ilvl="5" w:tplc="E0D01D78">
      <w:numFmt w:val="bullet"/>
      <w:lvlText w:val="•"/>
      <w:lvlJc w:val="left"/>
      <w:pPr>
        <w:ind w:left="5320" w:hanging="367"/>
      </w:pPr>
      <w:rPr>
        <w:rFonts w:hint="default"/>
      </w:rPr>
    </w:lvl>
    <w:lvl w:ilvl="6" w:tplc="DD3499D0">
      <w:numFmt w:val="bullet"/>
      <w:lvlText w:val="•"/>
      <w:lvlJc w:val="left"/>
      <w:pPr>
        <w:ind w:left="6172" w:hanging="367"/>
      </w:pPr>
      <w:rPr>
        <w:rFonts w:hint="default"/>
      </w:rPr>
    </w:lvl>
    <w:lvl w:ilvl="7" w:tplc="7118016C">
      <w:numFmt w:val="bullet"/>
      <w:lvlText w:val="•"/>
      <w:lvlJc w:val="left"/>
      <w:pPr>
        <w:ind w:left="7024" w:hanging="367"/>
      </w:pPr>
      <w:rPr>
        <w:rFonts w:hint="default"/>
      </w:rPr>
    </w:lvl>
    <w:lvl w:ilvl="8" w:tplc="F7984444">
      <w:numFmt w:val="bullet"/>
      <w:lvlText w:val="•"/>
      <w:lvlJc w:val="left"/>
      <w:pPr>
        <w:ind w:left="7876" w:hanging="367"/>
      </w:pPr>
      <w:rPr>
        <w:rFonts w:hint="default"/>
      </w:rPr>
    </w:lvl>
  </w:abstractNum>
  <w:abstractNum w:abstractNumId="167" w15:restartNumberingAfterBreak="0">
    <w:nsid w:val="297B1DB8"/>
    <w:multiLevelType w:val="hybridMultilevel"/>
    <w:tmpl w:val="9EB41172"/>
    <w:lvl w:ilvl="0" w:tplc="37922608">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A9F5589"/>
    <w:multiLevelType w:val="hybridMultilevel"/>
    <w:tmpl w:val="8E3614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B3C456F"/>
    <w:multiLevelType w:val="hybridMultilevel"/>
    <w:tmpl w:val="214AA08E"/>
    <w:lvl w:ilvl="0" w:tplc="C77EC3D2">
      <w:start w:val="1"/>
      <w:numFmt w:val="decimal"/>
      <w:lvlText w:val="%1)"/>
      <w:lvlJc w:val="left"/>
      <w:pPr>
        <w:tabs>
          <w:tab w:val="num" w:pos="360"/>
        </w:tabs>
        <w:ind w:left="360" w:hanging="360"/>
      </w:pPr>
      <w:rPr>
        <w:color w:val="auto"/>
      </w:rPr>
    </w:lvl>
    <w:lvl w:ilvl="1" w:tplc="04150017">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70" w15:restartNumberingAfterBreak="0">
    <w:nsid w:val="2C37044A"/>
    <w:multiLevelType w:val="hybridMultilevel"/>
    <w:tmpl w:val="67465A5E"/>
    <w:lvl w:ilvl="0" w:tplc="5D88C508">
      <w:start w:val="3"/>
      <w:numFmt w:val="lowerLetter"/>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C9A497F"/>
    <w:multiLevelType w:val="hybridMultilevel"/>
    <w:tmpl w:val="A4967FD2"/>
    <w:lvl w:ilvl="0" w:tplc="E7BC95CC">
      <w:start w:val="1"/>
      <w:numFmt w:val="lowerLetter"/>
      <w:lvlText w:val="%1)"/>
      <w:lvlJc w:val="left"/>
      <w:pPr>
        <w:ind w:left="0" w:firstLine="0"/>
      </w:pPr>
      <w:rPr>
        <w:rFonts w:ascii="Times New Roman" w:eastAsia="Times New Roman" w:hAnsi="Times New Roman" w:cs="Times New Roman" w:hint="default"/>
        <w:spacing w:val="-26"/>
        <w:w w:val="99"/>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CEA40AE"/>
    <w:multiLevelType w:val="hybridMultilevel"/>
    <w:tmpl w:val="C610F332"/>
    <w:lvl w:ilvl="0" w:tplc="2826A50E">
      <w:start w:val="1"/>
      <w:numFmt w:val="decimal"/>
      <w:lvlText w:val="%1)"/>
      <w:lvlJc w:val="left"/>
      <w:pPr>
        <w:ind w:left="662" w:hanging="360"/>
      </w:pPr>
      <w:rPr>
        <w:rFonts w:ascii="Times New Roman" w:eastAsia="Times New Roman" w:hAnsi="Times New Roman" w:cs="Times New Roman" w:hint="default"/>
        <w:spacing w:val="-20"/>
        <w:w w:val="99"/>
        <w:sz w:val="24"/>
        <w:szCs w:val="24"/>
        <w:lang w:val="pl-PL" w:eastAsia="pl-PL" w:bidi="pl-PL"/>
      </w:rPr>
    </w:lvl>
    <w:lvl w:ilvl="1" w:tplc="50F0A0D6">
      <w:start w:val="1"/>
      <w:numFmt w:val="lowerLetter"/>
      <w:lvlText w:val="%2)"/>
      <w:lvlJc w:val="left"/>
      <w:pPr>
        <w:ind w:left="950" w:hanging="360"/>
      </w:pPr>
      <w:rPr>
        <w:rFonts w:ascii="Times New Roman" w:eastAsia="Times New Roman" w:hAnsi="Times New Roman" w:cs="Times New Roman" w:hint="default"/>
        <w:i w:val="0"/>
        <w:spacing w:val="-18"/>
        <w:w w:val="99"/>
        <w:sz w:val="24"/>
        <w:szCs w:val="24"/>
        <w:lang w:val="pl-PL" w:eastAsia="pl-PL" w:bidi="pl-PL"/>
      </w:rPr>
    </w:lvl>
    <w:lvl w:ilvl="2" w:tplc="0174FC84">
      <w:numFmt w:val="bullet"/>
      <w:lvlText w:val="•"/>
      <w:lvlJc w:val="left"/>
      <w:pPr>
        <w:ind w:left="1830" w:hanging="360"/>
      </w:pPr>
      <w:rPr>
        <w:rFonts w:hint="default"/>
        <w:lang w:val="pl-PL" w:eastAsia="pl-PL" w:bidi="pl-PL"/>
      </w:rPr>
    </w:lvl>
    <w:lvl w:ilvl="3" w:tplc="13BA3560">
      <w:numFmt w:val="bullet"/>
      <w:lvlText w:val="•"/>
      <w:lvlJc w:val="left"/>
      <w:pPr>
        <w:ind w:left="2701" w:hanging="360"/>
      </w:pPr>
      <w:rPr>
        <w:rFonts w:hint="default"/>
        <w:lang w:val="pl-PL" w:eastAsia="pl-PL" w:bidi="pl-PL"/>
      </w:rPr>
    </w:lvl>
    <w:lvl w:ilvl="4" w:tplc="31AC0C06">
      <w:numFmt w:val="bullet"/>
      <w:lvlText w:val="•"/>
      <w:lvlJc w:val="left"/>
      <w:pPr>
        <w:ind w:left="3572" w:hanging="360"/>
      </w:pPr>
      <w:rPr>
        <w:rFonts w:hint="default"/>
        <w:lang w:val="pl-PL" w:eastAsia="pl-PL" w:bidi="pl-PL"/>
      </w:rPr>
    </w:lvl>
    <w:lvl w:ilvl="5" w:tplc="C0D670AC">
      <w:numFmt w:val="bullet"/>
      <w:lvlText w:val="•"/>
      <w:lvlJc w:val="left"/>
      <w:pPr>
        <w:ind w:left="4442" w:hanging="360"/>
      </w:pPr>
      <w:rPr>
        <w:rFonts w:hint="default"/>
        <w:lang w:val="pl-PL" w:eastAsia="pl-PL" w:bidi="pl-PL"/>
      </w:rPr>
    </w:lvl>
    <w:lvl w:ilvl="6" w:tplc="EACEA1A2">
      <w:numFmt w:val="bullet"/>
      <w:lvlText w:val="•"/>
      <w:lvlJc w:val="left"/>
      <w:pPr>
        <w:ind w:left="5313" w:hanging="360"/>
      </w:pPr>
      <w:rPr>
        <w:rFonts w:hint="default"/>
        <w:lang w:val="pl-PL" w:eastAsia="pl-PL" w:bidi="pl-PL"/>
      </w:rPr>
    </w:lvl>
    <w:lvl w:ilvl="7" w:tplc="5D00288A">
      <w:numFmt w:val="bullet"/>
      <w:lvlText w:val="•"/>
      <w:lvlJc w:val="left"/>
      <w:pPr>
        <w:ind w:left="6184" w:hanging="360"/>
      </w:pPr>
      <w:rPr>
        <w:rFonts w:hint="default"/>
        <w:lang w:val="pl-PL" w:eastAsia="pl-PL" w:bidi="pl-PL"/>
      </w:rPr>
    </w:lvl>
    <w:lvl w:ilvl="8" w:tplc="A6B056A0">
      <w:numFmt w:val="bullet"/>
      <w:lvlText w:val="•"/>
      <w:lvlJc w:val="left"/>
      <w:pPr>
        <w:ind w:left="7054" w:hanging="360"/>
      </w:pPr>
      <w:rPr>
        <w:rFonts w:hint="default"/>
        <w:lang w:val="pl-PL" w:eastAsia="pl-PL" w:bidi="pl-PL"/>
      </w:rPr>
    </w:lvl>
  </w:abstractNum>
  <w:abstractNum w:abstractNumId="173" w15:restartNumberingAfterBreak="0">
    <w:nsid w:val="2D280D15"/>
    <w:multiLevelType w:val="hybridMultilevel"/>
    <w:tmpl w:val="EF2AC2C2"/>
    <w:lvl w:ilvl="0" w:tplc="2416C156">
      <w:start w:val="1"/>
      <w:numFmt w:val="decimal"/>
      <w:lvlText w:val="%1)"/>
      <w:lvlJc w:val="left"/>
      <w:pPr>
        <w:ind w:left="679" w:hanging="360"/>
      </w:pPr>
      <w:rPr>
        <w:rFonts w:hint="default"/>
        <w:w w:val="101"/>
      </w:rPr>
    </w:lvl>
    <w:lvl w:ilvl="1" w:tplc="04150019" w:tentative="1">
      <w:start w:val="1"/>
      <w:numFmt w:val="lowerLetter"/>
      <w:lvlText w:val="%2."/>
      <w:lvlJc w:val="left"/>
      <w:pPr>
        <w:ind w:left="1399" w:hanging="360"/>
      </w:pPr>
    </w:lvl>
    <w:lvl w:ilvl="2" w:tplc="0415001B" w:tentative="1">
      <w:start w:val="1"/>
      <w:numFmt w:val="lowerRoman"/>
      <w:lvlText w:val="%3."/>
      <w:lvlJc w:val="right"/>
      <w:pPr>
        <w:ind w:left="2119" w:hanging="180"/>
      </w:pPr>
    </w:lvl>
    <w:lvl w:ilvl="3" w:tplc="0415000F" w:tentative="1">
      <w:start w:val="1"/>
      <w:numFmt w:val="decimal"/>
      <w:lvlText w:val="%4."/>
      <w:lvlJc w:val="left"/>
      <w:pPr>
        <w:ind w:left="2839" w:hanging="360"/>
      </w:pPr>
    </w:lvl>
    <w:lvl w:ilvl="4" w:tplc="04150019" w:tentative="1">
      <w:start w:val="1"/>
      <w:numFmt w:val="lowerLetter"/>
      <w:lvlText w:val="%5."/>
      <w:lvlJc w:val="left"/>
      <w:pPr>
        <w:ind w:left="3559" w:hanging="360"/>
      </w:pPr>
    </w:lvl>
    <w:lvl w:ilvl="5" w:tplc="0415001B" w:tentative="1">
      <w:start w:val="1"/>
      <w:numFmt w:val="lowerRoman"/>
      <w:lvlText w:val="%6."/>
      <w:lvlJc w:val="right"/>
      <w:pPr>
        <w:ind w:left="4279" w:hanging="180"/>
      </w:pPr>
    </w:lvl>
    <w:lvl w:ilvl="6" w:tplc="0415000F" w:tentative="1">
      <w:start w:val="1"/>
      <w:numFmt w:val="decimal"/>
      <w:lvlText w:val="%7."/>
      <w:lvlJc w:val="left"/>
      <w:pPr>
        <w:ind w:left="4999" w:hanging="360"/>
      </w:pPr>
    </w:lvl>
    <w:lvl w:ilvl="7" w:tplc="04150019" w:tentative="1">
      <w:start w:val="1"/>
      <w:numFmt w:val="lowerLetter"/>
      <w:lvlText w:val="%8."/>
      <w:lvlJc w:val="left"/>
      <w:pPr>
        <w:ind w:left="5719" w:hanging="360"/>
      </w:pPr>
    </w:lvl>
    <w:lvl w:ilvl="8" w:tplc="0415001B" w:tentative="1">
      <w:start w:val="1"/>
      <w:numFmt w:val="lowerRoman"/>
      <w:lvlText w:val="%9."/>
      <w:lvlJc w:val="right"/>
      <w:pPr>
        <w:ind w:left="6439" w:hanging="180"/>
      </w:pPr>
    </w:lvl>
  </w:abstractNum>
  <w:abstractNum w:abstractNumId="174" w15:restartNumberingAfterBreak="0">
    <w:nsid w:val="2E163E9D"/>
    <w:multiLevelType w:val="hybridMultilevel"/>
    <w:tmpl w:val="DB806E66"/>
    <w:lvl w:ilvl="0" w:tplc="DBFAC25C">
      <w:start w:val="1"/>
      <w:numFmt w:val="decimal"/>
      <w:lvlText w:val="%1)"/>
      <w:lvlJc w:val="left"/>
      <w:pPr>
        <w:ind w:left="1084" w:hanging="345"/>
      </w:pPr>
      <w:rPr>
        <w:rFonts w:ascii="Times New Roman" w:eastAsia="Times New Roman" w:hAnsi="Times New Roman" w:cs="Times New Roman" w:hint="default"/>
        <w:color w:val="4B4B4B"/>
        <w:w w:val="106"/>
        <w:sz w:val="24"/>
        <w:szCs w:val="24"/>
      </w:rPr>
    </w:lvl>
    <w:lvl w:ilvl="1" w:tplc="C264013A">
      <w:start w:val="1"/>
      <w:numFmt w:val="lowerLetter"/>
      <w:lvlText w:val="%2)"/>
      <w:lvlJc w:val="left"/>
      <w:pPr>
        <w:ind w:left="1354" w:hanging="357"/>
      </w:pPr>
      <w:rPr>
        <w:rFonts w:ascii="Times New Roman" w:eastAsia="Times New Roman" w:hAnsi="Times New Roman" w:cs="Times New Roman" w:hint="default"/>
        <w:color w:val="4B4B4B"/>
        <w:spacing w:val="-1"/>
        <w:w w:val="109"/>
        <w:sz w:val="24"/>
        <w:szCs w:val="24"/>
      </w:rPr>
    </w:lvl>
    <w:lvl w:ilvl="2" w:tplc="785A7D12">
      <w:numFmt w:val="bullet"/>
      <w:lvlText w:val="•"/>
      <w:lvlJc w:val="left"/>
      <w:pPr>
        <w:ind w:left="2282" w:hanging="357"/>
      </w:pPr>
      <w:rPr>
        <w:rFonts w:hint="default"/>
      </w:rPr>
    </w:lvl>
    <w:lvl w:ilvl="3" w:tplc="93F0CB42">
      <w:numFmt w:val="bullet"/>
      <w:lvlText w:val="•"/>
      <w:lvlJc w:val="left"/>
      <w:pPr>
        <w:ind w:left="3204" w:hanging="357"/>
      </w:pPr>
      <w:rPr>
        <w:rFonts w:hint="default"/>
      </w:rPr>
    </w:lvl>
    <w:lvl w:ilvl="4" w:tplc="2BEEBAB4">
      <w:numFmt w:val="bullet"/>
      <w:lvlText w:val="•"/>
      <w:lvlJc w:val="left"/>
      <w:pPr>
        <w:ind w:left="4126" w:hanging="357"/>
      </w:pPr>
      <w:rPr>
        <w:rFonts w:hint="default"/>
      </w:rPr>
    </w:lvl>
    <w:lvl w:ilvl="5" w:tplc="29389BD2">
      <w:numFmt w:val="bullet"/>
      <w:lvlText w:val="•"/>
      <w:lvlJc w:val="left"/>
      <w:pPr>
        <w:ind w:left="5048" w:hanging="357"/>
      </w:pPr>
      <w:rPr>
        <w:rFonts w:hint="default"/>
      </w:rPr>
    </w:lvl>
    <w:lvl w:ilvl="6" w:tplc="45181DF2">
      <w:numFmt w:val="bullet"/>
      <w:lvlText w:val="•"/>
      <w:lvlJc w:val="left"/>
      <w:pPr>
        <w:ind w:left="5971" w:hanging="357"/>
      </w:pPr>
      <w:rPr>
        <w:rFonts w:hint="default"/>
      </w:rPr>
    </w:lvl>
    <w:lvl w:ilvl="7" w:tplc="3EE075DE">
      <w:numFmt w:val="bullet"/>
      <w:lvlText w:val="•"/>
      <w:lvlJc w:val="left"/>
      <w:pPr>
        <w:ind w:left="6893" w:hanging="357"/>
      </w:pPr>
      <w:rPr>
        <w:rFonts w:hint="default"/>
      </w:rPr>
    </w:lvl>
    <w:lvl w:ilvl="8" w:tplc="2BF0E014">
      <w:numFmt w:val="bullet"/>
      <w:lvlText w:val="•"/>
      <w:lvlJc w:val="left"/>
      <w:pPr>
        <w:ind w:left="7815" w:hanging="357"/>
      </w:pPr>
      <w:rPr>
        <w:rFonts w:hint="default"/>
      </w:rPr>
    </w:lvl>
  </w:abstractNum>
  <w:abstractNum w:abstractNumId="175" w15:restartNumberingAfterBreak="0">
    <w:nsid w:val="2E9C42E1"/>
    <w:multiLevelType w:val="hybridMultilevel"/>
    <w:tmpl w:val="FACE4ED4"/>
    <w:lvl w:ilvl="0" w:tplc="6EF64EFA">
      <w:start w:val="1"/>
      <w:numFmt w:val="decimal"/>
      <w:lvlText w:val="%1)"/>
      <w:lvlJc w:val="left"/>
      <w:pPr>
        <w:ind w:left="658" w:hanging="356"/>
      </w:pPr>
      <w:rPr>
        <w:rFonts w:ascii="Times New Roman" w:eastAsia="Times New Roman" w:hAnsi="Times New Roman" w:cs="Times New Roman" w:hint="default"/>
        <w:spacing w:val="-25"/>
        <w:w w:val="99"/>
        <w:sz w:val="24"/>
        <w:szCs w:val="24"/>
        <w:lang w:val="pl-PL" w:eastAsia="pl-PL" w:bidi="pl-PL"/>
      </w:rPr>
    </w:lvl>
    <w:lvl w:ilvl="1" w:tplc="290E7D0A">
      <w:numFmt w:val="bullet"/>
      <w:lvlText w:val="•"/>
      <w:lvlJc w:val="left"/>
      <w:pPr>
        <w:ind w:left="1467" w:hanging="356"/>
      </w:pPr>
      <w:rPr>
        <w:rFonts w:hint="default"/>
        <w:lang w:val="pl-PL" w:eastAsia="pl-PL" w:bidi="pl-PL"/>
      </w:rPr>
    </w:lvl>
    <w:lvl w:ilvl="2" w:tplc="631242EE">
      <w:numFmt w:val="bullet"/>
      <w:lvlText w:val="•"/>
      <w:lvlJc w:val="left"/>
      <w:pPr>
        <w:ind w:left="2274" w:hanging="356"/>
      </w:pPr>
      <w:rPr>
        <w:rFonts w:hint="default"/>
        <w:lang w:val="pl-PL" w:eastAsia="pl-PL" w:bidi="pl-PL"/>
      </w:rPr>
    </w:lvl>
    <w:lvl w:ilvl="3" w:tplc="F546118C">
      <w:numFmt w:val="bullet"/>
      <w:lvlText w:val="•"/>
      <w:lvlJc w:val="left"/>
      <w:pPr>
        <w:ind w:left="3081" w:hanging="356"/>
      </w:pPr>
      <w:rPr>
        <w:rFonts w:hint="default"/>
        <w:lang w:val="pl-PL" w:eastAsia="pl-PL" w:bidi="pl-PL"/>
      </w:rPr>
    </w:lvl>
    <w:lvl w:ilvl="4" w:tplc="783AC7D6">
      <w:numFmt w:val="bullet"/>
      <w:lvlText w:val="•"/>
      <w:lvlJc w:val="left"/>
      <w:pPr>
        <w:ind w:left="3888" w:hanging="356"/>
      </w:pPr>
      <w:rPr>
        <w:rFonts w:hint="default"/>
        <w:lang w:val="pl-PL" w:eastAsia="pl-PL" w:bidi="pl-PL"/>
      </w:rPr>
    </w:lvl>
    <w:lvl w:ilvl="5" w:tplc="13E0C988">
      <w:numFmt w:val="bullet"/>
      <w:lvlText w:val="•"/>
      <w:lvlJc w:val="left"/>
      <w:pPr>
        <w:ind w:left="4696" w:hanging="356"/>
      </w:pPr>
      <w:rPr>
        <w:rFonts w:hint="default"/>
        <w:lang w:val="pl-PL" w:eastAsia="pl-PL" w:bidi="pl-PL"/>
      </w:rPr>
    </w:lvl>
    <w:lvl w:ilvl="6" w:tplc="201E741A">
      <w:numFmt w:val="bullet"/>
      <w:lvlText w:val="•"/>
      <w:lvlJc w:val="left"/>
      <w:pPr>
        <w:ind w:left="5503" w:hanging="356"/>
      </w:pPr>
      <w:rPr>
        <w:rFonts w:hint="default"/>
        <w:lang w:val="pl-PL" w:eastAsia="pl-PL" w:bidi="pl-PL"/>
      </w:rPr>
    </w:lvl>
    <w:lvl w:ilvl="7" w:tplc="7C9E2368">
      <w:numFmt w:val="bullet"/>
      <w:lvlText w:val="•"/>
      <w:lvlJc w:val="left"/>
      <w:pPr>
        <w:ind w:left="6310" w:hanging="356"/>
      </w:pPr>
      <w:rPr>
        <w:rFonts w:hint="default"/>
        <w:lang w:val="pl-PL" w:eastAsia="pl-PL" w:bidi="pl-PL"/>
      </w:rPr>
    </w:lvl>
    <w:lvl w:ilvl="8" w:tplc="D67AB6BC">
      <w:numFmt w:val="bullet"/>
      <w:lvlText w:val="•"/>
      <w:lvlJc w:val="left"/>
      <w:pPr>
        <w:ind w:left="7117" w:hanging="356"/>
      </w:pPr>
      <w:rPr>
        <w:rFonts w:hint="default"/>
        <w:lang w:val="pl-PL" w:eastAsia="pl-PL" w:bidi="pl-PL"/>
      </w:rPr>
    </w:lvl>
  </w:abstractNum>
  <w:abstractNum w:abstractNumId="176" w15:restartNumberingAfterBreak="0">
    <w:nsid w:val="2EDD1622"/>
    <w:multiLevelType w:val="hybridMultilevel"/>
    <w:tmpl w:val="E28256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F5C27C7"/>
    <w:multiLevelType w:val="hybridMultilevel"/>
    <w:tmpl w:val="DA269D62"/>
    <w:lvl w:ilvl="0" w:tplc="58B45ED2">
      <w:start w:val="1"/>
      <w:numFmt w:val="lowerLetter"/>
      <w:lvlText w:val="%1)"/>
      <w:lvlJc w:val="left"/>
      <w:pPr>
        <w:tabs>
          <w:tab w:val="num" w:pos="286"/>
        </w:tabs>
        <w:ind w:left="794" w:firstLine="286"/>
      </w:pPr>
      <w:rPr>
        <w:rFonts w:hint="default"/>
        <w:b w:val="0"/>
        <w:bCs/>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8" w15:restartNumberingAfterBreak="0">
    <w:nsid w:val="2F6E4189"/>
    <w:multiLevelType w:val="hybridMultilevel"/>
    <w:tmpl w:val="EE1059A4"/>
    <w:lvl w:ilvl="0" w:tplc="6E5E9B24">
      <w:start w:val="9"/>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F94054E"/>
    <w:multiLevelType w:val="hybridMultilevel"/>
    <w:tmpl w:val="5696171A"/>
    <w:lvl w:ilvl="0" w:tplc="4816FD98">
      <w:start w:val="21"/>
      <w:numFmt w:val="lowerLetter"/>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FC41DDC"/>
    <w:multiLevelType w:val="hybridMultilevel"/>
    <w:tmpl w:val="6128D98C"/>
    <w:lvl w:ilvl="0" w:tplc="4E080796">
      <w:start w:val="1"/>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300C06D3"/>
    <w:multiLevelType w:val="hybridMultilevel"/>
    <w:tmpl w:val="549693BC"/>
    <w:lvl w:ilvl="0" w:tplc="77928142">
      <w:start w:val="1"/>
      <w:numFmt w:val="upperRoman"/>
      <w:lvlText w:val="%1."/>
      <w:lvlJc w:val="left"/>
      <w:pPr>
        <w:ind w:left="1007" w:hanging="267"/>
      </w:pPr>
      <w:rPr>
        <w:rFonts w:ascii="Times New Roman" w:eastAsia="Times New Roman" w:hAnsi="Times New Roman" w:cs="Times New Roman" w:hint="default"/>
        <w:color w:val="4F4F4F"/>
        <w:w w:val="94"/>
        <w:sz w:val="23"/>
        <w:szCs w:val="23"/>
      </w:rPr>
    </w:lvl>
    <w:lvl w:ilvl="1" w:tplc="23F0F5E0">
      <w:start w:val="1"/>
      <w:numFmt w:val="decimal"/>
      <w:lvlText w:val="%2."/>
      <w:lvlJc w:val="left"/>
      <w:pPr>
        <w:ind w:left="1351" w:hanging="321"/>
      </w:pPr>
      <w:rPr>
        <w:rFonts w:hint="default"/>
        <w:w w:val="102"/>
      </w:rPr>
    </w:lvl>
    <w:lvl w:ilvl="2" w:tplc="A0460E66">
      <w:start w:val="1"/>
      <w:numFmt w:val="decimal"/>
      <w:lvlText w:val="%3)"/>
      <w:lvlJc w:val="left"/>
      <w:pPr>
        <w:ind w:left="1605" w:hanging="307"/>
      </w:pPr>
      <w:rPr>
        <w:rFonts w:ascii="Times New Roman" w:eastAsia="Arial" w:hAnsi="Times New Roman" w:cs="Times New Roman" w:hint="default"/>
        <w:color w:val="4F4F4F"/>
        <w:spacing w:val="-1"/>
        <w:w w:val="105"/>
        <w:sz w:val="24"/>
        <w:szCs w:val="24"/>
      </w:rPr>
    </w:lvl>
    <w:lvl w:ilvl="3" w:tplc="792889CA">
      <w:numFmt w:val="bullet"/>
      <w:lvlText w:val="•"/>
      <w:lvlJc w:val="left"/>
      <w:pPr>
        <w:ind w:left="2807" w:hanging="307"/>
      </w:pPr>
      <w:rPr>
        <w:rFonts w:hint="default"/>
      </w:rPr>
    </w:lvl>
    <w:lvl w:ilvl="4" w:tplc="7B4804C8">
      <w:numFmt w:val="bullet"/>
      <w:lvlText w:val="•"/>
      <w:lvlJc w:val="left"/>
      <w:pPr>
        <w:ind w:left="3775" w:hanging="307"/>
      </w:pPr>
      <w:rPr>
        <w:rFonts w:hint="default"/>
      </w:rPr>
    </w:lvl>
    <w:lvl w:ilvl="5" w:tplc="BD760DCE">
      <w:numFmt w:val="bullet"/>
      <w:lvlText w:val="•"/>
      <w:lvlJc w:val="left"/>
      <w:pPr>
        <w:ind w:left="4742" w:hanging="307"/>
      </w:pPr>
      <w:rPr>
        <w:rFonts w:hint="default"/>
      </w:rPr>
    </w:lvl>
    <w:lvl w:ilvl="6" w:tplc="F6FCB32A">
      <w:numFmt w:val="bullet"/>
      <w:lvlText w:val="•"/>
      <w:lvlJc w:val="left"/>
      <w:pPr>
        <w:ind w:left="5710" w:hanging="307"/>
      </w:pPr>
      <w:rPr>
        <w:rFonts w:hint="default"/>
      </w:rPr>
    </w:lvl>
    <w:lvl w:ilvl="7" w:tplc="C5B440EA">
      <w:numFmt w:val="bullet"/>
      <w:lvlText w:val="•"/>
      <w:lvlJc w:val="left"/>
      <w:pPr>
        <w:ind w:left="6677" w:hanging="307"/>
      </w:pPr>
      <w:rPr>
        <w:rFonts w:hint="default"/>
      </w:rPr>
    </w:lvl>
    <w:lvl w:ilvl="8" w:tplc="AA4C97F2">
      <w:numFmt w:val="bullet"/>
      <w:lvlText w:val="•"/>
      <w:lvlJc w:val="left"/>
      <w:pPr>
        <w:ind w:left="7645" w:hanging="307"/>
      </w:pPr>
      <w:rPr>
        <w:rFonts w:hint="default"/>
      </w:rPr>
    </w:lvl>
  </w:abstractNum>
  <w:abstractNum w:abstractNumId="182" w15:restartNumberingAfterBreak="0">
    <w:nsid w:val="302A7F3B"/>
    <w:multiLevelType w:val="hybridMultilevel"/>
    <w:tmpl w:val="C1D6E41A"/>
    <w:lvl w:ilvl="0" w:tplc="FA8C7B3A">
      <w:start w:val="1"/>
      <w:numFmt w:val="decimal"/>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83" w15:restartNumberingAfterBreak="0">
    <w:nsid w:val="303652D8"/>
    <w:multiLevelType w:val="hybridMultilevel"/>
    <w:tmpl w:val="E47630B8"/>
    <w:lvl w:ilvl="0" w:tplc="23F0F5E0">
      <w:start w:val="1"/>
      <w:numFmt w:val="decimal"/>
      <w:lvlText w:val="%1."/>
      <w:lvlJc w:val="left"/>
      <w:pPr>
        <w:ind w:left="2017" w:hanging="360"/>
      </w:pPr>
      <w:rPr>
        <w:rFonts w:hint="default"/>
        <w:w w:val="102"/>
      </w:rPr>
    </w:lvl>
    <w:lvl w:ilvl="1" w:tplc="04150019" w:tentative="1">
      <w:start w:val="1"/>
      <w:numFmt w:val="lowerLetter"/>
      <w:lvlText w:val="%2."/>
      <w:lvlJc w:val="left"/>
      <w:pPr>
        <w:ind w:left="2737" w:hanging="360"/>
      </w:pPr>
    </w:lvl>
    <w:lvl w:ilvl="2" w:tplc="0415001B" w:tentative="1">
      <w:start w:val="1"/>
      <w:numFmt w:val="lowerRoman"/>
      <w:lvlText w:val="%3."/>
      <w:lvlJc w:val="right"/>
      <w:pPr>
        <w:ind w:left="3457" w:hanging="180"/>
      </w:pPr>
    </w:lvl>
    <w:lvl w:ilvl="3" w:tplc="0415000F" w:tentative="1">
      <w:start w:val="1"/>
      <w:numFmt w:val="decimal"/>
      <w:lvlText w:val="%4."/>
      <w:lvlJc w:val="left"/>
      <w:pPr>
        <w:ind w:left="4177" w:hanging="360"/>
      </w:pPr>
    </w:lvl>
    <w:lvl w:ilvl="4" w:tplc="04150019" w:tentative="1">
      <w:start w:val="1"/>
      <w:numFmt w:val="lowerLetter"/>
      <w:lvlText w:val="%5."/>
      <w:lvlJc w:val="left"/>
      <w:pPr>
        <w:ind w:left="4897" w:hanging="360"/>
      </w:pPr>
    </w:lvl>
    <w:lvl w:ilvl="5" w:tplc="0415001B" w:tentative="1">
      <w:start w:val="1"/>
      <w:numFmt w:val="lowerRoman"/>
      <w:lvlText w:val="%6."/>
      <w:lvlJc w:val="right"/>
      <w:pPr>
        <w:ind w:left="5617" w:hanging="180"/>
      </w:pPr>
    </w:lvl>
    <w:lvl w:ilvl="6" w:tplc="0415000F" w:tentative="1">
      <w:start w:val="1"/>
      <w:numFmt w:val="decimal"/>
      <w:lvlText w:val="%7."/>
      <w:lvlJc w:val="left"/>
      <w:pPr>
        <w:ind w:left="6337" w:hanging="360"/>
      </w:pPr>
    </w:lvl>
    <w:lvl w:ilvl="7" w:tplc="04150019" w:tentative="1">
      <w:start w:val="1"/>
      <w:numFmt w:val="lowerLetter"/>
      <w:lvlText w:val="%8."/>
      <w:lvlJc w:val="left"/>
      <w:pPr>
        <w:ind w:left="7057" w:hanging="360"/>
      </w:pPr>
    </w:lvl>
    <w:lvl w:ilvl="8" w:tplc="0415001B" w:tentative="1">
      <w:start w:val="1"/>
      <w:numFmt w:val="lowerRoman"/>
      <w:lvlText w:val="%9."/>
      <w:lvlJc w:val="right"/>
      <w:pPr>
        <w:ind w:left="7777" w:hanging="180"/>
      </w:pPr>
    </w:lvl>
  </w:abstractNum>
  <w:abstractNum w:abstractNumId="184" w15:restartNumberingAfterBreak="0">
    <w:nsid w:val="305B5783"/>
    <w:multiLevelType w:val="hybridMultilevel"/>
    <w:tmpl w:val="DC80CE22"/>
    <w:lvl w:ilvl="0" w:tplc="11AAF760">
      <w:start w:val="1"/>
      <w:numFmt w:val="decimal"/>
      <w:lvlText w:val="%1)"/>
      <w:lvlJc w:val="left"/>
      <w:pPr>
        <w:ind w:left="607" w:hanging="384"/>
      </w:pPr>
      <w:rPr>
        <w:rFonts w:hint="default"/>
      </w:rPr>
    </w:lvl>
    <w:lvl w:ilvl="1" w:tplc="7096A2AA">
      <w:start w:val="1"/>
      <w:numFmt w:val="lowerLetter"/>
      <w:lvlText w:val="%2)"/>
      <w:lvlJc w:val="left"/>
      <w:pPr>
        <w:ind w:left="1303" w:hanging="360"/>
      </w:pPr>
      <w:rPr>
        <w:rFonts w:hint="default"/>
      </w:rPr>
    </w:lvl>
    <w:lvl w:ilvl="2" w:tplc="0415001B" w:tentative="1">
      <w:start w:val="1"/>
      <w:numFmt w:val="lowerRoman"/>
      <w:lvlText w:val="%3."/>
      <w:lvlJc w:val="right"/>
      <w:pPr>
        <w:ind w:left="2023" w:hanging="180"/>
      </w:pPr>
    </w:lvl>
    <w:lvl w:ilvl="3" w:tplc="0415000F" w:tentative="1">
      <w:start w:val="1"/>
      <w:numFmt w:val="decimal"/>
      <w:lvlText w:val="%4."/>
      <w:lvlJc w:val="left"/>
      <w:pPr>
        <w:ind w:left="2743" w:hanging="360"/>
      </w:pPr>
    </w:lvl>
    <w:lvl w:ilvl="4" w:tplc="04150019" w:tentative="1">
      <w:start w:val="1"/>
      <w:numFmt w:val="lowerLetter"/>
      <w:lvlText w:val="%5."/>
      <w:lvlJc w:val="left"/>
      <w:pPr>
        <w:ind w:left="3463" w:hanging="360"/>
      </w:pPr>
    </w:lvl>
    <w:lvl w:ilvl="5" w:tplc="0415001B" w:tentative="1">
      <w:start w:val="1"/>
      <w:numFmt w:val="lowerRoman"/>
      <w:lvlText w:val="%6."/>
      <w:lvlJc w:val="right"/>
      <w:pPr>
        <w:ind w:left="4183" w:hanging="180"/>
      </w:pPr>
    </w:lvl>
    <w:lvl w:ilvl="6" w:tplc="0415000F" w:tentative="1">
      <w:start w:val="1"/>
      <w:numFmt w:val="decimal"/>
      <w:lvlText w:val="%7."/>
      <w:lvlJc w:val="left"/>
      <w:pPr>
        <w:ind w:left="4903" w:hanging="360"/>
      </w:pPr>
    </w:lvl>
    <w:lvl w:ilvl="7" w:tplc="04150019" w:tentative="1">
      <w:start w:val="1"/>
      <w:numFmt w:val="lowerLetter"/>
      <w:lvlText w:val="%8."/>
      <w:lvlJc w:val="left"/>
      <w:pPr>
        <w:ind w:left="5623" w:hanging="360"/>
      </w:pPr>
    </w:lvl>
    <w:lvl w:ilvl="8" w:tplc="0415001B" w:tentative="1">
      <w:start w:val="1"/>
      <w:numFmt w:val="lowerRoman"/>
      <w:lvlText w:val="%9."/>
      <w:lvlJc w:val="right"/>
      <w:pPr>
        <w:ind w:left="6343" w:hanging="180"/>
      </w:pPr>
    </w:lvl>
  </w:abstractNum>
  <w:abstractNum w:abstractNumId="185" w15:restartNumberingAfterBreak="0">
    <w:nsid w:val="30ED1E32"/>
    <w:multiLevelType w:val="hybridMultilevel"/>
    <w:tmpl w:val="0A9C8772"/>
    <w:lvl w:ilvl="0" w:tplc="C5222D5E">
      <w:start w:val="1"/>
      <w:numFmt w:val="decimal"/>
      <w:lvlText w:val="%1)"/>
      <w:lvlJc w:val="right"/>
      <w:pPr>
        <w:ind w:left="2062" w:hanging="360"/>
      </w:pPr>
      <w:rPr>
        <w:rFonts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86" w15:restartNumberingAfterBreak="0">
    <w:nsid w:val="31304C06"/>
    <w:multiLevelType w:val="hybridMultilevel"/>
    <w:tmpl w:val="905A4454"/>
    <w:lvl w:ilvl="0" w:tplc="2174CE5E">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317517B0"/>
    <w:multiLevelType w:val="hybridMultilevel"/>
    <w:tmpl w:val="2A0675C2"/>
    <w:lvl w:ilvl="0" w:tplc="2AF8E602">
      <w:start w:val="1"/>
      <w:numFmt w:val="lowerLetter"/>
      <w:lvlText w:val="%1)"/>
      <w:lvlJc w:val="left"/>
      <w:pPr>
        <w:ind w:left="1335" w:hanging="360"/>
      </w:pPr>
      <w:rPr>
        <w:rFonts w:hint="default"/>
        <w:color w:val="505050"/>
        <w:spacing w:val="-1"/>
        <w:w w:val="106"/>
        <w:sz w:val="24"/>
        <w:szCs w:val="24"/>
      </w:rPr>
    </w:lvl>
    <w:lvl w:ilvl="1" w:tplc="04150019" w:tentative="1">
      <w:start w:val="1"/>
      <w:numFmt w:val="lowerLetter"/>
      <w:lvlText w:val="%2."/>
      <w:lvlJc w:val="left"/>
      <w:pPr>
        <w:ind w:left="2055" w:hanging="360"/>
      </w:pPr>
    </w:lvl>
    <w:lvl w:ilvl="2" w:tplc="0415001B" w:tentative="1">
      <w:start w:val="1"/>
      <w:numFmt w:val="lowerRoman"/>
      <w:lvlText w:val="%3."/>
      <w:lvlJc w:val="right"/>
      <w:pPr>
        <w:ind w:left="2775" w:hanging="180"/>
      </w:pPr>
    </w:lvl>
    <w:lvl w:ilvl="3" w:tplc="0415000F" w:tentative="1">
      <w:start w:val="1"/>
      <w:numFmt w:val="decimal"/>
      <w:lvlText w:val="%4."/>
      <w:lvlJc w:val="left"/>
      <w:pPr>
        <w:ind w:left="3495" w:hanging="360"/>
      </w:pPr>
    </w:lvl>
    <w:lvl w:ilvl="4" w:tplc="04150019" w:tentative="1">
      <w:start w:val="1"/>
      <w:numFmt w:val="lowerLetter"/>
      <w:lvlText w:val="%5."/>
      <w:lvlJc w:val="left"/>
      <w:pPr>
        <w:ind w:left="4215" w:hanging="360"/>
      </w:pPr>
    </w:lvl>
    <w:lvl w:ilvl="5" w:tplc="0415001B" w:tentative="1">
      <w:start w:val="1"/>
      <w:numFmt w:val="lowerRoman"/>
      <w:lvlText w:val="%6."/>
      <w:lvlJc w:val="right"/>
      <w:pPr>
        <w:ind w:left="4935" w:hanging="180"/>
      </w:pPr>
    </w:lvl>
    <w:lvl w:ilvl="6" w:tplc="0415000F" w:tentative="1">
      <w:start w:val="1"/>
      <w:numFmt w:val="decimal"/>
      <w:lvlText w:val="%7."/>
      <w:lvlJc w:val="left"/>
      <w:pPr>
        <w:ind w:left="5655" w:hanging="360"/>
      </w:pPr>
    </w:lvl>
    <w:lvl w:ilvl="7" w:tplc="04150019" w:tentative="1">
      <w:start w:val="1"/>
      <w:numFmt w:val="lowerLetter"/>
      <w:lvlText w:val="%8."/>
      <w:lvlJc w:val="left"/>
      <w:pPr>
        <w:ind w:left="6375" w:hanging="360"/>
      </w:pPr>
    </w:lvl>
    <w:lvl w:ilvl="8" w:tplc="0415001B" w:tentative="1">
      <w:start w:val="1"/>
      <w:numFmt w:val="lowerRoman"/>
      <w:lvlText w:val="%9."/>
      <w:lvlJc w:val="right"/>
      <w:pPr>
        <w:ind w:left="7095" w:hanging="180"/>
      </w:pPr>
    </w:lvl>
  </w:abstractNum>
  <w:abstractNum w:abstractNumId="188" w15:restartNumberingAfterBreak="0">
    <w:nsid w:val="319A1AB4"/>
    <w:multiLevelType w:val="hybridMultilevel"/>
    <w:tmpl w:val="457AC27A"/>
    <w:lvl w:ilvl="0" w:tplc="6C7C2D38">
      <w:start w:val="7"/>
      <w:numFmt w:val="decimal"/>
      <w:lvlText w:val="I.4.%1."/>
      <w:lvlJc w:val="left"/>
      <w:pPr>
        <w:ind w:left="1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323E1F1D"/>
    <w:multiLevelType w:val="hybridMultilevel"/>
    <w:tmpl w:val="9D46313E"/>
    <w:lvl w:ilvl="0" w:tplc="178EFFDC">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2453DB9"/>
    <w:multiLevelType w:val="hybridMultilevel"/>
    <w:tmpl w:val="2A1E2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2593288"/>
    <w:multiLevelType w:val="hybridMultilevel"/>
    <w:tmpl w:val="7D6C2AD2"/>
    <w:lvl w:ilvl="0" w:tplc="80D857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328B3E80"/>
    <w:multiLevelType w:val="hybridMultilevel"/>
    <w:tmpl w:val="81E6E9CA"/>
    <w:lvl w:ilvl="0" w:tplc="A8C876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32DA7FAD"/>
    <w:multiLevelType w:val="hybridMultilevel"/>
    <w:tmpl w:val="75BC0D6A"/>
    <w:lvl w:ilvl="0" w:tplc="05D86840">
      <w:start w:val="2"/>
      <w:numFmt w:val="decimal"/>
      <w:lvlText w:val="%1."/>
      <w:lvlJc w:val="left"/>
      <w:pPr>
        <w:ind w:left="1280" w:hanging="345"/>
      </w:pPr>
      <w:rPr>
        <w:rFonts w:ascii="Times New Roman" w:eastAsia="Times New Roman" w:hAnsi="Times New Roman" w:cs="Times New Roman" w:hint="default"/>
        <w:color w:val="4F4F4F"/>
        <w:w w:val="106"/>
        <w:sz w:val="24"/>
        <w:szCs w:val="24"/>
      </w:rPr>
    </w:lvl>
    <w:lvl w:ilvl="1" w:tplc="7846A1FA">
      <w:start w:val="1"/>
      <w:numFmt w:val="decimal"/>
      <w:lvlText w:val="%2)"/>
      <w:lvlJc w:val="left"/>
      <w:pPr>
        <w:ind w:left="1834" w:hanging="345"/>
      </w:pPr>
      <w:rPr>
        <w:rFonts w:ascii="Times New Roman" w:eastAsia="Times New Roman" w:hAnsi="Times New Roman" w:cs="Times New Roman" w:hint="default"/>
        <w:color w:val="4F4F4F"/>
        <w:w w:val="106"/>
        <w:sz w:val="24"/>
        <w:szCs w:val="24"/>
      </w:rPr>
    </w:lvl>
    <w:lvl w:ilvl="2" w:tplc="50DED99C">
      <w:numFmt w:val="bullet"/>
      <w:lvlText w:val="•"/>
      <w:lvlJc w:val="left"/>
      <w:pPr>
        <w:ind w:left="2700" w:hanging="345"/>
      </w:pPr>
      <w:rPr>
        <w:rFonts w:hint="default"/>
      </w:rPr>
    </w:lvl>
    <w:lvl w:ilvl="3" w:tplc="D7F45D10">
      <w:numFmt w:val="bullet"/>
      <w:lvlText w:val="•"/>
      <w:lvlJc w:val="left"/>
      <w:pPr>
        <w:ind w:left="3560" w:hanging="345"/>
      </w:pPr>
      <w:rPr>
        <w:rFonts w:hint="default"/>
      </w:rPr>
    </w:lvl>
    <w:lvl w:ilvl="4" w:tplc="9D0E92CE">
      <w:numFmt w:val="bullet"/>
      <w:lvlText w:val="•"/>
      <w:lvlJc w:val="left"/>
      <w:pPr>
        <w:ind w:left="4420" w:hanging="345"/>
      </w:pPr>
      <w:rPr>
        <w:rFonts w:hint="default"/>
      </w:rPr>
    </w:lvl>
    <w:lvl w:ilvl="5" w:tplc="6EDC7458">
      <w:numFmt w:val="bullet"/>
      <w:lvlText w:val="•"/>
      <w:lvlJc w:val="left"/>
      <w:pPr>
        <w:ind w:left="5280" w:hanging="345"/>
      </w:pPr>
      <w:rPr>
        <w:rFonts w:hint="default"/>
      </w:rPr>
    </w:lvl>
    <w:lvl w:ilvl="6" w:tplc="F3769812">
      <w:numFmt w:val="bullet"/>
      <w:lvlText w:val="•"/>
      <w:lvlJc w:val="left"/>
      <w:pPr>
        <w:ind w:left="6140" w:hanging="345"/>
      </w:pPr>
      <w:rPr>
        <w:rFonts w:hint="default"/>
      </w:rPr>
    </w:lvl>
    <w:lvl w:ilvl="7" w:tplc="5A8043CA">
      <w:numFmt w:val="bullet"/>
      <w:lvlText w:val="•"/>
      <w:lvlJc w:val="left"/>
      <w:pPr>
        <w:ind w:left="7000" w:hanging="345"/>
      </w:pPr>
      <w:rPr>
        <w:rFonts w:hint="default"/>
      </w:rPr>
    </w:lvl>
    <w:lvl w:ilvl="8" w:tplc="159C6392">
      <w:numFmt w:val="bullet"/>
      <w:lvlText w:val="•"/>
      <w:lvlJc w:val="left"/>
      <w:pPr>
        <w:ind w:left="7860" w:hanging="345"/>
      </w:pPr>
      <w:rPr>
        <w:rFonts w:hint="default"/>
      </w:rPr>
    </w:lvl>
  </w:abstractNum>
  <w:abstractNum w:abstractNumId="194" w15:restartNumberingAfterBreak="0">
    <w:nsid w:val="33267232"/>
    <w:multiLevelType w:val="hybridMultilevel"/>
    <w:tmpl w:val="8B467158"/>
    <w:lvl w:ilvl="0" w:tplc="11DEEA90">
      <w:start w:val="1"/>
      <w:numFmt w:val="lowerLetter"/>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195" w15:restartNumberingAfterBreak="0">
    <w:nsid w:val="33336442"/>
    <w:multiLevelType w:val="hybridMultilevel"/>
    <w:tmpl w:val="31AE3726"/>
    <w:lvl w:ilvl="0" w:tplc="7B8C48A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6" w15:restartNumberingAfterBreak="0">
    <w:nsid w:val="33AE61F8"/>
    <w:multiLevelType w:val="hybridMultilevel"/>
    <w:tmpl w:val="634A972A"/>
    <w:lvl w:ilvl="0" w:tplc="3782D0E4">
      <w:start w:val="1"/>
      <w:numFmt w:val="lowerLetter"/>
      <w:lvlText w:val="%1)"/>
      <w:lvlJc w:val="left"/>
      <w:pPr>
        <w:tabs>
          <w:tab w:val="num" w:pos="1986"/>
        </w:tabs>
        <w:ind w:left="36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3CD0407"/>
    <w:multiLevelType w:val="hybridMultilevel"/>
    <w:tmpl w:val="4F8C03E2"/>
    <w:lvl w:ilvl="0" w:tplc="933CDE56">
      <w:start w:val="1"/>
      <w:numFmt w:val="lowerLetter"/>
      <w:lvlText w:val="%1)"/>
      <w:lvlJc w:val="left"/>
      <w:pPr>
        <w:ind w:left="1108" w:hanging="352"/>
      </w:pPr>
      <w:rPr>
        <w:rFonts w:ascii="Times New Roman" w:eastAsia="Times New Roman" w:hAnsi="Times New Roman" w:cs="Times New Roman" w:hint="default"/>
        <w:color w:val="4D4D4D"/>
        <w:spacing w:val="-1"/>
        <w:w w:val="106"/>
        <w:sz w:val="24"/>
        <w:szCs w:val="24"/>
      </w:rPr>
    </w:lvl>
    <w:lvl w:ilvl="1" w:tplc="A510DAF8">
      <w:numFmt w:val="bullet"/>
      <w:lvlText w:val="•"/>
      <w:lvlJc w:val="left"/>
      <w:pPr>
        <w:ind w:left="1948" w:hanging="352"/>
      </w:pPr>
      <w:rPr>
        <w:rFonts w:hint="default"/>
      </w:rPr>
    </w:lvl>
    <w:lvl w:ilvl="2" w:tplc="05E8D256">
      <w:numFmt w:val="bullet"/>
      <w:lvlText w:val="•"/>
      <w:lvlJc w:val="left"/>
      <w:pPr>
        <w:ind w:left="2796" w:hanging="352"/>
      </w:pPr>
      <w:rPr>
        <w:rFonts w:hint="default"/>
      </w:rPr>
    </w:lvl>
    <w:lvl w:ilvl="3" w:tplc="A5BA5222">
      <w:numFmt w:val="bullet"/>
      <w:lvlText w:val="•"/>
      <w:lvlJc w:val="left"/>
      <w:pPr>
        <w:ind w:left="3644" w:hanging="352"/>
      </w:pPr>
      <w:rPr>
        <w:rFonts w:hint="default"/>
      </w:rPr>
    </w:lvl>
    <w:lvl w:ilvl="4" w:tplc="598010BC">
      <w:numFmt w:val="bullet"/>
      <w:lvlText w:val="•"/>
      <w:lvlJc w:val="left"/>
      <w:pPr>
        <w:ind w:left="4492" w:hanging="352"/>
      </w:pPr>
      <w:rPr>
        <w:rFonts w:hint="default"/>
      </w:rPr>
    </w:lvl>
    <w:lvl w:ilvl="5" w:tplc="59F6A788">
      <w:numFmt w:val="bullet"/>
      <w:lvlText w:val="•"/>
      <w:lvlJc w:val="left"/>
      <w:pPr>
        <w:ind w:left="5340" w:hanging="352"/>
      </w:pPr>
      <w:rPr>
        <w:rFonts w:hint="default"/>
      </w:rPr>
    </w:lvl>
    <w:lvl w:ilvl="6" w:tplc="8F8465C2">
      <w:numFmt w:val="bullet"/>
      <w:lvlText w:val="•"/>
      <w:lvlJc w:val="left"/>
      <w:pPr>
        <w:ind w:left="6188" w:hanging="352"/>
      </w:pPr>
      <w:rPr>
        <w:rFonts w:hint="default"/>
      </w:rPr>
    </w:lvl>
    <w:lvl w:ilvl="7" w:tplc="3AEA9A50">
      <w:numFmt w:val="bullet"/>
      <w:lvlText w:val="•"/>
      <w:lvlJc w:val="left"/>
      <w:pPr>
        <w:ind w:left="7036" w:hanging="352"/>
      </w:pPr>
      <w:rPr>
        <w:rFonts w:hint="default"/>
      </w:rPr>
    </w:lvl>
    <w:lvl w:ilvl="8" w:tplc="905822FE">
      <w:numFmt w:val="bullet"/>
      <w:lvlText w:val="•"/>
      <w:lvlJc w:val="left"/>
      <w:pPr>
        <w:ind w:left="7884" w:hanging="352"/>
      </w:pPr>
      <w:rPr>
        <w:rFonts w:hint="default"/>
      </w:rPr>
    </w:lvl>
  </w:abstractNum>
  <w:abstractNum w:abstractNumId="198" w15:restartNumberingAfterBreak="0">
    <w:nsid w:val="343E7BBA"/>
    <w:multiLevelType w:val="hybridMultilevel"/>
    <w:tmpl w:val="C7FEE37E"/>
    <w:lvl w:ilvl="0" w:tplc="A35C97C4">
      <w:start w:val="1"/>
      <w:numFmt w:val="decimal"/>
      <w:lvlText w:val="%1."/>
      <w:lvlJc w:val="left"/>
      <w:pPr>
        <w:ind w:left="1968" w:hanging="360"/>
      </w:pPr>
      <w:rPr>
        <w:rFonts w:hint="default"/>
        <w:w w:val="106"/>
      </w:rPr>
    </w:lvl>
    <w:lvl w:ilvl="1" w:tplc="6A70B2E2">
      <w:start w:val="1"/>
      <w:numFmt w:val="decimal"/>
      <w:lvlText w:val="%2."/>
      <w:lvlJc w:val="left"/>
      <w:pPr>
        <w:ind w:left="1881"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46F4F32"/>
    <w:multiLevelType w:val="hybridMultilevel"/>
    <w:tmpl w:val="D248B49C"/>
    <w:lvl w:ilvl="0" w:tplc="7B48FE1E">
      <w:start w:val="1"/>
      <w:numFmt w:val="lowerLetter"/>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4BD7A8E"/>
    <w:multiLevelType w:val="hybridMultilevel"/>
    <w:tmpl w:val="CE447CC6"/>
    <w:lvl w:ilvl="0" w:tplc="10A4E874">
      <w:start w:val="4"/>
      <w:numFmt w:val="decimal"/>
      <w:lvlText w:val="%1)"/>
      <w:lvlJc w:val="righ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5146FBA"/>
    <w:multiLevelType w:val="hybridMultilevel"/>
    <w:tmpl w:val="3558F152"/>
    <w:lvl w:ilvl="0" w:tplc="4D5E9358">
      <w:start w:val="6"/>
      <w:numFmt w:val="decimal"/>
      <w:lvlText w:val="II.3.5.3.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35D27DB6"/>
    <w:multiLevelType w:val="hybridMultilevel"/>
    <w:tmpl w:val="10DC1484"/>
    <w:lvl w:ilvl="0" w:tplc="37423AEE">
      <w:start w:val="1"/>
      <w:numFmt w:val="decimal"/>
      <w:lvlText w:val="%1."/>
      <w:lvlJc w:val="left"/>
      <w:pPr>
        <w:ind w:left="1329" w:hanging="321"/>
      </w:pPr>
      <w:rPr>
        <w:rFonts w:ascii="Times New Roman" w:eastAsia="Times New Roman" w:hAnsi="Times New Roman" w:cs="Times New Roman" w:hint="default"/>
        <w:color w:val="4F4F4F"/>
        <w:w w:val="100"/>
        <w:sz w:val="23"/>
        <w:szCs w:val="23"/>
      </w:rPr>
    </w:lvl>
    <w:lvl w:ilvl="1" w:tplc="53E28D62">
      <w:start w:val="1"/>
      <w:numFmt w:val="decimal"/>
      <w:lvlText w:val="%2)"/>
      <w:lvlJc w:val="left"/>
      <w:pPr>
        <w:ind w:left="1794" w:hanging="346"/>
      </w:pPr>
      <w:rPr>
        <w:rFonts w:ascii="Times New Roman" w:eastAsia="Times New Roman" w:hAnsi="Times New Roman" w:cs="Times New Roman" w:hint="default"/>
        <w:color w:val="4F4F4F"/>
        <w:w w:val="101"/>
        <w:sz w:val="24"/>
        <w:szCs w:val="24"/>
      </w:rPr>
    </w:lvl>
    <w:lvl w:ilvl="2" w:tplc="D4320464">
      <w:numFmt w:val="bullet"/>
      <w:lvlText w:val="•"/>
      <w:lvlJc w:val="left"/>
      <w:pPr>
        <w:ind w:left="2664" w:hanging="346"/>
      </w:pPr>
      <w:rPr>
        <w:rFonts w:hint="default"/>
      </w:rPr>
    </w:lvl>
    <w:lvl w:ilvl="3" w:tplc="F04671B4">
      <w:numFmt w:val="bullet"/>
      <w:lvlText w:val="•"/>
      <w:lvlJc w:val="left"/>
      <w:pPr>
        <w:ind w:left="3528" w:hanging="346"/>
      </w:pPr>
      <w:rPr>
        <w:rFonts w:hint="default"/>
      </w:rPr>
    </w:lvl>
    <w:lvl w:ilvl="4" w:tplc="83FA9E96">
      <w:numFmt w:val="bullet"/>
      <w:lvlText w:val="•"/>
      <w:lvlJc w:val="left"/>
      <w:pPr>
        <w:ind w:left="4393" w:hanging="346"/>
      </w:pPr>
      <w:rPr>
        <w:rFonts w:hint="default"/>
      </w:rPr>
    </w:lvl>
    <w:lvl w:ilvl="5" w:tplc="4D88CFE4">
      <w:numFmt w:val="bullet"/>
      <w:lvlText w:val="•"/>
      <w:lvlJc w:val="left"/>
      <w:pPr>
        <w:ind w:left="5257" w:hanging="346"/>
      </w:pPr>
      <w:rPr>
        <w:rFonts w:hint="default"/>
      </w:rPr>
    </w:lvl>
    <w:lvl w:ilvl="6" w:tplc="19402E34">
      <w:numFmt w:val="bullet"/>
      <w:lvlText w:val="•"/>
      <w:lvlJc w:val="left"/>
      <w:pPr>
        <w:ind w:left="6122" w:hanging="346"/>
      </w:pPr>
      <w:rPr>
        <w:rFonts w:hint="default"/>
      </w:rPr>
    </w:lvl>
    <w:lvl w:ilvl="7" w:tplc="CDBA04A6">
      <w:numFmt w:val="bullet"/>
      <w:lvlText w:val="•"/>
      <w:lvlJc w:val="left"/>
      <w:pPr>
        <w:ind w:left="6986" w:hanging="346"/>
      </w:pPr>
      <w:rPr>
        <w:rFonts w:hint="default"/>
      </w:rPr>
    </w:lvl>
    <w:lvl w:ilvl="8" w:tplc="B58E9F7E">
      <w:numFmt w:val="bullet"/>
      <w:lvlText w:val="•"/>
      <w:lvlJc w:val="left"/>
      <w:pPr>
        <w:ind w:left="7851" w:hanging="346"/>
      </w:pPr>
      <w:rPr>
        <w:rFonts w:hint="default"/>
      </w:rPr>
    </w:lvl>
  </w:abstractNum>
  <w:abstractNum w:abstractNumId="203" w15:restartNumberingAfterBreak="0">
    <w:nsid w:val="36AD370B"/>
    <w:multiLevelType w:val="hybridMultilevel"/>
    <w:tmpl w:val="C5608866"/>
    <w:lvl w:ilvl="0" w:tplc="6FA68AFC">
      <w:start w:val="24"/>
      <w:numFmt w:val="lowerLetter"/>
      <w:lvlText w:val="%1)"/>
      <w:lvlJc w:val="left"/>
      <w:pPr>
        <w:tabs>
          <w:tab w:val="num" w:pos="360"/>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82B15D8"/>
    <w:multiLevelType w:val="hybridMultilevel"/>
    <w:tmpl w:val="8514DB62"/>
    <w:lvl w:ilvl="0" w:tplc="CB4239B6">
      <w:start w:val="1"/>
      <w:numFmt w:val="lowerLetter"/>
      <w:lvlText w:val="%1)"/>
      <w:lvlJc w:val="left"/>
      <w:pPr>
        <w:ind w:left="1071" w:hanging="353"/>
      </w:pPr>
      <w:rPr>
        <w:rFonts w:hint="default"/>
        <w:spacing w:val="-1"/>
        <w:w w:val="101"/>
      </w:rPr>
    </w:lvl>
    <w:lvl w:ilvl="1" w:tplc="88746512">
      <w:start w:val="1"/>
      <w:numFmt w:val="lowerRoman"/>
      <w:lvlText w:val="%2."/>
      <w:lvlJc w:val="left"/>
      <w:pPr>
        <w:ind w:left="1880" w:hanging="462"/>
      </w:pPr>
      <w:rPr>
        <w:rFonts w:hint="default"/>
        <w:spacing w:val="-1"/>
        <w:w w:val="94"/>
      </w:rPr>
    </w:lvl>
    <w:lvl w:ilvl="2" w:tplc="E6CE10C0">
      <w:numFmt w:val="bullet"/>
      <w:lvlText w:val="•"/>
      <w:lvlJc w:val="left"/>
      <w:pPr>
        <w:ind w:left="2735" w:hanging="462"/>
      </w:pPr>
      <w:rPr>
        <w:rFonts w:hint="default"/>
      </w:rPr>
    </w:lvl>
    <w:lvl w:ilvl="3" w:tplc="E79AA058">
      <w:numFmt w:val="bullet"/>
      <w:lvlText w:val="•"/>
      <w:lvlJc w:val="left"/>
      <w:pPr>
        <w:ind w:left="3591" w:hanging="462"/>
      </w:pPr>
      <w:rPr>
        <w:rFonts w:hint="default"/>
      </w:rPr>
    </w:lvl>
    <w:lvl w:ilvl="4" w:tplc="D000266E">
      <w:numFmt w:val="bullet"/>
      <w:lvlText w:val="•"/>
      <w:lvlJc w:val="left"/>
      <w:pPr>
        <w:ind w:left="4446" w:hanging="462"/>
      </w:pPr>
      <w:rPr>
        <w:rFonts w:hint="default"/>
      </w:rPr>
    </w:lvl>
    <w:lvl w:ilvl="5" w:tplc="9B14D95A">
      <w:numFmt w:val="bullet"/>
      <w:lvlText w:val="•"/>
      <w:lvlJc w:val="left"/>
      <w:pPr>
        <w:ind w:left="5302" w:hanging="462"/>
      </w:pPr>
      <w:rPr>
        <w:rFonts w:hint="default"/>
      </w:rPr>
    </w:lvl>
    <w:lvl w:ilvl="6" w:tplc="D1621C00">
      <w:numFmt w:val="bullet"/>
      <w:lvlText w:val="•"/>
      <w:lvlJc w:val="left"/>
      <w:pPr>
        <w:ind w:left="6157" w:hanging="462"/>
      </w:pPr>
      <w:rPr>
        <w:rFonts w:hint="default"/>
      </w:rPr>
    </w:lvl>
    <w:lvl w:ilvl="7" w:tplc="7A382874">
      <w:numFmt w:val="bullet"/>
      <w:lvlText w:val="•"/>
      <w:lvlJc w:val="left"/>
      <w:pPr>
        <w:ind w:left="7013" w:hanging="462"/>
      </w:pPr>
      <w:rPr>
        <w:rFonts w:hint="default"/>
      </w:rPr>
    </w:lvl>
    <w:lvl w:ilvl="8" w:tplc="590A4198">
      <w:numFmt w:val="bullet"/>
      <w:lvlText w:val="•"/>
      <w:lvlJc w:val="left"/>
      <w:pPr>
        <w:ind w:left="7868" w:hanging="462"/>
      </w:pPr>
      <w:rPr>
        <w:rFonts w:hint="default"/>
      </w:rPr>
    </w:lvl>
  </w:abstractNum>
  <w:abstractNum w:abstractNumId="205" w15:restartNumberingAfterBreak="0">
    <w:nsid w:val="39006655"/>
    <w:multiLevelType w:val="hybridMultilevel"/>
    <w:tmpl w:val="E76A5820"/>
    <w:lvl w:ilvl="0" w:tplc="4DE2599A">
      <w:start w:val="1"/>
      <w:numFmt w:val="decimal"/>
      <w:lvlText w:val="I.4.%1."/>
      <w:lvlJc w:val="left"/>
      <w:pPr>
        <w:ind w:left="78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39541DE7"/>
    <w:multiLevelType w:val="hybridMultilevel"/>
    <w:tmpl w:val="BC5EE666"/>
    <w:lvl w:ilvl="0" w:tplc="FFFFFFFF">
      <w:start w:val="1"/>
      <w:numFmt w:val="lowerLetter"/>
      <w:lvlText w:val="%1)"/>
      <w:legacy w:legacy="1" w:legacySpace="0" w:legacyIndent="360"/>
      <w:lvlJc w:val="left"/>
      <w:pPr>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15:restartNumberingAfterBreak="0">
    <w:nsid w:val="39621E71"/>
    <w:multiLevelType w:val="hybridMultilevel"/>
    <w:tmpl w:val="E376AC74"/>
    <w:lvl w:ilvl="0" w:tplc="75EEC104">
      <w:start w:val="1"/>
      <w:numFmt w:val="decimal"/>
      <w:lvlText w:val="III.7.%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9B33BE1"/>
    <w:multiLevelType w:val="hybridMultilevel"/>
    <w:tmpl w:val="136097B4"/>
    <w:lvl w:ilvl="0" w:tplc="D4847718">
      <w:start w:val="1"/>
      <w:numFmt w:val="decimal"/>
      <w:lvlText w:val="II.3.5.3.2.%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A4B132F"/>
    <w:multiLevelType w:val="hybridMultilevel"/>
    <w:tmpl w:val="A2BC9EFE"/>
    <w:lvl w:ilvl="0" w:tplc="0366ADA2">
      <w:start w:val="1"/>
      <w:numFmt w:val="decimal"/>
      <w:lvlText w:val="II.3.2.%1."/>
      <w:lvlJc w:val="left"/>
      <w:pPr>
        <w:ind w:left="72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3A4E0106"/>
    <w:multiLevelType w:val="hybridMultilevel"/>
    <w:tmpl w:val="AB046C7E"/>
    <w:lvl w:ilvl="0" w:tplc="18CA823A">
      <w:start w:val="1"/>
      <w:numFmt w:val="decimal"/>
      <w:lvlText w:val="%1)"/>
      <w:lvlJc w:val="left"/>
      <w:pPr>
        <w:ind w:left="1854" w:hanging="360"/>
      </w:pPr>
      <w:rPr>
        <w:rFonts w:hint="default"/>
      </w:rPr>
    </w:lvl>
    <w:lvl w:ilvl="1" w:tplc="538C78C8">
      <w:start w:val="1"/>
      <w:numFmt w:val="decimal"/>
      <w:lvlText w:val="%2)"/>
      <w:lvlJc w:val="left"/>
      <w:pPr>
        <w:ind w:left="1440" w:hanging="360"/>
      </w:pPr>
      <w:rPr>
        <w:rFonts w:hint="default"/>
        <w:color w:val="000000" w:themeColor="text1"/>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B29412C"/>
    <w:multiLevelType w:val="hybridMultilevel"/>
    <w:tmpl w:val="BED44830"/>
    <w:lvl w:ilvl="0" w:tplc="086A0C38">
      <w:start w:val="1"/>
      <w:numFmt w:val="decimal"/>
      <w:lvlText w:val="%1)"/>
      <w:lvlJc w:val="left"/>
      <w:pPr>
        <w:ind w:left="1027" w:hanging="346"/>
      </w:pPr>
      <w:rPr>
        <w:rFonts w:hint="default"/>
        <w:w w:val="106"/>
      </w:rPr>
    </w:lvl>
    <w:lvl w:ilvl="1" w:tplc="DDC0C91A">
      <w:start w:val="1"/>
      <w:numFmt w:val="lowerLetter"/>
      <w:lvlText w:val="%2)"/>
      <w:lvlJc w:val="left"/>
      <w:pPr>
        <w:ind w:left="1307" w:hanging="355"/>
      </w:pPr>
      <w:rPr>
        <w:rFonts w:ascii="Times New Roman" w:eastAsia="Times New Roman" w:hAnsi="Times New Roman" w:cs="Times New Roman" w:hint="default"/>
        <w:color w:val="000000" w:themeColor="text1"/>
        <w:spacing w:val="-1"/>
        <w:w w:val="109"/>
        <w:sz w:val="24"/>
        <w:szCs w:val="24"/>
      </w:rPr>
    </w:lvl>
    <w:lvl w:ilvl="2" w:tplc="5C22E112">
      <w:numFmt w:val="bullet"/>
      <w:lvlText w:val="-"/>
      <w:lvlJc w:val="left"/>
      <w:pPr>
        <w:ind w:left="1667" w:hanging="334"/>
      </w:pPr>
      <w:rPr>
        <w:rFonts w:ascii="Times New Roman" w:eastAsia="Times New Roman" w:hAnsi="Times New Roman" w:cs="Times New Roman" w:hint="default"/>
        <w:color w:val="464646"/>
        <w:w w:val="106"/>
        <w:sz w:val="22"/>
        <w:szCs w:val="22"/>
      </w:rPr>
    </w:lvl>
    <w:lvl w:ilvl="3" w:tplc="27707470">
      <w:numFmt w:val="bullet"/>
      <w:lvlText w:val="•"/>
      <w:lvlJc w:val="left"/>
      <w:pPr>
        <w:ind w:left="1340" w:hanging="334"/>
      </w:pPr>
      <w:rPr>
        <w:rFonts w:hint="default"/>
      </w:rPr>
    </w:lvl>
    <w:lvl w:ilvl="4" w:tplc="8280F106">
      <w:numFmt w:val="bullet"/>
      <w:lvlText w:val="•"/>
      <w:lvlJc w:val="left"/>
      <w:pPr>
        <w:ind w:left="1660" w:hanging="334"/>
      </w:pPr>
      <w:rPr>
        <w:rFonts w:hint="default"/>
      </w:rPr>
    </w:lvl>
    <w:lvl w:ilvl="5" w:tplc="2CDA0F5A">
      <w:numFmt w:val="bullet"/>
      <w:lvlText w:val="•"/>
      <w:lvlJc w:val="left"/>
      <w:pPr>
        <w:ind w:left="2993" w:hanging="334"/>
      </w:pPr>
      <w:rPr>
        <w:rFonts w:hint="default"/>
      </w:rPr>
    </w:lvl>
    <w:lvl w:ilvl="6" w:tplc="68E6A79E">
      <w:numFmt w:val="bullet"/>
      <w:lvlText w:val="•"/>
      <w:lvlJc w:val="left"/>
      <w:pPr>
        <w:ind w:left="4326" w:hanging="334"/>
      </w:pPr>
      <w:rPr>
        <w:rFonts w:hint="default"/>
      </w:rPr>
    </w:lvl>
    <w:lvl w:ilvl="7" w:tplc="04A6D46E">
      <w:numFmt w:val="bullet"/>
      <w:lvlText w:val="•"/>
      <w:lvlJc w:val="left"/>
      <w:pPr>
        <w:ind w:left="5660" w:hanging="334"/>
      </w:pPr>
      <w:rPr>
        <w:rFonts w:hint="default"/>
      </w:rPr>
    </w:lvl>
    <w:lvl w:ilvl="8" w:tplc="0A1ADD82">
      <w:numFmt w:val="bullet"/>
      <w:lvlText w:val="•"/>
      <w:lvlJc w:val="left"/>
      <w:pPr>
        <w:ind w:left="6993" w:hanging="334"/>
      </w:pPr>
      <w:rPr>
        <w:rFonts w:hint="default"/>
      </w:rPr>
    </w:lvl>
  </w:abstractNum>
  <w:abstractNum w:abstractNumId="212" w15:restartNumberingAfterBreak="0">
    <w:nsid w:val="3B2E01A4"/>
    <w:multiLevelType w:val="hybridMultilevel"/>
    <w:tmpl w:val="286060EE"/>
    <w:lvl w:ilvl="0" w:tplc="91BC5A6C">
      <w:start w:val="1"/>
      <w:numFmt w:val="lowerLetter"/>
      <w:lvlText w:val="%1)"/>
      <w:lvlJc w:val="left"/>
      <w:pPr>
        <w:ind w:left="720" w:hanging="360"/>
      </w:pPr>
      <w:rPr>
        <w:rFonts w:hint="default"/>
      </w:rPr>
    </w:lvl>
    <w:lvl w:ilvl="1" w:tplc="D4A2E82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BB85206"/>
    <w:multiLevelType w:val="hybridMultilevel"/>
    <w:tmpl w:val="F340631A"/>
    <w:lvl w:ilvl="0" w:tplc="06D46AD8">
      <w:start w:val="1"/>
      <w:numFmt w:val="decimal"/>
      <w:lvlText w:val="III.5.%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C2C1AFB"/>
    <w:multiLevelType w:val="hybridMultilevel"/>
    <w:tmpl w:val="A70E328A"/>
    <w:lvl w:ilvl="0" w:tplc="2AEE5FD8">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C456922"/>
    <w:multiLevelType w:val="hybridMultilevel"/>
    <w:tmpl w:val="AD6A2B04"/>
    <w:lvl w:ilvl="0" w:tplc="699C04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D702868"/>
    <w:multiLevelType w:val="hybridMultilevel"/>
    <w:tmpl w:val="A2B0EC34"/>
    <w:lvl w:ilvl="0" w:tplc="90FCBDD2">
      <w:start w:val="1"/>
      <w:numFmt w:val="decimal"/>
      <w:lvlText w:val="A.10.2.%1."/>
      <w:lvlJc w:val="left"/>
      <w:pPr>
        <w:ind w:left="720" w:hanging="360"/>
      </w:pPr>
      <w:rPr>
        <w:rFonts w:hint="default"/>
        <w:b w:val="0"/>
        <w:bCs/>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F14118D"/>
    <w:multiLevelType w:val="hybridMultilevel"/>
    <w:tmpl w:val="0DACBF54"/>
    <w:lvl w:ilvl="0" w:tplc="45A89E6E">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F6F4C3B"/>
    <w:multiLevelType w:val="hybridMultilevel"/>
    <w:tmpl w:val="FA02E652"/>
    <w:lvl w:ilvl="0" w:tplc="2DA6C2AA">
      <w:start w:val="6"/>
      <w:numFmt w:val="decimal"/>
      <w:lvlText w:val="I.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FE8748A"/>
    <w:multiLevelType w:val="hybridMultilevel"/>
    <w:tmpl w:val="54D4B9D0"/>
    <w:lvl w:ilvl="0" w:tplc="EC58A60A">
      <w:start w:val="2"/>
      <w:numFmt w:val="decimal"/>
      <w:lvlText w:val="%1)"/>
      <w:lvlJc w:val="left"/>
      <w:pPr>
        <w:ind w:left="360" w:hanging="360"/>
      </w:pPr>
      <w:rPr>
        <w:rFonts w:hint="default"/>
        <w:spacing w:val="-26"/>
        <w:w w:val="99"/>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01F34B8"/>
    <w:multiLevelType w:val="hybridMultilevel"/>
    <w:tmpl w:val="05447670"/>
    <w:lvl w:ilvl="0" w:tplc="9F7E365A">
      <w:start w:val="11"/>
      <w:numFmt w:val="decimal"/>
      <w:lvlText w:val="II.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4071741D"/>
    <w:multiLevelType w:val="hybridMultilevel"/>
    <w:tmpl w:val="E146D19C"/>
    <w:lvl w:ilvl="0" w:tplc="E7A07360">
      <w:start w:val="1"/>
      <w:numFmt w:val="lowerLetter"/>
      <w:lvlText w:val="%1)"/>
      <w:lvlJc w:val="left"/>
      <w:pPr>
        <w:ind w:left="1021" w:hanging="350"/>
      </w:pPr>
      <w:rPr>
        <w:rFonts w:ascii="Times New Roman" w:eastAsia="Times New Roman" w:hAnsi="Times New Roman" w:cs="Times New Roman" w:hint="default"/>
        <w:color w:val="4F4F4F"/>
        <w:spacing w:val="-1"/>
        <w:w w:val="101"/>
        <w:sz w:val="24"/>
        <w:szCs w:val="24"/>
      </w:rPr>
    </w:lvl>
    <w:lvl w:ilvl="1" w:tplc="6DE4292E">
      <w:numFmt w:val="bullet"/>
      <w:lvlText w:val="•"/>
      <w:lvlJc w:val="left"/>
      <w:pPr>
        <w:ind w:left="1876" w:hanging="350"/>
      </w:pPr>
      <w:rPr>
        <w:rFonts w:hint="default"/>
      </w:rPr>
    </w:lvl>
    <w:lvl w:ilvl="2" w:tplc="399C5E6A">
      <w:numFmt w:val="bullet"/>
      <w:lvlText w:val="•"/>
      <w:lvlJc w:val="left"/>
      <w:pPr>
        <w:ind w:left="2732" w:hanging="350"/>
      </w:pPr>
      <w:rPr>
        <w:rFonts w:hint="default"/>
      </w:rPr>
    </w:lvl>
    <w:lvl w:ilvl="3" w:tplc="70DE64DA">
      <w:numFmt w:val="bullet"/>
      <w:lvlText w:val="•"/>
      <w:lvlJc w:val="left"/>
      <w:pPr>
        <w:ind w:left="3588" w:hanging="350"/>
      </w:pPr>
      <w:rPr>
        <w:rFonts w:hint="default"/>
      </w:rPr>
    </w:lvl>
    <w:lvl w:ilvl="4" w:tplc="89E8F78E">
      <w:numFmt w:val="bullet"/>
      <w:lvlText w:val="•"/>
      <w:lvlJc w:val="left"/>
      <w:pPr>
        <w:ind w:left="4444" w:hanging="350"/>
      </w:pPr>
      <w:rPr>
        <w:rFonts w:hint="default"/>
      </w:rPr>
    </w:lvl>
    <w:lvl w:ilvl="5" w:tplc="BAB64A2C">
      <w:numFmt w:val="bullet"/>
      <w:lvlText w:val="•"/>
      <w:lvlJc w:val="left"/>
      <w:pPr>
        <w:ind w:left="5300" w:hanging="350"/>
      </w:pPr>
      <w:rPr>
        <w:rFonts w:hint="default"/>
      </w:rPr>
    </w:lvl>
    <w:lvl w:ilvl="6" w:tplc="084828C2">
      <w:numFmt w:val="bullet"/>
      <w:lvlText w:val="•"/>
      <w:lvlJc w:val="left"/>
      <w:pPr>
        <w:ind w:left="6156" w:hanging="350"/>
      </w:pPr>
      <w:rPr>
        <w:rFonts w:hint="default"/>
      </w:rPr>
    </w:lvl>
    <w:lvl w:ilvl="7" w:tplc="F8E869B4">
      <w:numFmt w:val="bullet"/>
      <w:lvlText w:val="•"/>
      <w:lvlJc w:val="left"/>
      <w:pPr>
        <w:ind w:left="7012" w:hanging="350"/>
      </w:pPr>
      <w:rPr>
        <w:rFonts w:hint="default"/>
      </w:rPr>
    </w:lvl>
    <w:lvl w:ilvl="8" w:tplc="9C4489A0">
      <w:numFmt w:val="bullet"/>
      <w:lvlText w:val="•"/>
      <w:lvlJc w:val="left"/>
      <w:pPr>
        <w:ind w:left="7868" w:hanging="350"/>
      </w:pPr>
      <w:rPr>
        <w:rFonts w:hint="default"/>
      </w:rPr>
    </w:lvl>
  </w:abstractNum>
  <w:abstractNum w:abstractNumId="222" w15:restartNumberingAfterBreak="0">
    <w:nsid w:val="40C6276A"/>
    <w:multiLevelType w:val="hybridMultilevel"/>
    <w:tmpl w:val="D3C858D6"/>
    <w:lvl w:ilvl="0" w:tplc="04150011">
      <w:start w:val="1"/>
      <w:numFmt w:val="decimal"/>
      <w:lvlText w:val="%1)"/>
      <w:lvlJc w:val="left"/>
      <w:pPr>
        <w:ind w:left="308" w:hanging="360"/>
      </w:pPr>
    </w:lvl>
    <w:lvl w:ilvl="1" w:tplc="04150019" w:tentative="1">
      <w:start w:val="1"/>
      <w:numFmt w:val="lowerLetter"/>
      <w:lvlText w:val="%2."/>
      <w:lvlJc w:val="left"/>
      <w:pPr>
        <w:ind w:left="1028" w:hanging="360"/>
      </w:pPr>
    </w:lvl>
    <w:lvl w:ilvl="2" w:tplc="0415001B" w:tentative="1">
      <w:start w:val="1"/>
      <w:numFmt w:val="lowerRoman"/>
      <w:lvlText w:val="%3."/>
      <w:lvlJc w:val="right"/>
      <w:pPr>
        <w:ind w:left="1748" w:hanging="180"/>
      </w:pPr>
    </w:lvl>
    <w:lvl w:ilvl="3" w:tplc="0415000F" w:tentative="1">
      <w:start w:val="1"/>
      <w:numFmt w:val="decimal"/>
      <w:lvlText w:val="%4."/>
      <w:lvlJc w:val="left"/>
      <w:pPr>
        <w:ind w:left="2468" w:hanging="360"/>
      </w:pPr>
    </w:lvl>
    <w:lvl w:ilvl="4" w:tplc="04150019" w:tentative="1">
      <w:start w:val="1"/>
      <w:numFmt w:val="lowerLetter"/>
      <w:lvlText w:val="%5."/>
      <w:lvlJc w:val="left"/>
      <w:pPr>
        <w:ind w:left="3188" w:hanging="360"/>
      </w:pPr>
    </w:lvl>
    <w:lvl w:ilvl="5" w:tplc="0415001B" w:tentative="1">
      <w:start w:val="1"/>
      <w:numFmt w:val="lowerRoman"/>
      <w:lvlText w:val="%6."/>
      <w:lvlJc w:val="right"/>
      <w:pPr>
        <w:ind w:left="3908" w:hanging="180"/>
      </w:pPr>
    </w:lvl>
    <w:lvl w:ilvl="6" w:tplc="0415000F" w:tentative="1">
      <w:start w:val="1"/>
      <w:numFmt w:val="decimal"/>
      <w:lvlText w:val="%7."/>
      <w:lvlJc w:val="left"/>
      <w:pPr>
        <w:ind w:left="4628" w:hanging="360"/>
      </w:pPr>
    </w:lvl>
    <w:lvl w:ilvl="7" w:tplc="04150019" w:tentative="1">
      <w:start w:val="1"/>
      <w:numFmt w:val="lowerLetter"/>
      <w:lvlText w:val="%8."/>
      <w:lvlJc w:val="left"/>
      <w:pPr>
        <w:ind w:left="5348" w:hanging="360"/>
      </w:pPr>
    </w:lvl>
    <w:lvl w:ilvl="8" w:tplc="0415001B" w:tentative="1">
      <w:start w:val="1"/>
      <w:numFmt w:val="lowerRoman"/>
      <w:lvlText w:val="%9."/>
      <w:lvlJc w:val="right"/>
      <w:pPr>
        <w:ind w:left="6068" w:hanging="180"/>
      </w:pPr>
    </w:lvl>
  </w:abstractNum>
  <w:abstractNum w:abstractNumId="223" w15:restartNumberingAfterBreak="0">
    <w:nsid w:val="418724A2"/>
    <w:multiLevelType w:val="multilevel"/>
    <w:tmpl w:val="3572C80A"/>
    <w:lvl w:ilvl="0">
      <w:start w:val="6"/>
      <w:numFmt w:val="upperRoman"/>
      <w:lvlText w:val="%1"/>
      <w:lvlJc w:val="left"/>
      <w:pPr>
        <w:ind w:left="2610" w:hanging="1085"/>
      </w:pPr>
      <w:rPr>
        <w:rFonts w:hint="default"/>
      </w:rPr>
    </w:lvl>
    <w:lvl w:ilvl="1">
      <w:start w:val="3"/>
      <w:numFmt w:val="decimal"/>
      <w:lvlText w:val="%1.%2"/>
      <w:lvlJc w:val="left"/>
      <w:pPr>
        <w:ind w:left="2610" w:hanging="1085"/>
      </w:pPr>
      <w:rPr>
        <w:rFonts w:hint="default"/>
      </w:rPr>
    </w:lvl>
    <w:lvl w:ilvl="2">
      <w:start w:val="10"/>
      <w:numFmt w:val="decimal"/>
      <w:lvlText w:val="IV.3.5.%3."/>
      <w:lvlJc w:val="left"/>
      <w:pPr>
        <w:ind w:left="1885" w:hanging="360"/>
      </w:pPr>
      <w:rPr>
        <w:rFonts w:hint="default"/>
      </w:rPr>
    </w:lvl>
    <w:lvl w:ilvl="3">
      <w:start w:val="2"/>
      <w:numFmt w:val="decimal"/>
      <w:lvlText w:val="%1.%2.%3.%4."/>
      <w:lvlJc w:val="left"/>
      <w:pPr>
        <w:ind w:left="2610" w:hanging="1085"/>
      </w:pPr>
      <w:rPr>
        <w:rFonts w:ascii="Times New Roman" w:eastAsia="Times New Roman" w:hAnsi="Times New Roman" w:cs="Times New Roman" w:hint="default"/>
        <w:color w:val="494949"/>
        <w:w w:val="104"/>
        <w:sz w:val="22"/>
        <w:szCs w:val="22"/>
      </w:rPr>
    </w:lvl>
    <w:lvl w:ilvl="4">
      <w:start w:val="1"/>
      <w:numFmt w:val="upperRoman"/>
      <w:lvlText w:val="%5)"/>
      <w:lvlJc w:val="left"/>
      <w:pPr>
        <w:ind w:left="2892" w:hanging="245"/>
      </w:pPr>
      <w:rPr>
        <w:rFonts w:ascii="Times New Roman" w:eastAsia="Times New Roman" w:hAnsi="Times New Roman" w:cs="Times New Roman" w:hint="default"/>
        <w:color w:val="494949"/>
        <w:w w:val="104"/>
        <w:sz w:val="20"/>
        <w:szCs w:val="20"/>
      </w:rPr>
    </w:lvl>
    <w:lvl w:ilvl="5">
      <w:numFmt w:val="bullet"/>
      <w:lvlText w:val="•"/>
      <w:lvlJc w:val="left"/>
      <w:pPr>
        <w:ind w:left="6748" w:hanging="245"/>
      </w:pPr>
      <w:rPr>
        <w:rFonts w:hint="default"/>
      </w:rPr>
    </w:lvl>
    <w:lvl w:ilvl="6">
      <w:numFmt w:val="bullet"/>
      <w:lvlText w:val="•"/>
      <w:lvlJc w:val="left"/>
      <w:pPr>
        <w:ind w:left="7711" w:hanging="245"/>
      </w:pPr>
      <w:rPr>
        <w:rFonts w:hint="default"/>
      </w:rPr>
    </w:lvl>
    <w:lvl w:ilvl="7">
      <w:numFmt w:val="bullet"/>
      <w:lvlText w:val="•"/>
      <w:lvlJc w:val="left"/>
      <w:pPr>
        <w:ind w:left="8673" w:hanging="245"/>
      </w:pPr>
      <w:rPr>
        <w:rFonts w:hint="default"/>
      </w:rPr>
    </w:lvl>
    <w:lvl w:ilvl="8">
      <w:numFmt w:val="bullet"/>
      <w:lvlText w:val="•"/>
      <w:lvlJc w:val="left"/>
      <w:pPr>
        <w:ind w:left="9635" w:hanging="245"/>
      </w:pPr>
      <w:rPr>
        <w:rFonts w:hint="default"/>
      </w:rPr>
    </w:lvl>
  </w:abstractNum>
  <w:abstractNum w:abstractNumId="224" w15:restartNumberingAfterBreak="0">
    <w:nsid w:val="41912BAE"/>
    <w:multiLevelType w:val="hybridMultilevel"/>
    <w:tmpl w:val="EC8A1184"/>
    <w:lvl w:ilvl="0" w:tplc="3B7A3ED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419C4FCB"/>
    <w:multiLevelType w:val="hybridMultilevel"/>
    <w:tmpl w:val="8E7CC2FE"/>
    <w:lvl w:ilvl="0" w:tplc="FFF89488">
      <w:start w:val="1"/>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41EF4076"/>
    <w:multiLevelType w:val="hybridMultilevel"/>
    <w:tmpl w:val="C13CB7E8"/>
    <w:lvl w:ilvl="0" w:tplc="CAE4237C">
      <w:start w:val="2"/>
      <w:numFmt w:val="decimal"/>
      <w:lvlText w:val="%1."/>
      <w:lvlJc w:val="left"/>
      <w:pPr>
        <w:ind w:left="1330" w:hanging="348"/>
      </w:pPr>
      <w:rPr>
        <w:rFonts w:ascii="Times New Roman" w:eastAsia="Times New Roman" w:hAnsi="Times New Roman" w:cs="Times New Roman" w:hint="default"/>
        <w:color w:val="4F4F4F"/>
        <w:w w:val="101"/>
        <w:sz w:val="23"/>
        <w:szCs w:val="23"/>
      </w:rPr>
    </w:lvl>
    <w:lvl w:ilvl="1" w:tplc="B366007A">
      <w:start w:val="2"/>
      <w:numFmt w:val="decimal"/>
      <w:lvlText w:val="%2."/>
      <w:lvlJc w:val="left"/>
      <w:pPr>
        <w:ind w:left="1614" w:hanging="345"/>
      </w:pPr>
      <w:rPr>
        <w:rFonts w:ascii="Times New Roman" w:eastAsia="Times New Roman" w:hAnsi="Times New Roman" w:cs="Times New Roman" w:hint="default"/>
        <w:color w:val="4F4F4F"/>
        <w:w w:val="101"/>
        <w:sz w:val="24"/>
        <w:szCs w:val="24"/>
      </w:rPr>
    </w:lvl>
    <w:lvl w:ilvl="2" w:tplc="F606C5EA">
      <w:numFmt w:val="bullet"/>
      <w:lvlText w:val="•"/>
      <w:lvlJc w:val="left"/>
      <w:pPr>
        <w:ind w:left="2504" w:hanging="345"/>
      </w:pPr>
      <w:rPr>
        <w:rFonts w:hint="default"/>
      </w:rPr>
    </w:lvl>
    <w:lvl w:ilvl="3" w:tplc="5820297E">
      <w:numFmt w:val="bullet"/>
      <w:lvlText w:val="•"/>
      <w:lvlJc w:val="left"/>
      <w:pPr>
        <w:ind w:left="3388" w:hanging="345"/>
      </w:pPr>
      <w:rPr>
        <w:rFonts w:hint="default"/>
      </w:rPr>
    </w:lvl>
    <w:lvl w:ilvl="4" w:tplc="537C5632">
      <w:numFmt w:val="bullet"/>
      <w:lvlText w:val="•"/>
      <w:lvlJc w:val="left"/>
      <w:pPr>
        <w:ind w:left="4273" w:hanging="345"/>
      </w:pPr>
      <w:rPr>
        <w:rFonts w:hint="default"/>
      </w:rPr>
    </w:lvl>
    <w:lvl w:ilvl="5" w:tplc="16F2B6AA">
      <w:numFmt w:val="bullet"/>
      <w:lvlText w:val="•"/>
      <w:lvlJc w:val="left"/>
      <w:pPr>
        <w:ind w:left="5157" w:hanging="345"/>
      </w:pPr>
      <w:rPr>
        <w:rFonts w:hint="default"/>
      </w:rPr>
    </w:lvl>
    <w:lvl w:ilvl="6" w:tplc="1354C08E">
      <w:numFmt w:val="bullet"/>
      <w:lvlText w:val="•"/>
      <w:lvlJc w:val="left"/>
      <w:pPr>
        <w:ind w:left="6042" w:hanging="345"/>
      </w:pPr>
      <w:rPr>
        <w:rFonts w:hint="default"/>
      </w:rPr>
    </w:lvl>
    <w:lvl w:ilvl="7" w:tplc="78DE4540">
      <w:numFmt w:val="bullet"/>
      <w:lvlText w:val="•"/>
      <w:lvlJc w:val="left"/>
      <w:pPr>
        <w:ind w:left="6926" w:hanging="345"/>
      </w:pPr>
      <w:rPr>
        <w:rFonts w:hint="default"/>
      </w:rPr>
    </w:lvl>
    <w:lvl w:ilvl="8" w:tplc="1CAA1594">
      <w:numFmt w:val="bullet"/>
      <w:lvlText w:val="•"/>
      <w:lvlJc w:val="left"/>
      <w:pPr>
        <w:ind w:left="7811" w:hanging="345"/>
      </w:pPr>
      <w:rPr>
        <w:rFonts w:hint="default"/>
      </w:rPr>
    </w:lvl>
  </w:abstractNum>
  <w:abstractNum w:abstractNumId="227" w15:restartNumberingAfterBreak="0">
    <w:nsid w:val="437A53AF"/>
    <w:multiLevelType w:val="multilevel"/>
    <w:tmpl w:val="85AEF7EC"/>
    <w:lvl w:ilvl="0">
      <w:start w:val="11"/>
      <w:numFmt w:val="decimal"/>
      <w:lvlText w:val="%1"/>
      <w:lvlJc w:val="left"/>
      <w:pPr>
        <w:ind w:left="647" w:hanging="980"/>
      </w:pPr>
      <w:rPr>
        <w:rFonts w:hint="default"/>
      </w:rPr>
    </w:lvl>
    <w:lvl w:ilvl="1">
      <w:start w:val="3"/>
      <w:numFmt w:val="decimal"/>
      <w:lvlText w:val="%1.%2"/>
      <w:lvlJc w:val="left"/>
      <w:pPr>
        <w:ind w:left="647" w:hanging="980"/>
      </w:pPr>
      <w:rPr>
        <w:rFonts w:hint="default"/>
      </w:rPr>
    </w:lvl>
    <w:lvl w:ilvl="2">
      <w:start w:val="2"/>
      <w:numFmt w:val="decimal"/>
      <w:lvlText w:val="%1.%2.%3"/>
      <w:lvlJc w:val="left"/>
      <w:pPr>
        <w:ind w:left="647" w:hanging="980"/>
      </w:pPr>
      <w:rPr>
        <w:rFonts w:hint="default"/>
      </w:rPr>
    </w:lvl>
    <w:lvl w:ilvl="3">
      <w:start w:val="20"/>
      <w:numFmt w:val="decimal"/>
      <w:lvlText w:val="%1.%2.%3.%4."/>
      <w:lvlJc w:val="left"/>
      <w:pPr>
        <w:ind w:left="647" w:hanging="980"/>
      </w:pPr>
      <w:rPr>
        <w:rFonts w:ascii="Times New Roman" w:eastAsia="Times New Roman" w:hAnsi="Times New Roman" w:cs="Times New Roman" w:hint="default"/>
        <w:color w:val="4F4D4F"/>
        <w:w w:val="96"/>
        <w:sz w:val="24"/>
        <w:szCs w:val="24"/>
      </w:rPr>
    </w:lvl>
    <w:lvl w:ilvl="4">
      <w:start w:val="1"/>
      <w:numFmt w:val="lowerLetter"/>
      <w:lvlText w:val="%5)"/>
      <w:lvlJc w:val="left"/>
      <w:pPr>
        <w:ind w:left="1055" w:hanging="346"/>
      </w:pPr>
      <w:rPr>
        <w:rFonts w:ascii="Times New Roman" w:eastAsia="Times New Roman" w:hAnsi="Times New Roman" w:cs="Times New Roman" w:hint="default"/>
        <w:color w:val="4F4D4F"/>
        <w:spacing w:val="-1"/>
        <w:w w:val="106"/>
        <w:sz w:val="24"/>
        <w:szCs w:val="24"/>
      </w:rPr>
    </w:lvl>
    <w:lvl w:ilvl="5">
      <w:numFmt w:val="bullet"/>
      <w:lvlText w:val="•"/>
      <w:lvlJc w:val="left"/>
      <w:pPr>
        <w:ind w:left="4846" w:hanging="346"/>
      </w:pPr>
      <w:rPr>
        <w:rFonts w:hint="default"/>
      </w:rPr>
    </w:lvl>
    <w:lvl w:ilvl="6">
      <w:numFmt w:val="bullet"/>
      <w:lvlText w:val="•"/>
      <w:lvlJc w:val="left"/>
      <w:pPr>
        <w:ind w:left="5793" w:hanging="346"/>
      </w:pPr>
      <w:rPr>
        <w:rFonts w:hint="default"/>
      </w:rPr>
    </w:lvl>
    <w:lvl w:ilvl="7">
      <w:numFmt w:val="bullet"/>
      <w:lvlText w:val="•"/>
      <w:lvlJc w:val="left"/>
      <w:pPr>
        <w:ind w:left="6740" w:hanging="346"/>
      </w:pPr>
      <w:rPr>
        <w:rFonts w:hint="default"/>
      </w:rPr>
    </w:lvl>
    <w:lvl w:ilvl="8">
      <w:numFmt w:val="bullet"/>
      <w:lvlText w:val="•"/>
      <w:lvlJc w:val="left"/>
      <w:pPr>
        <w:ind w:left="7686" w:hanging="346"/>
      </w:pPr>
      <w:rPr>
        <w:rFonts w:hint="default"/>
      </w:rPr>
    </w:lvl>
  </w:abstractNum>
  <w:abstractNum w:abstractNumId="228" w15:restartNumberingAfterBreak="0">
    <w:nsid w:val="4385777B"/>
    <w:multiLevelType w:val="hybridMultilevel"/>
    <w:tmpl w:val="D3AAC85A"/>
    <w:lvl w:ilvl="0" w:tplc="4796B10C">
      <w:start w:val="4"/>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43AA06F1"/>
    <w:multiLevelType w:val="hybridMultilevel"/>
    <w:tmpl w:val="F4A02402"/>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0" w15:restartNumberingAfterBreak="0">
    <w:nsid w:val="43CD5C16"/>
    <w:multiLevelType w:val="hybridMultilevel"/>
    <w:tmpl w:val="26E8E7F0"/>
    <w:lvl w:ilvl="0" w:tplc="42AC4B70">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44CD228C"/>
    <w:multiLevelType w:val="hybridMultilevel"/>
    <w:tmpl w:val="001817CA"/>
    <w:lvl w:ilvl="0" w:tplc="0F72E1AE">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45371A92"/>
    <w:multiLevelType w:val="hybridMultilevel"/>
    <w:tmpl w:val="F4D8B92A"/>
    <w:lvl w:ilvl="0" w:tplc="7032C94A">
      <w:start w:val="1"/>
      <w:numFmt w:val="lowerLetter"/>
      <w:lvlText w:val="%1)"/>
      <w:lvlJc w:val="left"/>
      <w:pPr>
        <w:ind w:left="1420" w:hanging="340"/>
      </w:pPr>
      <w:rPr>
        <w:rFonts w:hint="default"/>
        <w:spacing w:val="-1"/>
        <w:w w:val="106"/>
      </w:rPr>
    </w:lvl>
    <w:lvl w:ilvl="1" w:tplc="04150019" w:tentative="1">
      <w:start w:val="1"/>
      <w:numFmt w:val="lowerLetter"/>
      <w:lvlText w:val="%2."/>
      <w:lvlJc w:val="left"/>
      <w:pPr>
        <w:ind w:left="1892" w:hanging="360"/>
      </w:pPr>
    </w:lvl>
    <w:lvl w:ilvl="2" w:tplc="0415001B" w:tentative="1">
      <w:start w:val="1"/>
      <w:numFmt w:val="lowerRoman"/>
      <w:lvlText w:val="%3."/>
      <w:lvlJc w:val="right"/>
      <w:pPr>
        <w:ind w:left="2612" w:hanging="180"/>
      </w:pPr>
    </w:lvl>
    <w:lvl w:ilvl="3" w:tplc="0415000F" w:tentative="1">
      <w:start w:val="1"/>
      <w:numFmt w:val="decimal"/>
      <w:lvlText w:val="%4."/>
      <w:lvlJc w:val="left"/>
      <w:pPr>
        <w:ind w:left="3332" w:hanging="360"/>
      </w:pPr>
    </w:lvl>
    <w:lvl w:ilvl="4" w:tplc="04150019" w:tentative="1">
      <w:start w:val="1"/>
      <w:numFmt w:val="lowerLetter"/>
      <w:lvlText w:val="%5."/>
      <w:lvlJc w:val="left"/>
      <w:pPr>
        <w:ind w:left="4052" w:hanging="360"/>
      </w:pPr>
    </w:lvl>
    <w:lvl w:ilvl="5" w:tplc="0415001B" w:tentative="1">
      <w:start w:val="1"/>
      <w:numFmt w:val="lowerRoman"/>
      <w:lvlText w:val="%6."/>
      <w:lvlJc w:val="right"/>
      <w:pPr>
        <w:ind w:left="4772" w:hanging="180"/>
      </w:pPr>
    </w:lvl>
    <w:lvl w:ilvl="6" w:tplc="0415000F" w:tentative="1">
      <w:start w:val="1"/>
      <w:numFmt w:val="decimal"/>
      <w:lvlText w:val="%7."/>
      <w:lvlJc w:val="left"/>
      <w:pPr>
        <w:ind w:left="5492" w:hanging="360"/>
      </w:pPr>
    </w:lvl>
    <w:lvl w:ilvl="7" w:tplc="04150019" w:tentative="1">
      <w:start w:val="1"/>
      <w:numFmt w:val="lowerLetter"/>
      <w:lvlText w:val="%8."/>
      <w:lvlJc w:val="left"/>
      <w:pPr>
        <w:ind w:left="6212" w:hanging="360"/>
      </w:pPr>
    </w:lvl>
    <w:lvl w:ilvl="8" w:tplc="0415001B" w:tentative="1">
      <w:start w:val="1"/>
      <w:numFmt w:val="lowerRoman"/>
      <w:lvlText w:val="%9."/>
      <w:lvlJc w:val="right"/>
      <w:pPr>
        <w:ind w:left="6932" w:hanging="180"/>
      </w:pPr>
    </w:lvl>
  </w:abstractNum>
  <w:abstractNum w:abstractNumId="233" w15:restartNumberingAfterBreak="0">
    <w:nsid w:val="45F0406E"/>
    <w:multiLevelType w:val="hybridMultilevel"/>
    <w:tmpl w:val="B622B0B4"/>
    <w:lvl w:ilvl="0" w:tplc="A4583C9C">
      <w:start w:val="1"/>
      <w:numFmt w:val="decimal"/>
      <w:lvlText w:val="VI.1.%1."/>
      <w:lvlJc w:val="left"/>
      <w:pPr>
        <w:ind w:left="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461D0400"/>
    <w:multiLevelType w:val="hybridMultilevel"/>
    <w:tmpl w:val="A2E0006A"/>
    <w:lvl w:ilvl="0" w:tplc="860ABF26">
      <w:start w:val="1"/>
      <w:numFmt w:val="decimal"/>
      <w:lvlText w:val="%1)"/>
      <w:lvlJc w:val="left"/>
      <w:pPr>
        <w:tabs>
          <w:tab w:val="num" w:pos="3840"/>
        </w:tabs>
        <w:ind w:left="2214" w:firstLine="0"/>
      </w:pPr>
      <w:rPr>
        <w:rFonts w:hint="default"/>
      </w:rPr>
    </w:lvl>
    <w:lvl w:ilvl="1" w:tplc="860ABF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47FA0D6A"/>
    <w:multiLevelType w:val="hybridMultilevel"/>
    <w:tmpl w:val="867EFAA8"/>
    <w:lvl w:ilvl="0" w:tplc="71740678">
      <w:start w:val="1"/>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481B7795"/>
    <w:multiLevelType w:val="hybridMultilevel"/>
    <w:tmpl w:val="3C8C1FBE"/>
    <w:lvl w:ilvl="0" w:tplc="DE3C60FC">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48354FF8"/>
    <w:multiLevelType w:val="hybridMultilevel"/>
    <w:tmpl w:val="BE5A24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483F6CCC"/>
    <w:multiLevelType w:val="hybridMultilevel"/>
    <w:tmpl w:val="53EE53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86B69D2"/>
    <w:multiLevelType w:val="hybridMultilevel"/>
    <w:tmpl w:val="B2F873C8"/>
    <w:lvl w:ilvl="0" w:tplc="04150011">
      <w:start w:val="1"/>
      <w:numFmt w:val="decimal"/>
      <w:lvlText w:val="%1)"/>
      <w:lvlJc w:val="left"/>
      <w:pPr>
        <w:ind w:left="960" w:hanging="360"/>
      </w:pPr>
    </w:lvl>
    <w:lvl w:ilvl="1" w:tplc="04150019" w:tentative="1">
      <w:start w:val="1"/>
      <w:numFmt w:val="lowerLetter"/>
      <w:lvlText w:val="%2."/>
      <w:lvlJc w:val="left"/>
      <w:pPr>
        <w:ind w:left="1680" w:hanging="360"/>
      </w:pPr>
    </w:lvl>
    <w:lvl w:ilvl="2" w:tplc="0415001B" w:tentative="1">
      <w:start w:val="1"/>
      <w:numFmt w:val="lowerRoman"/>
      <w:lvlText w:val="%3."/>
      <w:lvlJc w:val="right"/>
      <w:pPr>
        <w:ind w:left="2400" w:hanging="180"/>
      </w:pPr>
    </w:lvl>
    <w:lvl w:ilvl="3" w:tplc="0415000F" w:tentative="1">
      <w:start w:val="1"/>
      <w:numFmt w:val="decimal"/>
      <w:lvlText w:val="%4."/>
      <w:lvlJc w:val="left"/>
      <w:pPr>
        <w:ind w:left="3120" w:hanging="360"/>
      </w:pPr>
    </w:lvl>
    <w:lvl w:ilvl="4" w:tplc="04150019" w:tentative="1">
      <w:start w:val="1"/>
      <w:numFmt w:val="lowerLetter"/>
      <w:lvlText w:val="%5."/>
      <w:lvlJc w:val="left"/>
      <w:pPr>
        <w:ind w:left="3840" w:hanging="360"/>
      </w:p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0" w15:restartNumberingAfterBreak="0">
    <w:nsid w:val="486D4D5F"/>
    <w:multiLevelType w:val="hybridMultilevel"/>
    <w:tmpl w:val="07CC8776"/>
    <w:lvl w:ilvl="0" w:tplc="877ADB42">
      <w:start w:val="1"/>
      <w:numFmt w:val="decimal"/>
      <w:lvlText w:val="II.3.5.1.%1."/>
      <w:lvlJc w:val="left"/>
      <w:pPr>
        <w:ind w:left="961" w:hanging="360"/>
      </w:pPr>
      <w:rPr>
        <w:rFonts w:hint="default"/>
        <w:b w:val="0"/>
        <w:bCs/>
      </w:rPr>
    </w:lvl>
    <w:lvl w:ilvl="1" w:tplc="04150019" w:tentative="1">
      <w:start w:val="1"/>
      <w:numFmt w:val="lowerLetter"/>
      <w:lvlText w:val="%2."/>
      <w:lvlJc w:val="left"/>
      <w:pPr>
        <w:ind w:left="1680" w:hanging="360"/>
      </w:pPr>
    </w:lvl>
    <w:lvl w:ilvl="2" w:tplc="0415001B" w:tentative="1">
      <w:start w:val="1"/>
      <w:numFmt w:val="lowerRoman"/>
      <w:lvlText w:val="%3."/>
      <w:lvlJc w:val="right"/>
      <w:pPr>
        <w:ind w:left="2400" w:hanging="180"/>
      </w:pPr>
    </w:lvl>
    <w:lvl w:ilvl="3" w:tplc="0415000F" w:tentative="1">
      <w:start w:val="1"/>
      <w:numFmt w:val="decimal"/>
      <w:lvlText w:val="%4."/>
      <w:lvlJc w:val="left"/>
      <w:pPr>
        <w:ind w:left="3120" w:hanging="360"/>
      </w:pPr>
    </w:lvl>
    <w:lvl w:ilvl="4" w:tplc="04150019" w:tentative="1">
      <w:start w:val="1"/>
      <w:numFmt w:val="lowerLetter"/>
      <w:lvlText w:val="%5."/>
      <w:lvlJc w:val="left"/>
      <w:pPr>
        <w:ind w:left="3840" w:hanging="360"/>
      </w:p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1" w15:restartNumberingAfterBreak="0">
    <w:nsid w:val="48BC0D89"/>
    <w:multiLevelType w:val="hybridMultilevel"/>
    <w:tmpl w:val="C4D221A4"/>
    <w:lvl w:ilvl="0" w:tplc="FFFFFFFF">
      <w:start w:val="1"/>
      <w:numFmt w:val="bullet"/>
      <w:pStyle w:val="PunktowanieFB"/>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48F241D7"/>
    <w:multiLevelType w:val="hybridMultilevel"/>
    <w:tmpl w:val="3836B9CA"/>
    <w:lvl w:ilvl="0" w:tplc="2DCAEAAC">
      <w:start w:val="3"/>
      <w:numFmt w:val="lowerLetter"/>
      <w:lvlText w:val="%1)"/>
      <w:lvlJc w:val="left"/>
      <w:pPr>
        <w:ind w:left="1354" w:hanging="357"/>
      </w:pPr>
      <w:rPr>
        <w:rFonts w:ascii="Times New Roman" w:eastAsia="Times New Roman" w:hAnsi="Times New Roman" w:cs="Times New Roman" w:hint="default"/>
        <w:color w:val="4B4B4B"/>
        <w:spacing w:val="-1"/>
        <w:w w:val="109"/>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4AF675AA"/>
    <w:multiLevelType w:val="hybridMultilevel"/>
    <w:tmpl w:val="864C8B44"/>
    <w:lvl w:ilvl="0" w:tplc="1CB8172A">
      <w:start w:val="1"/>
      <w:numFmt w:val="decimal"/>
      <w:lvlText w:val="%1)"/>
      <w:lvlJc w:val="left"/>
      <w:pPr>
        <w:ind w:left="583" w:hanging="360"/>
      </w:pPr>
      <w:rPr>
        <w:rFonts w:ascii="Times New Roman" w:eastAsia="Times New Roman" w:hAnsi="Times New Roman" w:cs="Times New Roman" w:hint="default"/>
        <w:spacing w:val="-25"/>
        <w:w w:val="99"/>
        <w:sz w:val="24"/>
        <w:szCs w:val="24"/>
        <w:lang w:val="pl-PL" w:eastAsia="pl-PL" w:bidi="pl-PL"/>
      </w:rPr>
    </w:lvl>
    <w:lvl w:ilvl="1" w:tplc="EB76D6C4">
      <w:start w:val="1"/>
      <w:numFmt w:val="lowerLetter"/>
      <w:lvlText w:val="%2)"/>
      <w:lvlJc w:val="left"/>
      <w:pPr>
        <w:ind w:left="950" w:hanging="360"/>
      </w:pPr>
      <w:rPr>
        <w:rFonts w:ascii="Times New Roman" w:eastAsia="Times New Roman" w:hAnsi="Times New Roman" w:cs="Times New Roman" w:hint="default"/>
        <w:spacing w:val="-26"/>
        <w:w w:val="99"/>
        <w:sz w:val="24"/>
        <w:szCs w:val="24"/>
        <w:lang w:val="pl-PL" w:eastAsia="pl-PL" w:bidi="pl-PL"/>
      </w:rPr>
    </w:lvl>
    <w:lvl w:ilvl="2" w:tplc="A6A826F8">
      <w:numFmt w:val="bullet"/>
      <w:lvlText w:val="•"/>
      <w:lvlJc w:val="left"/>
      <w:pPr>
        <w:ind w:left="1830" w:hanging="360"/>
      </w:pPr>
      <w:rPr>
        <w:rFonts w:hint="default"/>
        <w:lang w:val="pl-PL" w:eastAsia="pl-PL" w:bidi="pl-PL"/>
      </w:rPr>
    </w:lvl>
    <w:lvl w:ilvl="3" w:tplc="8026A7B8">
      <w:numFmt w:val="bullet"/>
      <w:lvlText w:val="•"/>
      <w:lvlJc w:val="left"/>
      <w:pPr>
        <w:ind w:left="2701" w:hanging="360"/>
      </w:pPr>
      <w:rPr>
        <w:rFonts w:hint="default"/>
        <w:lang w:val="pl-PL" w:eastAsia="pl-PL" w:bidi="pl-PL"/>
      </w:rPr>
    </w:lvl>
    <w:lvl w:ilvl="4" w:tplc="DC623804">
      <w:numFmt w:val="bullet"/>
      <w:lvlText w:val="•"/>
      <w:lvlJc w:val="left"/>
      <w:pPr>
        <w:ind w:left="3572" w:hanging="360"/>
      </w:pPr>
      <w:rPr>
        <w:rFonts w:hint="default"/>
        <w:lang w:val="pl-PL" w:eastAsia="pl-PL" w:bidi="pl-PL"/>
      </w:rPr>
    </w:lvl>
    <w:lvl w:ilvl="5" w:tplc="674A1B4E">
      <w:numFmt w:val="bullet"/>
      <w:lvlText w:val="•"/>
      <w:lvlJc w:val="left"/>
      <w:pPr>
        <w:ind w:left="4443" w:hanging="360"/>
      </w:pPr>
      <w:rPr>
        <w:rFonts w:hint="default"/>
        <w:lang w:val="pl-PL" w:eastAsia="pl-PL" w:bidi="pl-PL"/>
      </w:rPr>
    </w:lvl>
    <w:lvl w:ilvl="6" w:tplc="FEFC9FEA">
      <w:numFmt w:val="bullet"/>
      <w:lvlText w:val="•"/>
      <w:lvlJc w:val="left"/>
      <w:pPr>
        <w:ind w:left="5313" w:hanging="360"/>
      </w:pPr>
      <w:rPr>
        <w:rFonts w:hint="default"/>
        <w:lang w:val="pl-PL" w:eastAsia="pl-PL" w:bidi="pl-PL"/>
      </w:rPr>
    </w:lvl>
    <w:lvl w:ilvl="7" w:tplc="51408138">
      <w:numFmt w:val="bullet"/>
      <w:lvlText w:val="•"/>
      <w:lvlJc w:val="left"/>
      <w:pPr>
        <w:ind w:left="6184" w:hanging="360"/>
      </w:pPr>
      <w:rPr>
        <w:rFonts w:hint="default"/>
        <w:lang w:val="pl-PL" w:eastAsia="pl-PL" w:bidi="pl-PL"/>
      </w:rPr>
    </w:lvl>
    <w:lvl w:ilvl="8" w:tplc="A5E013C2">
      <w:numFmt w:val="bullet"/>
      <w:lvlText w:val="•"/>
      <w:lvlJc w:val="left"/>
      <w:pPr>
        <w:ind w:left="7055" w:hanging="360"/>
      </w:pPr>
      <w:rPr>
        <w:rFonts w:hint="default"/>
        <w:lang w:val="pl-PL" w:eastAsia="pl-PL" w:bidi="pl-PL"/>
      </w:rPr>
    </w:lvl>
  </w:abstractNum>
  <w:abstractNum w:abstractNumId="244" w15:restartNumberingAfterBreak="0">
    <w:nsid w:val="4AFD01E0"/>
    <w:multiLevelType w:val="hybridMultilevel"/>
    <w:tmpl w:val="5A6675DC"/>
    <w:lvl w:ilvl="0" w:tplc="FDD2F960">
      <w:start w:val="3"/>
      <w:numFmt w:val="lowerLetter"/>
      <w:lvlText w:val="%1)"/>
      <w:lvlJc w:val="left"/>
      <w:pPr>
        <w:ind w:left="1057" w:hanging="350"/>
      </w:pPr>
      <w:rPr>
        <w:rFonts w:ascii="Times New Roman" w:eastAsia="Times New Roman" w:hAnsi="Times New Roman" w:cs="Times New Roman" w:hint="default"/>
        <w:color w:val="4F4F4F"/>
        <w:spacing w:val="-1"/>
        <w:w w:val="101"/>
        <w:sz w:val="23"/>
        <w:szCs w:val="23"/>
      </w:rPr>
    </w:lvl>
    <w:lvl w:ilvl="1" w:tplc="5C3609E8">
      <w:numFmt w:val="bullet"/>
      <w:lvlText w:val="•"/>
      <w:lvlJc w:val="left"/>
      <w:pPr>
        <w:ind w:left="1912" w:hanging="350"/>
      </w:pPr>
      <w:rPr>
        <w:rFonts w:hint="default"/>
      </w:rPr>
    </w:lvl>
    <w:lvl w:ilvl="2" w:tplc="4E208AC2">
      <w:numFmt w:val="bullet"/>
      <w:lvlText w:val="•"/>
      <w:lvlJc w:val="left"/>
      <w:pPr>
        <w:ind w:left="2764" w:hanging="350"/>
      </w:pPr>
      <w:rPr>
        <w:rFonts w:hint="default"/>
      </w:rPr>
    </w:lvl>
    <w:lvl w:ilvl="3" w:tplc="C1C65B14">
      <w:numFmt w:val="bullet"/>
      <w:lvlText w:val="•"/>
      <w:lvlJc w:val="left"/>
      <w:pPr>
        <w:ind w:left="3616" w:hanging="350"/>
      </w:pPr>
      <w:rPr>
        <w:rFonts w:hint="default"/>
      </w:rPr>
    </w:lvl>
    <w:lvl w:ilvl="4" w:tplc="977AD196">
      <w:numFmt w:val="bullet"/>
      <w:lvlText w:val="•"/>
      <w:lvlJc w:val="left"/>
      <w:pPr>
        <w:ind w:left="4468" w:hanging="350"/>
      </w:pPr>
      <w:rPr>
        <w:rFonts w:hint="default"/>
      </w:rPr>
    </w:lvl>
    <w:lvl w:ilvl="5" w:tplc="E25CA238">
      <w:numFmt w:val="bullet"/>
      <w:lvlText w:val="•"/>
      <w:lvlJc w:val="left"/>
      <w:pPr>
        <w:ind w:left="5320" w:hanging="350"/>
      </w:pPr>
      <w:rPr>
        <w:rFonts w:hint="default"/>
      </w:rPr>
    </w:lvl>
    <w:lvl w:ilvl="6" w:tplc="D0A63068">
      <w:numFmt w:val="bullet"/>
      <w:lvlText w:val="•"/>
      <w:lvlJc w:val="left"/>
      <w:pPr>
        <w:ind w:left="6172" w:hanging="350"/>
      </w:pPr>
      <w:rPr>
        <w:rFonts w:hint="default"/>
      </w:rPr>
    </w:lvl>
    <w:lvl w:ilvl="7" w:tplc="7A26A1EA">
      <w:numFmt w:val="bullet"/>
      <w:lvlText w:val="•"/>
      <w:lvlJc w:val="left"/>
      <w:pPr>
        <w:ind w:left="7024" w:hanging="350"/>
      </w:pPr>
      <w:rPr>
        <w:rFonts w:hint="default"/>
      </w:rPr>
    </w:lvl>
    <w:lvl w:ilvl="8" w:tplc="2AF0BBEC">
      <w:numFmt w:val="bullet"/>
      <w:lvlText w:val="•"/>
      <w:lvlJc w:val="left"/>
      <w:pPr>
        <w:ind w:left="7876" w:hanging="350"/>
      </w:pPr>
      <w:rPr>
        <w:rFonts w:hint="default"/>
      </w:rPr>
    </w:lvl>
  </w:abstractNum>
  <w:abstractNum w:abstractNumId="245" w15:restartNumberingAfterBreak="0">
    <w:nsid w:val="4B931899"/>
    <w:multiLevelType w:val="hybridMultilevel"/>
    <w:tmpl w:val="D7C2AA1A"/>
    <w:lvl w:ilvl="0" w:tplc="92624B28">
      <w:start w:val="23"/>
      <w:numFmt w:val="lowerLetter"/>
      <w:lvlText w:val="(%1)"/>
      <w:lvlJc w:val="left"/>
      <w:pPr>
        <w:ind w:left="360" w:hanging="360"/>
      </w:pPr>
      <w:rPr>
        <w:rFonts w:hint="default"/>
      </w:rPr>
    </w:lvl>
    <w:lvl w:ilvl="1" w:tplc="DFA8DF3C">
      <w:start w:val="1"/>
      <w:numFmt w:val="lowerLetter"/>
      <w:lvlText w:val="%2)"/>
      <w:lvlJc w:val="left"/>
      <w:pPr>
        <w:ind w:left="1440" w:hanging="360"/>
      </w:pPr>
      <w:rPr>
        <w:rFonts w:hint="default"/>
      </w:rPr>
    </w:lvl>
    <w:lvl w:ilvl="2" w:tplc="D3E239B0">
      <w:start w:val="1"/>
      <w:numFmt w:val="lowerRoman"/>
      <w:lvlText w:val="(%3)"/>
      <w:lvlJc w:val="right"/>
      <w:pPr>
        <w:ind w:left="2160" w:hanging="180"/>
      </w:pPr>
      <w:rPr>
        <w:rFonts w:hint="default"/>
      </w:rPr>
    </w:lvl>
    <w:lvl w:ilvl="3" w:tplc="E8D497D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C564199"/>
    <w:multiLevelType w:val="hybridMultilevel"/>
    <w:tmpl w:val="ACD013A4"/>
    <w:lvl w:ilvl="0" w:tplc="01F8C37A">
      <w:start w:val="1"/>
      <w:numFmt w:val="lowerLetter"/>
      <w:lvlText w:val="%1)"/>
      <w:lvlJc w:val="left"/>
      <w:pPr>
        <w:tabs>
          <w:tab w:val="num" w:pos="1986"/>
        </w:tabs>
        <w:ind w:left="36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4EB83FD2"/>
    <w:multiLevelType w:val="hybridMultilevel"/>
    <w:tmpl w:val="0914A47E"/>
    <w:lvl w:ilvl="0" w:tplc="1868AEF0">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48" w15:restartNumberingAfterBreak="0">
    <w:nsid w:val="4F012CFD"/>
    <w:multiLevelType w:val="hybridMultilevel"/>
    <w:tmpl w:val="9446D68A"/>
    <w:lvl w:ilvl="0" w:tplc="9B36D22E">
      <w:start w:val="3"/>
      <w:numFmt w:val="upperRoman"/>
      <w:lvlText w:val="%1."/>
      <w:lvlJc w:val="left"/>
      <w:pPr>
        <w:ind w:left="1330" w:hanging="321"/>
      </w:pPr>
      <w:rPr>
        <w:rFonts w:ascii="Times New Roman" w:eastAsia="Times New Roman" w:hAnsi="Times New Roman" w:cs="Times New Roman" w:hint="default"/>
        <w:color w:val="4F4F4F"/>
        <w:w w:val="99"/>
        <w:sz w:val="23"/>
        <w:szCs w:val="23"/>
      </w:rPr>
    </w:lvl>
    <w:lvl w:ilvl="1" w:tplc="4596FB68">
      <w:start w:val="1"/>
      <w:numFmt w:val="upperRoman"/>
      <w:lvlText w:val="%2."/>
      <w:lvlJc w:val="left"/>
      <w:pPr>
        <w:ind w:left="1440" w:hanging="360"/>
      </w:pPr>
      <w:rPr>
        <w:rFonts w:ascii="Arial" w:eastAsia="Arial" w:hAnsi="Arial" w:cs="Arial" w:hint="default"/>
        <w:b/>
        <w:bCs/>
        <w:spacing w:val="-45"/>
        <w:w w:val="100"/>
        <w:sz w:val="18"/>
        <w:szCs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4F164A31"/>
    <w:multiLevelType w:val="hybridMultilevel"/>
    <w:tmpl w:val="9EFCC408"/>
    <w:lvl w:ilvl="0" w:tplc="3CC0E0A6">
      <w:start w:val="1"/>
      <w:numFmt w:val="upperRoman"/>
      <w:lvlText w:val="%1."/>
      <w:lvlJc w:val="left"/>
      <w:pPr>
        <w:ind w:left="1330" w:hanging="321"/>
      </w:pPr>
      <w:rPr>
        <w:rFonts w:ascii="Times New Roman" w:eastAsia="Times New Roman" w:hAnsi="Times New Roman" w:cs="Times New Roman" w:hint="default"/>
        <w:color w:val="4F4F4F"/>
        <w:w w:val="99"/>
        <w:sz w:val="23"/>
        <w:szCs w:val="23"/>
      </w:rPr>
    </w:lvl>
    <w:lvl w:ilvl="1" w:tplc="67CA0D28">
      <w:start w:val="1"/>
      <w:numFmt w:val="decimal"/>
      <w:lvlText w:val="%2)"/>
      <w:lvlJc w:val="left"/>
      <w:pPr>
        <w:ind w:left="1658" w:hanging="360"/>
      </w:pPr>
      <w:rPr>
        <w:rFonts w:hint="default"/>
        <w:w w:val="106"/>
      </w:rPr>
    </w:lvl>
    <w:lvl w:ilvl="2" w:tplc="AD901870">
      <w:numFmt w:val="bullet"/>
      <w:lvlText w:val="•"/>
      <w:lvlJc w:val="left"/>
      <w:pPr>
        <w:ind w:left="2735" w:hanging="317"/>
      </w:pPr>
      <w:rPr>
        <w:rFonts w:hint="default"/>
      </w:rPr>
    </w:lvl>
    <w:lvl w:ilvl="3" w:tplc="DD7A0F0C">
      <w:numFmt w:val="bullet"/>
      <w:lvlText w:val="•"/>
      <w:lvlJc w:val="left"/>
      <w:pPr>
        <w:ind w:left="3591" w:hanging="317"/>
      </w:pPr>
      <w:rPr>
        <w:rFonts w:hint="default"/>
      </w:rPr>
    </w:lvl>
    <w:lvl w:ilvl="4" w:tplc="B86A2E88">
      <w:numFmt w:val="bullet"/>
      <w:lvlText w:val="•"/>
      <w:lvlJc w:val="left"/>
      <w:pPr>
        <w:ind w:left="4446" w:hanging="317"/>
      </w:pPr>
      <w:rPr>
        <w:rFonts w:hint="default"/>
      </w:rPr>
    </w:lvl>
    <w:lvl w:ilvl="5" w:tplc="959E47C4">
      <w:numFmt w:val="bullet"/>
      <w:lvlText w:val="•"/>
      <w:lvlJc w:val="left"/>
      <w:pPr>
        <w:ind w:left="5302" w:hanging="317"/>
      </w:pPr>
      <w:rPr>
        <w:rFonts w:hint="default"/>
      </w:rPr>
    </w:lvl>
    <w:lvl w:ilvl="6" w:tplc="7FFA193C">
      <w:numFmt w:val="bullet"/>
      <w:lvlText w:val="•"/>
      <w:lvlJc w:val="left"/>
      <w:pPr>
        <w:ind w:left="6157" w:hanging="317"/>
      </w:pPr>
      <w:rPr>
        <w:rFonts w:hint="default"/>
      </w:rPr>
    </w:lvl>
    <w:lvl w:ilvl="7" w:tplc="84A07CC4">
      <w:numFmt w:val="bullet"/>
      <w:lvlText w:val="•"/>
      <w:lvlJc w:val="left"/>
      <w:pPr>
        <w:ind w:left="7013" w:hanging="317"/>
      </w:pPr>
      <w:rPr>
        <w:rFonts w:hint="default"/>
      </w:rPr>
    </w:lvl>
    <w:lvl w:ilvl="8" w:tplc="F8847B66">
      <w:numFmt w:val="bullet"/>
      <w:lvlText w:val="•"/>
      <w:lvlJc w:val="left"/>
      <w:pPr>
        <w:ind w:left="7868" w:hanging="317"/>
      </w:pPr>
      <w:rPr>
        <w:rFonts w:hint="default"/>
      </w:rPr>
    </w:lvl>
  </w:abstractNum>
  <w:abstractNum w:abstractNumId="250" w15:restartNumberingAfterBreak="0">
    <w:nsid w:val="4F3F6AC6"/>
    <w:multiLevelType w:val="hybridMultilevel"/>
    <w:tmpl w:val="1180D4AC"/>
    <w:lvl w:ilvl="0" w:tplc="58C63A72">
      <w:start w:val="3"/>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4F7B6C93"/>
    <w:multiLevelType w:val="hybridMultilevel"/>
    <w:tmpl w:val="63E47FA0"/>
    <w:lvl w:ilvl="0" w:tplc="B53AFE8C">
      <w:start w:val="1"/>
      <w:numFmt w:val="lowerLetter"/>
      <w:lvlText w:val="%1)"/>
      <w:lvlJc w:val="left"/>
      <w:pPr>
        <w:ind w:left="2904" w:hanging="269"/>
      </w:pPr>
      <w:rPr>
        <w:rFonts w:ascii="Times New Roman" w:eastAsia="Times New Roman" w:hAnsi="Times New Roman" w:cs="Times New Roman" w:hint="default"/>
        <w:color w:val="494949"/>
        <w:spacing w:val="-1"/>
        <w:w w:val="109"/>
        <w:sz w:val="24"/>
        <w:szCs w:val="24"/>
      </w:rPr>
    </w:lvl>
    <w:lvl w:ilvl="1" w:tplc="6862183A">
      <w:numFmt w:val="bullet"/>
      <w:lvlText w:val="•"/>
      <w:lvlJc w:val="left"/>
      <w:pPr>
        <w:ind w:left="3766" w:hanging="269"/>
      </w:pPr>
      <w:rPr>
        <w:rFonts w:hint="default"/>
      </w:rPr>
    </w:lvl>
    <w:lvl w:ilvl="2" w:tplc="A74483B2">
      <w:numFmt w:val="bullet"/>
      <w:lvlText w:val="•"/>
      <w:lvlJc w:val="left"/>
      <w:pPr>
        <w:ind w:left="4632" w:hanging="269"/>
      </w:pPr>
      <w:rPr>
        <w:rFonts w:hint="default"/>
      </w:rPr>
    </w:lvl>
    <w:lvl w:ilvl="3" w:tplc="A38CAA2E">
      <w:numFmt w:val="bullet"/>
      <w:lvlText w:val="•"/>
      <w:lvlJc w:val="left"/>
      <w:pPr>
        <w:ind w:left="5498" w:hanging="269"/>
      </w:pPr>
      <w:rPr>
        <w:rFonts w:hint="default"/>
      </w:rPr>
    </w:lvl>
    <w:lvl w:ilvl="4" w:tplc="1FF45B88">
      <w:numFmt w:val="bullet"/>
      <w:lvlText w:val="•"/>
      <w:lvlJc w:val="left"/>
      <w:pPr>
        <w:ind w:left="6364" w:hanging="269"/>
      </w:pPr>
      <w:rPr>
        <w:rFonts w:hint="default"/>
      </w:rPr>
    </w:lvl>
    <w:lvl w:ilvl="5" w:tplc="DBC2352A">
      <w:numFmt w:val="bullet"/>
      <w:lvlText w:val="•"/>
      <w:lvlJc w:val="left"/>
      <w:pPr>
        <w:ind w:left="7230" w:hanging="269"/>
      </w:pPr>
      <w:rPr>
        <w:rFonts w:hint="default"/>
      </w:rPr>
    </w:lvl>
    <w:lvl w:ilvl="6" w:tplc="0EF63834">
      <w:numFmt w:val="bullet"/>
      <w:lvlText w:val="•"/>
      <w:lvlJc w:val="left"/>
      <w:pPr>
        <w:ind w:left="8096" w:hanging="269"/>
      </w:pPr>
      <w:rPr>
        <w:rFonts w:hint="default"/>
      </w:rPr>
    </w:lvl>
    <w:lvl w:ilvl="7" w:tplc="7778ABFC">
      <w:numFmt w:val="bullet"/>
      <w:lvlText w:val="•"/>
      <w:lvlJc w:val="left"/>
      <w:pPr>
        <w:ind w:left="8962" w:hanging="269"/>
      </w:pPr>
      <w:rPr>
        <w:rFonts w:hint="default"/>
      </w:rPr>
    </w:lvl>
    <w:lvl w:ilvl="8" w:tplc="7EC839F8">
      <w:numFmt w:val="bullet"/>
      <w:lvlText w:val="•"/>
      <w:lvlJc w:val="left"/>
      <w:pPr>
        <w:ind w:left="9828" w:hanging="269"/>
      </w:pPr>
      <w:rPr>
        <w:rFonts w:hint="default"/>
      </w:rPr>
    </w:lvl>
  </w:abstractNum>
  <w:abstractNum w:abstractNumId="252" w15:restartNumberingAfterBreak="0">
    <w:nsid w:val="4FEA17C7"/>
    <w:multiLevelType w:val="hybridMultilevel"/>
    <w:tmpl w:val="E4CAD72E"/>
    <w:lvl w:ilvl="0" w:tplc="9D0C4352">
      <w:start w:val="1"/>
      <w:numFmt w:val="decimal"/>
      <w:lvlText w:val="%1)"/>
      <w:lvlJc w:val="left"/>
      <w:pPr>
        <w:ind w:left="856" w:hanging="360"/>
      </w:pPr>
      <w:rPr>
        <w:rFonts w:ascii="Times New Roman" w:eastAsia="Times New Roman" w:hAnsi="Times New Roman" w:cs="Times New Roman" w:hint="default"/>
        <w:spacing w:val="-20"/>
        <w:w w:val="99"/>
        <w:sz w:val="24"/>
        <w:szCs w:val="24"/>
        <w:lang w:val="pl-PL" w:eastAsia="pl-PL" w:bidi="pl-PL"/>
      </w:rPr>
    </w:lvl>
    <w:lvl w:ilvl="1" w:tplc="149ABCB2">
      <w:numFmt w:val="bullet"/>
      <w:lvlText w:val="•"/>
      <w:lvlJc w:val="left"/>
      <w:pPr>
        <w:ind w:left="1644" w:hanging="360"/>
      </w:pPr>
      <w:rPr>
        <w:rFonts w:hint="default"/>
        <w:lang w:val="pl-PL" w:eastAsia="pl-PL" w:bidi="pl-PL"/>
      </w:rPr>
    </w:lvl>
    <w:lvl w:ilvl="2" w:tplc="6C3E2142">
      <w:numFmt w:val="bullet"/>
      <w:lvlText w:val="•"/>
      <w:lvlJc w:val="left"/>
      <w:pPr>
        <w:ind w:left="2429" w:hanging="360"/>
      </w:pPr>
      <w:rPr>
        <w:rFonts w:hint="default"/>
        <w:lang w:val="pl-PL" w:eastAsia="pl-PL" w:bidi="pl-PL"/>
      </w:rPr>
    </w:lvl>
    <w:lvl w:ilvl="3" w:tplc="6CC2C8D4">
      <w:numFmt w:val="bullet"/>
      <w:lvlText w:val="•"/>
      <w:lvlJc w:val="left"/>
      <w:pPr>
        <w:ind w:left="3213" w:hanging="360"/>
      </w:pPr>
      <w:rPr>
        <w:rFonts w:hint="default"/>
        <w:lang w:val="pl-PL" w:eastAsia="pl-PL" w:bidi="pl-PL"/>
      </w:rPr>
    </w:lvl>
    <w:lvl w:ilvl="4" w:tplc="1344646E">
      <w:numFmt w:val="bullet"/>
      <w:lvlText w:val="•"/>
      <w:lvlJc w:val="left"/>
      <w:pPr>
        <w:ind w:left="3998" w:hanging="360"/>
      </w:pPr>
      <w:rPr>
        <w:rFonts w:hint="default"/>
        <w:lang w:val="pl-PL" w:eastAsia="pl-PL" w:bidi="pl-PL"/>
      </w:rPr>
    </w:lvl>
    <w:lvl w:ilvl="5" w:tplc="317E03D2">
      <w:numFmt w:val="bullet"/>
      <w:lvlText w:val="•"/>
      <w:lvlJc w:val="left"/>
      <w:pPr>
        <w:ind w:left="4782" w:hanging="360"/>
      </w:pPr>
      <w:rPr>
        <w:rFonts w:hint="default"/>
        <w:lang w:val="pl-PL" w:eastAsia="pl-PL" w:bidi="pl-PL"/>
      </w:rPr>
    </w:lvl>
    <w:lvl w:ilvl="6" w:tplc="10DC1106">
      <w:numFmt w:val="bullet"/>
      <w:lvlText w:val="•"/>
      <w:lvlJc w:val="left"/>
      <w:pPr>
        <w:ind w:left="5567" w:hanging="360"/>
      </w:pPr>
      <w:rPr>
        <w:rFonts w:hint="default"/>
        <w:lang w:val="pl-PL" w:eastAsia="pl-PL" w:bidi="pl-PL"/>
      </w:rPr>
    </w:lvl>
    <w:lvl w:ilvl="7" w:tplc="7EA60CDA">
      <w:numFmt w:val="bullet"/>
      <w:lvlText w:val="•"/>
      <w:lvlJc w:val="left"/>
      <w:pPr>
        <w:ind w:left="6351" w:hanging="360"/>
      </w:pPr>
      <w:rPr>
        <w:rFonts w:hint="default"/>
        <w:lang w:val="pl-PL" w:eastAsia="pl-PL" w:bidi="pl-PL"/>
      </w:rPr>
    </w:lvl>
    <w:lvl w:ilvl="8" w:tplc="818A2B66">
      <w:numFmt w:val="bullet"/>
      <w:lvlText w:val="•"/>
      <w:lvlJc w:val="left"/>
      <w:pPr>
        <w:ind w:left="7136" w:hanging="360"/>
      </w:pPr>
      <w:rPr>
        <w:rFonts w:hint="default"/>
        <w:lang w:val="pl-PL" w:eastAsia="pl-PL" w:bidi="pl-PL"/>
      </w:rPr>
    </w:lvl>
  </w:abstractNum>
  <w:abstractNum w:abstractNumId="253" w15:restartNumberingAfterBreak="0">
    <w:nsid w:val="50382EA0"/>
    <w:multiLevelType w:val="hybridMultilevel"/>
    <w:tmpl w:val="798441AE"/>
    <w:lvl w:ilvl="0" w:tplc="31B0AFC6">
      <w:start w:val="1"/>
      <w:numFmt w:val="decimal"/>
      <w:lvlText w:val="IV.3.5.%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0E3493C"/>
    <w:multiLevelType w:val="hybridMultilevel"/>
    <w:tmpl w:val="AD96F0F8"/>
    <w:lvl w:ilvl="0" w:tplc="0CA22958">
      <w:start w:val="17"/>
      <w:numFmt w:val="ordinal"/>
      <w:lvlText w:val="3.%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5113193C"/>
    <w:multiLevelType w:val="hybridMultilevel"/>
    <w:tmpl w:val="C0FE8952"/>
    <w:lvl w:ilvl="0" w:tplc="04B62CEC">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517C4762"/>
    <w:multiLevelType w:val="hybridMultilevel"/>
    <w:tmpl w:val="F4A02402"/>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57" w15:restartNumberingAfterBreak="0">
    <w:nsid w:val="52106851"/>
    <w:multiLevelType w:val="hybridMultilevel"/>
    <w:tmpl w:val="731A3D78"/>
    <w:lvl w:ilvl="0" w:tplc="9FECC524">
      <w:start w:val="1"/>
      <w:numFmt w:val="lowerLetter"/>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2321DC6"/>
    <w:multiLevelType w:val="hybridMultilevel"/>
    <w:tmpl w:val="F28C6676"/>
    <w:lvl w:ilvl="0" w:tplc="3612D1AC">
      <w:start w:val="1"/>
      <w:numFmt w:val="lowerLetter"/>
      <w:lvlText w:val="%1)"/>
      <w:lvlJc w:val="left"/>
      <w:pPr>
        <w:tabs>
          <w:tab w:val="num" w:pos="2264"/>
        </w:tabs>
        <w:ind w:left="2093" w:hanging="113"/>
      </w:pPr>
      <w:rPr>
        <w:rFonts w:hint="default"/>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52D15817"/>
    <w:multiLevelType w:val="hybridMultilevel"/>
    <w:tmpl w:val="312266C0"/>
    <w:lvl w:ilvl="0" w:tplc="3BD8198A">
      <w:start w:val="1"/>
      <w:numFmt w:val="decimal"/>
      <w:lvlText w:val="D.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531B7DE9"/>
    <w:multiLevelType w:val="hybridMultilevel"/>
    <w:tmpl w:val="F05486B2"/>
    <w:lvl w:ilvl="0" w:tplc="1E505FB4">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1" w15:restartNumberingAfterBreak="0">
    <w:nsid w:val="53F8179D"/>
    <w:multiLevelType w:val="hybridMultilevel"/>
    <w:tmpl w:val="18D87688"/>
    <w:lvl w:ilvl="0" w:tplc="B4C44C0A">
      <w:start w:val="1"/>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54562D1E"/>
    <w:multiLevelType w:val="hybridMultilevel"/>
    <w:tmpl w:val="073A7708"/>
    <w:lvl w:ilvl="0" w:tplc="447E2962">
      <w:start w:val="1"/>
      <w:numFmt w:val="decimal"/>
      <w:lvlText w:val="VI.2.%1."/>
      <w:lvlJc w:val="left"/>
      <w:pPr>
        <w:ind w:left="781"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54E52B41"/>
    <w:multiLevelType w:val="hybridMultilevel"/>
    <w:tmpl w:val="278C74BA"/>
    <w:lvl w:ilvl="0" w:tplc="9AF8ADB4">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55427B5B"/>
    <w:multiLevelType w:val="hybridMultilevel"/>
    <w:tmpl w:val="0F52433E"/>
    <w:lvl w:ilvl="0" w:tplc="E5DE2B7E">
      <w:start w:val="1"/>
      <w:numFmt w:val="lowerLetter"/>
      <w:lvlText w:val="%1)"/>
      <w:lvlJc w:val="left"/>
      <w:pPr>
        <w:tabs>
          <w:tab w:val="num" w:pos="286"/>
        </w:tabs>
        <w:ind w:left="794" w:firstLine="286"/>
      </w:pPr>
      <w:rPr>
        <w:rFonts w:hint="default"/>
        <w:b w:val="0"/>
        <w:bCs/>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5" w15:restartNumberingAfterBreak="0">
    <w:nsid w:val="56387C6B"/>
    <w:multiLevelType w:val="hybridMultilevel"/>
    <w:tmpl w:val="D6ACFC46"/>
    <w:lvl w:ilvl="0" w:tplc="88DAB126">
      <w:start w:val="1"/>
      <w:numFmt w:val="lowerLetter"/>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568B62F9"/>
    <w:multiLevelType w:val="hybridMultilevel"/>
    <w:tmpl w:val="78640AD4"/>
    <w:lvl w:ilvl="0" w:tplc="D4A2E82E">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56BF32B6"/>
    <w:multiLevelType w:val="hybridMultilevel"/>
    <w:tmpl w:val="71809F4C"/>
    <w:lvl w:ilvl="0" w:tplc="BE929EC6">
      <w:start w:val="4"/>
      <w:numFmt w:val="lowerRoman"/>
      <w:lvlText w:val="%1."/>
      <w:lvlJc w:val="left"/>
      <w:pPr>
        <w:ind w:left="3728" w:hanging="371"/>
        <w:jc w:val="right"/>
      </w:pPr>
      <w:rPr>
        <w:rFonts w:ascii="Times New Roman" w:eastAsia="Times New Roman" w:hAnsi="Times New Roman" w:cs="Times New Roman" w:hint="default"/>
        <w:color w:val="4F4F4F"/>
        <w:spacing w:val="-1"/>
        <w:w w:val="100"/>
        <w:sz w:val="24"/>
        <w:szCs w:val="24"/>
      </w:rPr>
    </w:lvl>
    <w:lvl w:ilvl="1" w:tplc="A23C6EF4">
      <w:numFmt w:val="bullet"/>
      <w:lvlText w:val="•"/>
      <w:lvlJc w:val="left"/>
      <w:pPr>
        <w:ind w:left="4493" w:hanging="371"/>
      </w:pPr>
      <w:rPr>
        <w:rFonts w:hint="default"/>
      </w:rPr>
    </w:lvl>
    <w:lvl w:ilvl="2" w:tplc="1A381D56">
      <w:numFmt w:val="bullet"/>
      <w:lvlText w:val="•"/>
      <w:lvlJc w:val="left"/>
      <w:pPr>
        <w:ind w:left="5267" w:hanging="371"/>
      </w:pPr>
      <w:rPr>
        <w:rFonts w:hint="default"/>
      </w:rPr>
    </w:lvl>
    <w:lvl w:ilvl="3" w:tplc="F4B8EC20">
      <w:numFmt w:val="bullet"/>
      <w:lvlText w:val="•"/>
      <w:lvlJc w:val="left"/>
      <w:pPr>
        <w:ind w:left="6041" w:hanging="371"/>
      </w:pPr>
      <w:rPr>
        <w:rFonts w:hint="default"/>
      </w:rPr>
    </w:lvl>
    <w:lvl w:ilvl="4" w:tplc="0914AF52">
      <w:numFmt w:val="bullet"/>
      <w:lvlText w:val="•"/>
      <w:lvlJc w:val="left"/>
      <w:pPr>
        <w:ind w:left="6815" w:hanging="371"/>
      </w:pPr>
      <w:rPr>
        <w:rFonts w:hint="default"/>
      </w:rPr>
    </w:lvl>
    <w:lvl w:ilvl="5" w:tplc="5B8C611C">
      <w:numFmt w:val="bullet"/>
      <w:lvlText w:val="•"/>
      <w:lvlJc w:val="left"/>
      <w:pPr>
        <w:ind w:left="7589" w:hanging="371"/>
      </w:pPr>
      <w:rPr>
        <w:rFonts w:hint="default"/>
      </w:rPr>
    </w:lvl>
    <w:lvl w:ilvl="6" w:tplc="F0E2B854">
      <w:numFmt w:val="bullet"/>
      <w:lvlText w:val="•"/>
      <w:lvlJc w:val="left"/>
      <w:pPr>
        <w:ind w:left="8363" w:hanging="371"/>
      </w:pPr>
      <w:rPr>
        <w:rFonts w:hint="default"/>
      </w:rPr>
    </w:lvl>
    <w:lvl w:ilvl="7" w:tplc="134E0182">
      <w:numFmt w:val="bullet"/>
      <w:lvlText w:val="•"/>
      <w:lvlJc w:val="left"/>
      <w:pPr>
        <w:ind w:left="9137" w:hanging="371"/>
      </w:pPr>
      <w:rPr>
        <w:rFonts w:hint="default"/>
      </w:rPr>
    </w:lvl>
    <w:lvl w:ilvl="8" w:tplc="4AEC91E8">
      <w:numFmt w:val="bullet"/>
      <w:lvlText w:val="•"/>
      <w:lvlJc w:val="left"/>
      <w:pPr>
        <w:ind w:left="9911" w:hanging="371"/>
      </w:pPr>
      <w:rPr>
        <w:rFonts w:hint="default"/>
      </w:rPr>
    </w:lvl>
  </w:abstractNum>
  <w:abstractNum w:abstractNumId="268" w15:restartNumberingAfterBreak="0">
    <w:nsid w:val="56DF7A1F"/>
    <w:multiLevelType w:val="hybridMultilevel"/>
    <w:tmpl w:val="108E66D0"/>
    <w:lvl w:ilvl="0" w:tplc="3D1A99AA">
      <w:start w:val="1"/>
      <w:numFmt w:val="lowerLetter"/>
      <w:lvlText w:val="%1)"/>
      <w:lvlJc w:val="left"/>
      <w:pPr>
        <w:tabs>
          <w:tab w:val="num" w:pos="1626"/>
        </w:tabs>
        <w:ind w:left="0" w:firstLine="0"/>
      </w:pPr>
      <w:rPr>
        <w:rFonts w:hint="default"/>
      </w:rPr>
    </w:lvl>
    <w:lvl w:ilvl="1" w:tplc="04150017">
      <w:start w:val="1"/>
      <w:numFmt w:val="lowerLetter"/>
      <w:lvlText w:val="%2)"/>
      <w:lvlJc w:val="left"/>
      <w:pPr>
        <w:ind w:left="1440" w:hanging="360"/>
      </w:pPr>
    </w:lvl>
    <w:lvl w:ilvl="2" w:tplc="9498F4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57397F60"/>
    <w:multiLevelType w:val="hybridMultilevel"/>
    <w:tmpl w:val="8EC24C1E"/>
    <w:lvl w:ilvl="0" w:tplc="69FEAE22">
      <w:start w:val="11"/>
      <w:numFmt w:val="decimal"/>
      <w:lvlText w:val="%1)"/>
      <w:lvlJc w:val="left"/>
      <w:pPr>
        <w:ind w:left="638" w:hanging="422"/>
        <w:jc w:val="right"/>
      </w:pPr>
      <w:rPr>
        <w:rFonts w:hint="default"/>
        <w:w w:val="105"/>
      </w:rPr>
    </w:lvl>
    <w:lvl w:ilvl="1" w:tplc="E66A1BEA">
      <w:start w:val="1"/>
      <w:numFmt w:val="lowerLetter"/>
      <w:lvlText w:val="%2)"/>
      <w:lvlJc w:val="left"/>
      <w:pPr>
        <w:ind w:left="968" w:hanging="340"/>
      </w:pPr>
      <w:rPr>
        <w:rFonts w:hint="default"/>
        <w:spacing w:val="-1"/>
        <w:w w:val="106"/>
      </w:rPr>
    </w:lvl>
    <w:lvl w:ilvl="2" w:tplc="6A0270B2">
      <w:start w:val="1"/>
      <w:numFmt w:val="lowerLetter"/>
      <w:lvlText w:val="%3)"/>
      <w:lvlJc w:val="left"/>
      <w:pPr>
        <w:ind w:left="3846" w:hanging="328"/>
        <w:jc w:val="right"/>
      </w:pPr>
      <w:rPr>
        <w:rFonts w:hint="default"/>
        <w:spacing w:val="-1"/>
        <w:w w:val="109"/>
      </w:rPr>
    </w:lvl>
    <w:lvl w:ilvl="3" w:tplc="CA32704A">
      <w:numFmt w:val="bullet"/>
      <w:lvlText w:val="•"/>
      <w:lvlJc w:val="left"/>
      <w:pPr>
        <w:ind w:left="1020" w:hanging="328"/>
      </w:pPr>
      <w:rPr>
        <w:rFonts w:hint="default"/>
      </w:rPr>
    </w:lvl>
    <w:lvl w:ilvl="4" w:tplc="6874A74C">
      <w:numFmt w:val="bullet"/>
      <w:lvlText w:val="•"/>
      <w:lvlJc w:val="left"/>
      <w:pPr>
        <w:ind w:left="1040" w:hanging="328"/>
      </w:pPr>
      <w:rPr>
        <w:rFonts w:hint="default"/>
      </w:rPr>
    </w:lvl>
    <w:lvl w:ilvl="5" w:tplc="7C2AB88C">
      <w:numFmt w:val="bullet"/>
      <w:lvlText w:val="•"/>
      <w:lvlJc w:val="left"/>
      <w:pPr>
        <w:ind w:left="1060" w:hanging="328"/>
      </w:pPr>
      <w:rPr>
        <w:rFonts w:hint="default"/>
      </w:rPr>
    </w:lvl>
    <w:lvl w:ilvl="6" w:tplc="44888C60">
      <w:numFmt w:val="bullet"/>
      <w:lvlText w:val="•"/>
      <w:lvlJc w:val="left"/>
      <w:pPr>
        <w:ind w:left="1080" w:hanging="328"/>
      </w:pPr>
      <w:rPr>
        <w:rFonts w:hint="default"/>
      </w:rPr>
    </w:lvl>
    <w:lvl w:ilvl="7" w:tplc="E362E7F0">
      <w:numFmt w:val="bullet"/>
      <w:lvlText w:val="•"/>
      <w:lvlJc w:val="left"/>
      <w:pPr>
        <w:ind w:left="1220" w:hanging="328"/>
      </w:pPr>
      <w:rPr>
        <w:rFonts w:hint="default"/>
      </w:rPr>
    </w:lvl>
    <w:lvl w:ilvl="8" w:tplc="88AA5308">
      <w:numFmt w:val="bullet"/>
      <w:lvlText w:val="•"/>
      <w:lvlJc w:val="left"/>
      <w:pPr>
        <w:ind w:left="1260" w:hanging="328"/>
      </w:pPr>
      <w:rPr>
        <w:rFonts w:hint="default"/>
      </w:rPr>
    </w:lvl>
  </w:abstractNum>
  <w:abstractNum w:abstractNumId="270" w15:restartNumberingAfterBreak="0">
    <w:nsid w:val="57A93F83"/>
    <w:multiLevelType w:val="hybridMultilevel"/>
    <w:tmpl w:val="17DCC436"/>
    <w:lvl w:ilvl="0" w:tplc="25F8252A">
      <w:start w:val="1"/>
      <w:numFmt w:val="ordinal"/>
      <w:lvlText w:val="3.18.%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588230A4"/>
    <w:multiLevelType w:val="hybridMultilevel"/>
    <w:tmpl w:val="6BF04D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589D58FC"/>
    <w:multiLevelType w:val="hybridMultilevel"/>
    <w:tmpl w:val="A13296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59042798"/>
    <w:multiLevelType w:val="hybridMultilevel"/>
    <w:tmpl w:val="514AE35A"/>
    <w:lvl w:ilvl="0" w:tplc="8CB81B72">
      <w:start w:val="6"/>
      <w:numFmt w:val="decimal"/>
      <w:lvlText w:val="%1."/>
      <w:lvlJc w:val="left"/>
      <w:pPr>
        <w:ind w:left="1048" w:hanging="347"/>
      </w:pPr>
      <w:rPr>
        <w:rFonts w:hint="default"/>
        <w:w w:val="107"/>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59531B08"/>
    <w:multiLevelType w:val="hybridMultilevel"/>
    <w:tmpl w:val="8CB6CC1C"/>
    <w:lvl w:ilvl="0" w:tplc="95AC750C">
      <w:start w:val="3"/>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597E769A"/>
    <w:multiLevelType w:val="hybridMultilevel"/>
    <w:tmpl w:val="6AF47C30"/>
    <w:lvl w:ilvl="0" w:tplc="D0D89E24">
      <w:start w:val="1"/>
      <w:numFmt w:val="lowerLetter"/>
      <w:lvlText w:val="%1)"/>
      <w:lvlJc w:val="left"/>
      <w:pPr>
        <w:ind w:left="712" w:hanging="348"/>
        <w:jc w:val="right"/>
      </w:pPr>
      <w:rPr>
        <w:rFonts w:hint="default"/>
        <w:spacing w:val="-1"/>
        <w:w w:val="106"/>
      </w:rPr>
    </w:lvl>
    <w:lvl w:ilvl="1" w:tplc="36303BCC">
      <w:numFmt w:val="bullet"/>
      <w:lvlText w:val="•"/>
      <w:lvlJc w:val="left"/>
      <w:pPr>
        <w:ind w:left="1291" w:hanging="348"/>
      </w:pPr>
      <w:rPr>
        <w:rFonts w:hint="default"/>
      </w:rPr>
    </w:lvl>
    <w:lvl w:ilvl="2" w:tplc="683C3354">
      <w:numFmt w:val="bullet"/>
      <w:lvlText w:val="•"/>
      <w:lvlJc w:val="left"/>
      <w:pPr>
        <w:ind w:left="1862" w:hanging="348"/>
      </w:pPr>
      <w:rPr>
        <w:rFonts w:hint="default"/>
      </w:rPr>
    </w:lvl>
    <w:lvl w:ilvl="3" w:tplc="8334C672">
      <w:numFmt w:val="bullet"/>
      <w:lvlText w:val="•"/>
      <w:lvlJc w:val="left"/>
      <w:pPr>
        <w:ind w:left="2433" w:hanging="348"/>
      </w:pPr>
      <w:rPr>
        <w:rFonts w:hint="default"/>
      </w:rPr>
    </w:lvl>
    <w:lvl w:ilvl="4" w:tplc="92262000">
      <w:numFmt w:val="bullet"/>
      <w:lvlText w:val="•"/>
      <w:lvlJc w:val="left"/>
      <w:pPr>
        <w:ind w:left="3004" w:hanging="348"/>
      </w:pPr>
      <w:rPr>
        <w:rFonts w:hint="default"/>
      </w:rPr>
    </w:lvl>
    <w:lvl w:ilvl="5" w:tplc="FF10CA74">
      <w:numFmt w:val="bullet"/>
      <w:lvlText w:val="•"/>
      <w:lvlJc w:val="left"/>
      <w:pPr>
        <w:ind w:left="3575" w:hanging="348"/>
      </w:pPr>
      <w:rPr>
        <w:rFonts w:hint="default"/>
      </w:rPr>
    </w:lvl>
    <w:lvl w:ilvl="6" w:tplc="56B6F61A">
      <w:numFmt w:val="bullet"/>
      <w:lvlText w:val="•"/>
      <w:lvlJc w:val="left"/>
      <w:pPr>
        <w:ind w:left="4146" w:hanging="348"/>
      </w:pPr>
      <w:rPr>
        <w:rFonts w:hint="default"/>
      </w:rPr>
    </w:lvl>
    <w:lvl w:ilvl="7" w:tplc="D0A02206">
      <w:numFmt w:val="bullet"/>
      <w:lvlText w:val="•"/>
      <w:lvlJc w:val="left"/>
      <w:pPr>
        <w:ind w:left="4717" w:hanging="348"/>
      </w:pPr>
      <w:rPr>
        <w:rFonts w:hint="default"/>
      </w:rPr>
    </w:lvl>
    <w:lvl w:ilvl="8" w:tplc="C0A4D112">
      <w:numFmt w:val="bullet"/>
      <w:lvlText w:val="•"/>
      <w:lvlJc w:val="left"/>
      <w:pPr>
        <w:ind w:left="5288" w:hanging="348"/>
      </w:pPr>
      <w:rPr>
        <w:rFonts w:hint="default"/>
      </w:rPr>
    </w:lvl>
  </w:abstractNum>
  <w:abstractNum w:abstractNumId="276" w15:restartNumberingAfterBreak="0">
    <w:nsid w:val="5A0D5C8E"/>
    <w:multiLevelType w:val="hybridMultilevel"/>
    <w:tmpl w:val="266C5E4E"/>
    <w:lvl w:ilvl="0" w:tplc="8ACE82F6">
      <w:start w:val="10"/>
      <w:numFmt w:val="decimal"/>
      <w:lvlText w:val="%1)"/>
      <w:lvlJc w:val="right"/>
      <w:pPr>
        <w:ind w:left="1478" w:hanging="1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5AFE1A68"/>
    <w:multiLevelType w:val="hybridMultilevel"/>
    <w:tmpl w:val="4DDA2F82"/>
    <w:lvl w:ilvl="0" w:tplc="1B3AF888">
      <w:start w:val="1"/>
      <w:numFmt w:val="lowerLetter"/>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8" w15:restartNumberingAfterBreak="0">
    <w:nsid w:val="5B9059E5"/>
    <w:multiLevelType w:val="hybridMultilevel"/>
    <w:tmpl w:val="8E82BD6E"/>
    <w:lvl w:ilvl="0" w:tplc="57C45F62">
      <w:start w:val="1"/>
      <w:numFmt w:val="decimal"/>
      <w:lvlText w:val="II.3.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5C573C1C"/>
    <w:multiLevelType w:val="hybridMultilevel"/>
    <w:tmpl w:val="6FB87696"/>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80" w15:restartNumberingAfterBreak="0">
    <w:nsid w:val="5C5C0B14"/>
    <w:multiLevelType w:val="hybridMultilevel"/>
    <w:tmpl w:val="547C8830"/>
    <w:lvl w:ilvl="0" w:tplc="2416CC78">
      <w:start w:val="3"/>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5E411BA0"/>
    <w:multiLevelType w:val="hybridMultilevel"/>
    <w:tmpl w:val="0C1E28B8"/>
    <w:lvl w:ilvl="0" w:tplc="654C7408">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5EF767C6"/>
    <w:multiLevelType w:val="hybridMultilevel"/>
    <w:tmpl w:val="3CC6FAC4"/>
    <w:lvl w:ilvl="0" w:tplc="A8DCAF0E">
      <w:start w:val="1"/>
      <w:numFmt w:val="decimal"/>
      <w:lvlText w:val="II.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60210BE1"/>
    <w:multiLevelType w:val="multilevel"/>
    <w:tmpl w:val="DEE4631C"/>
    <w:lvl w:ilvl="0">
      <w:start w:val="4"/>
      <w:numFmt w:val="upperRoman"/>
      <w:lvlText w:val="%1"/>
      <w:lvlJc w:val="left"/>
      <w:pPr>
        <w:ind w:left="2610" w:hanging="1085"/>
      </w:pPr>
      <w:rPr>
        <w:rFonts w:hint="default"/>
      </w:rPr>
    </w:lvl>
    <w:lvl w:ilvl="1">
      <w:start w:val="3"/>
      <w:numFmt w:val="decimal"/>
      <w:lvlText w:val="%1.%2"/>
      <w:lvlJc w:val="left"/>
      <w:pPr>
        <w:ind w:left="2610" w:hanging="1085"/>
      </w:pPr>
      <w:rPr>
        <w:rFonts w:hint="default"/>
      </w:rPr>
    </w:lvl>
    <w:lvl w:ilvl="2">
      <w:start w:val="7"/>
      <w:numFmt w:val="decimal"/>
      <w:lvlText w:val="IV.3.5.%3."/>
      <w:lvlJc w:val="left"/>
      <w:pPr>
        <w:ind w:left="1885" w:hanging="360"/>
      </w:pPr>
      <w:rPr>
        <w:rFonts w:hint="default"/>
      </w:rPr>
    </w:lvl>
    <w:lvl w:ilvl="3">
      <w:start w:val="2"/>
      <w:numFmt w:val="decimal"/>
      <w:lvlText w:val="%1.%2.%3.%4."/>
      <w:lvlJc w:val="left"/>
      <w:pPr>
        <w:ind w:left="2610" w:hanging="1085"/>
      </w:pPr>
      <w:rPr>
        <w:rFonts w:ascii="Times New Roman" w:eastAsia="Times New Roman" w:hAnsi="Times New Roman" w:cs="Times New Roman" w:hint="default"/>
        <w:color w:val="494949"/>
        <w:w w:val="104"/>
        <w:sz w:val="22"/>
        <w:szCs w:val="22"/>
      </w:rPr>
    </w:lvl>
    <w:lvl w:ilvl="4">
      <w:start w:val="1"/>
      <w:numFmt w:val="upperRoman"/>
      <w:lvlText w:val="%5)"/>
      <w:lvlJc w:val="left"/>
      <w:pPr>
        <w:ind w:left="2892" w:hanging="245"/>
      </w:pPr>
      <w:rPr>
        <w:rFonts w:ascii="Times New Roman" w:eastAsia="Times New Roman" w:hAnsi="Times New Roman" w:cs="Times New Roman" w:hint="default"/>
        <w:color w:val="494949"/>
        <w:w w:val="104"/>
        <w:sz w:val="20"/>
        <w:szCs w:val="20"/>
      </w:rPr>
    </w:lvl>
    <w:lvl w:ilvl="5">
      <w:numFmt w:val="bullet"/>
      <w:lvlText w:val="•"/>
      <w:lvlJc w:val="left"/>
      <w:pPr>
        <w:ind w:left="6748" w:hanging="245"/>
      </w:pPr>
      <w:rPr>
        <w:rFonts w:hint="default"/>
      </w:rPr>
    </w:lvl>
    <w:lvl w:ilvl="6">
      <w:numFmt w:val="bullet"/>
      <w:lvlText w:val="•"/>
      <w:lvlJc w:val="left"/>
      <w:pPr>
        <w:ind w:left="7711" w:hanging="245"/>
      </w:pPr>
      <w:rPr>
        <w:rFonts w:hint="default"/>
      </w:rPr>
    </w:lvl>
    <w:lvl w:ilvl="7">
      <w:numFmt w:val="bullet"/>
      <w:lvlText w:val="•"/>
      <w:lvlJc w:val="left"/>
      <w:pPr>
        <w:ind w:left="8673" w:hanging="245"/>
      </w:pPr>
      <w:rPr>
        <w:rFonts w:hint="default"/>
      </w:rPr>
    </w:lvl>
    <w:lvl w:ilvl="8">
      <w:numFmt w:val="bullet"/>
      <w:lvlText w:val="•"/>
      <w:lvlJc w:val="left"/>
      <w:pPr>
        <w:ind w:left="9635" w:hanging="245"/>
      </w:pPr>
      <w:rPr>
        <w:rFonts w:hint="default"/>
      </w:rPr>
    </w:lvl>
  </w:abstractNum>
  <w:abstractNum w:abstractNumId="284" w15:restartNumberingAfterBreak="0">
    <w:nsid w:val="6050245C"/>
    <w:multiLevelType w:val="hybridMultilevel"/>
    <w:tmpl w:val="1CEA83D2"/>
    <w:lvl w:ilvl="0" w:tplc="B226D7E6">
      <w:start w:val="1"/>
      <w:numFmt w:val="decimal"/>
      <w:lvlText w:val="%1."/>
      <w:lvlJc w:val="left"/>
      <w:pPr>
        <w:ind w:left="1588" w:hanging="341"/>
        <w:jc w:val="right"/>
      </w:pPr>
      <w:rPr>
        <w:rFonts w:hint="default"/>
        <w:w w:val="105"/>
      </w:rPr>
    </w:lvl>
    <w:lvl w:ilvl="1" w:tplc="AFEEC50A">
      <w:start w:val="1"/>
      <w:numFmt w:val="decimal"/>
      <w:lvlText w:val="%2)"/>
      <w:lvlJc w:val="left"/>
      <w:pPr>
        <w:ind w:left="1866" w:hanging="345"/>
      </w:pPr>
      <w:rPr>
        <w:rFonts w:ascii="Times New Roman" w:eastAsia="Times New Roman" w:hAnsi="Times New Roman" w:cs="Times New Roman" w:hint="default"/>
        <w:color w:val="525252"/>
        <w:w w:val="106"/>
        <w:sz w:val="24"/>
        <w:szCs w:val="24"/>
      </w:rPr>
    </w:lvl>
    <w:lvl w:ilvl="2" w:tplc="F1DAF862">
      <w:numFmt w:val="bullet"/>
      <w:lvlText w:val="•"/>
      <w:lvlJc w:val="left"/>
      <w:pPr>
        <w:ind w:left="2717" w:hanging="345"/>
      </w:pPr>
      <w:rPr>
        <w:rFonts w:hint="default"/>
      </w:rPr>
    </w:lvl>
    <w:lvl w:ilvl="3" w:tplc="5C5226C4">
      <w:numFmt w:val="bullet"/>
      <w:lvlText w:val="•"/>
      <w:lvlJc w:val="left"/>
      <w:pPr>
        <w:ind w:left="3575" w:hanging="345"/>
      </w:pPr>
      <w:rPr>
        <w:rFonts w:hint="default"/>
      </w:rPr>
    </w:lvl>
    <w:lvl w:ilvl="4" w:tplc="8A624B72">
      <w:numFmt w:val="bullet"/>
      <w:lvlText w:val="•"/>
      <w:lvlJc w:val="left"/>
      <w:pPr>
        <w:ind w:left="4433" w:hanging="345"/>
      </w:pPr>
      <w:rPr>
        <w:rFonts w:hint="default"/>
      </w:rPr>
    </w:lvl>
    <w:lvl w:ilvl="5" w:tplc="B394E45A">
      <w:numFmt w:val="bullet"/>
      <w:lvlText w:val="•"/>
      <w:lvlJc w:val="left"/>
      <w:pPr>
        <w:ind w:left="5291" w:hanging="345"/>
      </w:pPr>
      <w:rPr>
        <w:rFonts w:hint="default"/>
      </w:rPr>
    </w:lvl>
    <w:lvl w:ilvl="6" w:tplc="07300586">
      <w:numFmt w:val="bullet"/>
      <w:lvlText w:val="•"/>
      <w:lvlJc w:val="left"/>
      <w:pPr>
        <w:ind w:left="6148" w:hanging="345"/>
      </w:pPr>
      <w:rPr>
        <w:rFonts w:hint="default"/>
      </w:rPr>
    </w:lvl>
    <w:lvl w:ilvl="7" w:tplc="4642D3EA">
      <w:numFmt w:val="bullet"/>
      <w:lvlText w:val="•"/>
      <w:lvlJc w:val="left"/>
      <w:pPr>
        <w:ind w:left="7006" w:hanging="345"/>
      </w:pPr>
      <w:rPr>
        <w:rFonts w:hint="default"/>
      </w:rPr>
    </w:lvl>
    <w:lvl w:ilvl="8" w:tplc="77D6B23E">
      <w:numFmt w:val="bullet"/>
      <w:lvlText w:val="•"/>
      <w:lvlJc w:val="left"/>
      <w:pPr>
        <w:ind w:left="7864" w:hanging="345"/>
      </w:pPr>
      <w:rPr>
        <w:rFonts w:hint="default"/>
      </w:rPr>
    </w:lvl>
  </w:abstractNum>
  <w:abstractNum w:abstractNumId="285" w15:restartNumberingAfterBreak="0">
    <w:nsid w:val="606D78BD"/>
    <w:multiLevelType w:val="hybridMultilevel"/>
    <w:tmpl w:val="BFEC6F8E"/>
    <w:lvl w:ilvl="0" w:tplc="2F00A236">
      <w:start w:val="1"/>
      <w:numFmt w:val="lowerLetter"/>
      <w:lvlText w:val="%1)"/>
      <w:lvlJc w:val="left"/>
      <w:pPr>
        <w:tabs>
          <w:tab w:val="num" w:pos="1626"/>
        </w:tabs>
        <w:ind w:left="0" w:firstLine="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0987831"/>
    <w:multiLevelType w:val="hybridMultilevel"/>
    <w:tmpl w:val="98F6A6D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60C10896"/>
    <w:multiLevelType w:val="hybridMultilevel"/>
    <w:tmpl w:val="37ECA244"/>
    <w:lvl w:ilvl="0" w:tplc="74185420">
      <w:start w:val="1"/>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61CC0CEF"/>
    <w:multiLevelType w:val="hybridMultilevel"/>
    <w:tmpl w:val="7522FCEE"/>
    <w:lvl w:ilvl="0" w:tplc="F67C8862">
      <w:start w:val="1"/>
      <w:numFmt w:val="decimal"/>
      <w:lvlText w:val="%1)"/>
      <w:lvlJc w:val="left"/>
      <w:pPr>
        <w:ind w:left="1040" w:hanging="360"/>
      </w:pPr>
      <w:rPr>
        <w:rFonts w:ascii="Times New Roman" w:eastAsia="Times New Roman" w:hAnsi="Times New Roman" w:cs="Times New Roman" w:hint="default"/>
        <w:color w:val="000000" w:themeColor="text1"/>
        <w:w w:val="1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295378A"/>
    <w:multiLevelType w:val="hybridMultilevel"/>
    <w:tmpl w:val="293EB06C"/>
    <w:lvl w:ilvl="0" w:tplc="499AE5E0">
      <w:start w:val="18"/>
      <w:numFmt w:val="decimal"/>
      <w:lvlText w:val="I.1.%1."/>
      <w:lvlJc w:val="left"/>
      <w:pPr>
        <w:ind w:left="1852" w:hanging="360"/>
      </w:pPr>
      <w:rPr>
        <w:rFonts w:hint="default"/>
      </w:rPr>
    </w:lvl>
    <w:lvl w:ilvl="1" w:tplc="5CA6E28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62C564D2"/>
    <w:multiLevelType w:val="hybridMultilevel"/>
    <w:tmpl w:val="62AA7FB8"/>
    <w:lvl w:ilvl="0" w:tplc="E5BC1AF6">
      <w:start w:val="1"/>
      <w:numFmt w:val="decimal"/>
      <w:lvlText w:val="%1."/>
      <w:lvlJc w:val="left"/>
      <w:pPr>
        <w:ind w:left="1058" w:hanging="360"/>
      </w:pPr>
      <w:rPr>
        <w:rFonts w:ascii="Times New Roman" w:eastAsia="Times New Roman" w:hAnsi="Times New Roman" w:cs="Times New Roman" w:hint="default"/>
        <w:b/>
        <w:bCs/>
        <w:i/>
        <w:spacing w:val="-60"/>
        <w:w w:val="99"/>
        <w:sz w:val="24"/>
        <w:szCs w:val="24"/>
        <w:lang w:val="pl-PL" w:eastAsia="pl-PL" w:bidi="pl-PL"/>
      </w:rPr>
    </w:lvl>
    <w:lvl w:ilvl="1" w:tplc="A6EE8F8E">
      <w:start w:val="3"/>
      <w:numFmt w:val="decimal"/>
      <w:lvlText w:val="%2)"/>
      <w:lvlJc w:val="left"/>
      <w:pPr>
        <w:ind w:left="2182" w:hanging="360"/>
        <w:jc w:val="right"/>
      </w:pPr>
      <w:rPr>
        <w:rFonts w:ascii="Times New Roman" w:eastAsia="Times New Roman" w:hAnsi="Times New Roman" w:cs="Times New Roman" w:hint="default"/>
        <w:spacing w:val="-20"/>
        <w:w w:val="99"/>
        <w:sz w:val="24"/>
        <w:szCs w:val="24"/>
        <w:lang w:val="pl-PL" w:eastAsia="pl-PL" w:bidi="pl-PL"/>
      </w:rPr>
    </w:lvl>
    <w:lvl w:ilvl="2" w:tplc="50124358">
      <w:start w:val="1"/>
      <w:numFmt w:val="lowerLetter"/>
      <w:lvlText w:val="%3)"/>
      <w:lvlJc w:val="left"/>
      <w:pPr>
        <w:ind w:left="2678" w:hanging="360"/>
      </w:pPr>
      <w:rPr>
        <w:rFonts w:ascii="Times New Roman" w:eastAsia="Times New Roman" w:hAnsi="Times New Roman" w:cs="Times New Roman"/>
        <w:spacing w:val="-6"/>
        <w:w w:val="99"/>
        <w:sz w:val="24"/>
        <w:szCs w:val="24"/>
        <w:lang w:val="pl-PL" w:eastAsia="pl-PL" w:bidi="pl-PL"/>
      </w:rPr>
    </w:lvl>
    <w:lvl w:ilvl="3" w:tplc="4B1AB774">
      <w:numFmt w:val="bullet"/>
      <w:lvlText w:val="•"/>
      <w:lvlJc w:val="left"/>
      <w:pPr>
        <w:ind w:left="3640" w:hanging="360"/>
      </w:pPr>
      <w:rPr>
        <w:rFonts w:hint="default"/>
        <w:lang w:val="pl-PL" w:eastAsia="pl-PL" w:bidi="pl-PL"/>
      </w:rPr>
    </w:lvl>
    <w:lvl w:ilvl="4" w:tplc="7A86D68E">
      <w:numFmt w:val="bullet"/>
      <w:lvlText w:val="•"/>
      <w:lvlJc w:val="left"/>
      <w:pPr>
        <w:ind w:left="4601" w:hanging="360"/>
      </w:pPr>
      <w:rPr>
        <w:rFonts w:hint="default"/>
        <w:lang w:val="pl-PL" w:eastAsia="pl-PL" w:bidi="pl-PL"/>
      </w:rPr>
    </w:lvl>
    <w:lvl w:ilvl="5" w:tplc="9DE28A04">
      <w:numFmt w:val="bullet"/>
      <w:lvlText w:val="•"/>
      <w:lvlJc w:val="left"/>
      <w:pPr>
        <w:ind w:left="5562" w:hanging="360"/>
      </w:pPr>
      <w:rPr>
        <w:rFonts w:hint="default"/>
        <w:lang w:val="pl-PL" w:eastAsia="pl-PL" w:bidi="pl-PL"/>
      </w:rPr>
    </w:lvl>
    <w:lvl w:ilvl="6" w:tplc="6500288C">
      <w:numFmt w:val="bullet"/>
      <w:lvlText w:val="•"/>
      <w:lvlJc w:val="left"/>
      <w:pPr>
        <w:ind w:left="6523" w:hanging="360"/>
      </w:pPr>
      <w:rPr>
        <w:rFonts w:hint="default"/>
        <w:lang w:val="pl-PL" w:eastAsia="pl-PL" w:bidi="pl-PL"/>
      </w:rPr>
    </w:lvl>
    <w:lvl w:ilvl="7" w:tplc="CAD24DA2">
      <w:numFmt w:val="bullet"/>
      <w:lvlText w:val="•"/>
      <w:lvlJc w:val="left"/>
      <w:pPr>
        <w:ind w:left="7484" w:hanging="360"/>
      </w:pPr>
      <w:rPr>
        <w:rFonts w:hint="default"/>
        <w:lang w:val="pl-PL" w:eastAsia="pl-PL" w:bidi="pl-PL"/>
      </w:rPr>
    </w:lvl>
    <w:lvl w:ilvl="8" w:tplc="9B266C84">
      <w:numFmt w:val="bullet"/>
      <w:lvlText w:val="•"/>
      <w:lvlJc w:val="left"/>
      <w:pPr>
        <w:ind w:left="8444" w:hanging="360"/>
      </w:pPr>
      <w:rPr>
        <w:rFonts w:hint="default"/>
        <w:lang w:val="pl-PL" w:eastAsia="pl-PL" w:bidi="pl-PL"/>
      </w:rPr>
    </w:lvl>
  </w:abstractNum>
  <w:abstractNum w:abstractNumId="291" w15:restartNumberingAfterBreak="0">
    <w:nsid w:val="630C20F4"/>
    <w:multiLevelType w:val="hybridMultilevel"/>
    <w:tmpl w:val="5480333C"/>
    <w:lvl w:ilvl="0" w:tplc="B1AC8F9C">
      <w:start w:val="1"/>
      <w:numFmt w:val="lowerLetter"/>
      <w:lvlText w:val="%1)"/>
      <w:lvlJc w:val="left"/>
      <w:pPr>
        <w:ind w:left="1713" w:hanging="360"/>
      </w:pPr>
      <w:rPr>
        <w:rFonts w:eastAsia="Calibri" w:cs="Times New Roman" w:hint="default"/>
        <w:b w:val="0"/>
        <w:sz w:val="23"/>
        <w:u w:val="none"/>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92" w15:restartNumberingAfterBreak="0">
    <w:nsid w:val="634C2B28"/>
    <w:multiLevelType w:val="hybridMultilevel"/>
    <w:tmpl w:val="4D90F82E"/>
    <w:lvl w:ilvl="0" w:tplc="CF385132">
      <w:start w:val="1"/>
      <w:numFmt w:val="decimal"/>
      <w:lvlText w:val="%1)"/>
      <w:lvlJc w:val="left"/>
      <w:pPr>
        <w:ind w:left="1031" w:hanging="351"/>
      </w:pPr>
      <w:rPr>
        <w:rFonts w:ascii="Times New Roman" w:eastAsia="Times New Roman" w:hAnsi="Times New Roman" w:cs="Times New Roman" w:hint="default"/>
        <w:color w:val="000000" w:themeColor="text1"/>
        <w:w w:val="100"/>
        <w:sz w:val="23"/>
        <w:szCs w:val="23"/>
      </w:rPr>
    </w:lvl>
    <w:lvl w:ilvl="1" w:tplc="544E956A">
      <w:numFmt w:val="bullet"/>
      <w:lvlText w:val="•"/>
      <w:lvlJc w:val="left"/>
      <w:pPr>
        <w:ind w:left="1894" w:hanging="351"/>
      </w:pPr>
      <w:rPr>
        <w:rFonts w:hint="default"/>
      </w:rPr>
    </w:lvl>
    <w:lvl w:ilvl="2" w:tplc="A93254E8">
      <w:numFmt w:val="bullet"/>
      <w:lvlText w:val="•"/>
      <w:lvlJc w:val="left"/>
      <w:pPr>
        <w:ind w:left="2748" w:hanging="351"/>
      </w:pPr>
      <w:rPr>
        <w:rFonts w:hint="default"/>
      </w:rPr>
    </w:lvl>
    <w:lvl w:ilvl="3" w:tplc="9B8A7330">
      <w:numFmt w:val="bullet"/>
      <w:lvlText w:val="•"/>
      <w:lvlJc w:val="left"/>
      <w:pPr>
        <w:ind w:left="3602" w:hanging="351"/>
      </w:pPr>
      <w:rPr>
        <w:rFonts w:hint="default"/>
      </w:rPr>
    </w:lvl>
    <w:lvl w:ilvl="4" w:tplc="7BFE2EBE">
      <w:numFmt w:val="bullet"/>
      <w:lvlText w:val="•"/>
      <w:lvlJc w:val="left"/>
      <w:pPr>
        <w:ind w:left="4456" w:hanging="351"/>
      </w:pPr>
      <w:rPr>
        <w:rFonts w:hint="default"/>
      </w:rPr>
    </w:lvl>
    <w:lvl w:ilvl="5" w:tplc="A2DC4A6A">
      <w:numFmt w:val="bullet"/>
      <w:lvlText w:val="•"/>
      <w:lvlJc w:val="left"/>
      <w:pPr>
        <w:ind w:left="5310" w:hanging="351"/>
      </w:pPr>
      <w:rPr>
        <w:rFonts w:hint="default"/>
      </w:rPr>
    </w:lvl>
    <w:lvl w:ilvl="6" w:tplc="4B7E8984">
      <w:numFmt w:val="bullet"/>
      <w:lvlText w:val="•"/>
      <w:lvlJc w:val="left"/>
      <w:pPr>
        <w:ind w:left="6164" w:hanging="351"/>
      </w:pPr>
      <w:rPr>
        <w:rFonts w:hint="default"/>
      </w:rPr>
    </w:lvl>
    <w:lvl w:ilvl="7" w:tplc="FC225186">
      <w:numFmt w:val="bullet"/>
      <w:lvlText w:val="•"/>
      <w:lvlJc w:val="left"/>
      <w:pPr>
        <w:ind w:left="7018" w:hanging="351"/>
      </w:pPr>
      <w:rPr>
        <w:rFonts w:hint="default"/>
      </w:rPr>
    </w:lvl>
    <w:lvl w:ilvl="8" w:tplc="094ACC42">
      <w:numFmt w:val="bullet"/>
      <w:lvlText w:val="•"/>
      <w:lvlJc w:val="left"/>
      <w:pPr>
        <w:ind w:left="7872" w:hanging="351"/>
      </w:pPr>
      <w:rPr>
        <w:rFonts w:hint="default"/>
      </w:rPr>
    </w:lvl>
  </w:abstractNum>
  <w:abstractNum w:abstractNumId="293" w15:restartNumberingAfterBreak="0">
    <w:nsid w:val="63975FFB"/>
    <w:multiLevelType w:val="hybridMultilevel"/>
    <w:tmpl w:val="6B4CB582"/>
    <w:lvl w:ilvl="0" w:tplc="7D3615E6">
      <w:start w:val="1"/>
      <w:numFmt w:val="lowerLetter"/>
      <w:lvlText w:val="%1)"/>
      <w:lvlJc w:val="left"/>
      <w:pPr>
        <w:ind w:left="290" w:hanging="360"/>
      </w:pPr>
      <w:rPr>
        <w:rFonts w:hint="default"/>
      </w:rPr>
    </w:lvl>
    <w:lvl w:ilvl="1" w:tplc="04150019" w:tentative="1">
      <w:start w:val="1"/>
      <w:numFmt w:val="lowerLetter"/>
      <w:lvlText w:val="%2."/>
      <w:lvlJc w:val="left"/>
      <w:pPr>
        <w:ind w:left="1010" w:hanging="360"/>
      </w:pPr>
    </w:lvl>
    <w:lvl w:ilvl="2" w:tplc="0415001B" w:tentative="1">
      <w:start w:val="1"/>
      <w:numFmt w:val="lowerRoman"/>
      <w:lvlText w:val="%3."/>
      <w:lvlJc w:val="right"/>
      <w:pPr>
        <w:ind w:left="1730" w:hanging="180"/>
      </w:pPr>
    </w:lvl>
    <w:lvl w:ilvl="3" w:tplc="0415000F" w:tentative="1">
      <w:start w:val="1"/>
      <w:numFmt w:val="decimal"/>
      <w:lvlText w:val="%4."/>
      <w:lvlJc w:val="left"/>
      <w:pPr>
        <w:ind w:left="2450" w:hanging="360"/>
      </w:pPr>
    </w:lvl>
    <w:lvl w:ilvl="4" w:tplc="04150019" w:tentative="1">
      <w:start w:val="1"/>
      <w:numFmt w:val="lowerLetter"/>
      <w:lvlText w:val="%5."/>
      <w:lvlJc w:val="left"/>
      <w:pPr>
        <w:ind w:left="3170" w:hanging="360"/>
      </w:pPr>
    </w:lvl>
    <w:lvl w:ilvl="5" w:tplc="0415001B" w:tentative="1">
      <w:start w:val="1"/>
      <w:numFmt w:val="lowerRoman"/>
      <w:lvlText w:val="%6."/>
      <w:lvlJc w:val="right"/>
      <w:pPr>
        <w:ind w:left="3890" w:hanging="180"/>
      </w:pPr>
    </w:lvl>
    <w:lvl w:ilvl="6" w:tplc="0415000F" w:tentative="1">
      <w:start w:val="1"/>
      <w:numFmt w:val="decimal"/>
      <w:lvlText w:val="%7."/>
      <w:lvlJc w:val="left"/>
      <w:pPr>
        <w:ind w:left="4610" w:hanging="360"/>
      </w:pPr>
    </w:lvl>
    <w:lvl w:ilvl="7" w:tplc="04150019" w:tentative="1">
      <w:start w:val="1"/>
      <w:numFmt w:val="lowerLetter"/>
      <w:lvlText w:val="%8."/>
      <w:lvlJc w:val="left"/>
      <w:pPr>
        <w:ind w:left="5330" w:hanging="360"/>
      </w:pPr>
    </w:lvl>
    <w:lvl w:ilvl="8" w:tplc="0415001B" w:tentative="1">
      <w:start w:val="1"/>
      <w:numFmt w:val="lowerRoman"/>
      <w:lvlText w:val="%9."/>
      <w:lvlJc w:val="right"/>
      <w:pPr>
        <w:ind w:left="6050" w:hanging="180"/>
      </w:pPr>
    </w:lvl>
  </w:abstractNum>
  <w:abstractNum w:abstractNumId="294" w15:restartNumberingAfterBreak="0">
    <w:nsid w:val="6458517E"/>
    <w:multiLevelType w:val="hybridMultilevel"/>
    <w:tmpl w:val="F8A69D02"/>
    <w:lvl w:ilvl="0" w:tplc="08308CA2">
      <w:start w:val="1"/>
      <w:numFmt w:val="lowerLetter"/>
      <w:lvlText w:val="%1)"/>
      <w:lvlJc w:val="left"/>
      <w:pPr>
        <w:tabs>
          <w:tab w:val="num" w:pos="1626"/>
        </w:tabs>
        <w:ind w:left="0" w:firstLine="0"/>
      </w:pPr>
      <w:rPr>
        <w:rFonts w:hint="default"/>
      </w:rPr>
    </w:lvl>
    <w:lvl w:ilvl="1" w:tplc="051A2D4C">
      <w:start w:val="1"/>
      <w:numFmt w:val="decimal"/>
      <w:lvlText w:val="(%2)"/>
      <w:lvlJc w:val="left"/>
      <w:pPr>
        <w:ind w:left="1452" w:hanging="372"/>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4AD0928"/>
    <w:multiLevelType w:val="hybridMultilevel"/>
    <w:tmpl w:val="30AA60DA"/>
    <w:lvl w:ilvl="0" w:tplc="E5A6D67A">
      <w:start w:val="1"/>
      <w:numFmt w:val="lowerLetter"/>
      <w:lvlText w:val="%1)"/>
      <w:lvlJc w:val="left"/>
      <w:pPr>
        <w:ind w:left="1003" w:hanging="350"/>
      </w:pPr>
      <w:rPr>
        <w:rFonts w:ascii="Times New Roman" w:eastAsia="Times New Roman" w:hAnsi="Times New Roman" w:cs="Times New Roman" w:hint="default"/>
        <w:color w:val="4F4F4F"/>
        <w:spacing w:val="-1"/>
        <w:w w:val="101"/>
        <w:sz w:val="24"/>
        <w:szCs w:val="24"/>
      </w:rPr>
    </w:lvl>
    <w:lvl w:ilvl="1" w:tplc="D3E6DB3A">
      <w:numFmt w:val="bullet"/>
      <w:lvlText w:val="•"/>
      <w:lvlJc w:val="left"/>
      <w:pPr>
        <w:ind w:left="1858" w:hanging="350"/>
      </w:pPr>
      <w:rPr>
        <w:rFonts w:hint="default"/>
      </w:rPr>
    </w:lvl>
    <w:lvl w:ilvl="2" w:tplc="E64220AE">
      <w:numFmt w:val="bullet"/>
      <w:lvlText w:val="•"/>
      <w:lvlJc w:val="left"/>
      <w:pPr>
        <w:ind w:left="2716" w:hanging="350"/>
      </w:pPr>
      <w:rPr>
        <w:rFonts w:hint="default"/>
      </w:rPr>
    </w:lvl>
    <w:lvl w:ilvl="3" w:tplc="098A3876">
      <w:numFmt w:val="bullet"/>
      <w:lvlText w:val="•"/>
      <w:lvlJc w:val="left"/>
      <w:pPr>
        <w:ind w:left="3574" w:hanging="350"/>
      </w:pPr>
      <w:rPr>
        <w:rFonts w:hint="default"/>
      </w:rPr>
    </w:lvl>
    <w:lvl w:ilvl="4" w:tplc="665C7476">
      <w:numFmt w:val="bullet"/>
      <w:lvlText w:val="•"/>
      <w:lvlJc w:val="left"/>
      <w:pPr>
        <w:ind w:left="4432" w:hanging="350"/>
      </w:pPr>
      <w:rPr>
        <w:rFonts w:hint="default"/>
      </w:rPr>
    </w:lvl>
    <w:lvl w:ilvl="5" w:tplc="40823FE4">
      <w:numFmt w:val="bullet"/>
      <w:lvlText w:val="•"/>
      <w:lvlJc w:val="left"/>
      <w:pPr>
        <w:ind w:left="5290" w:hanging="350"/>
      </w:pPr>
      <w:rPr>
        <w:rFonts w:hint="default"/>
      </w:rPr>
    </w:lvl>
    <w:lvl w:ilvl="6" w:tplc="A36CE792">
      <w:numFmt w:val="bullet"/>
      <w:lvlText w:val="•"/>
      <w:lvlJc w:val="left"/>
      <w:pPr>
        <w:ind w:left="6148" w:hanging="350"/>
      </w:pPr>
      <w:rPr>
        <w:rFonts w:hint="default"/>
      </w:rPr>
    </w:lvl>
    <w:lvl w:ilvl="7" w:tplc="6824A506">
      <w:numFmt w:val="bullet"/>
      <w:lvlText w:val="•"/>
      <w:lvlJc w:val="left"/>
      <w:pPr>
        <w:ind w:left="7006" w:hanging="350"/>
      </w:pPr>
      <w:rPr>
        <w:rFonts w:hint="default"/>
      </w:rPr>
    </w:lvl>
    <w:lvl w:ilvl="8" w:tplc="83328678">
      <w:numFmt w:val="bullet"/>
      <w:lvlText w:val="•"/>
      <w:lvlJc w:val="left"/>
      <w:pPr>
        <w:ind w:left="7864" w:hanging="350"/>
      </w:pPr>
      <w:rPr>
        <w:rFonts w:hint="default"/>
      </w:rPr>
    </w:lvl>
  </w:abstractNum>
  <w:abstractNum w:abstractNumId="296" w15:restartNumberingAfterBreak="0">
    <w:nsid w:val="64E857B4"/>
    <w:multiLevelType w:val="hybridMultilevel"/>
    <w:tmpl w:val="76C02EC4"/>
    <w:lvl w:ilvl="0" w:tplc="886E6438">
      <w:start w:val="1"/>
      <w:numFmt w:val="decimal"/>
      <w:lvlText w:val="%1)"/>
      <w:lvlJc w:val="left"/>
      <w:pPr>
        <w:ind w:left="422"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5401881"/>
    <w:multiLevelType w:val="hybridMultilevel"/>
    <w:tmpl w:val="9A5ADF4E"/>
    <w:lvl w:ilvl="0" w:tplc="109C83A4">
      <w:start w:val="1"/>
      <w:numFmt w:val="decimal"/>
      <w:lvlText w:val="D.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56105E2"/>
    <w:multiLevelType w:val="multilevel"/>
    <w:tmpl w:val="9594BF48"/>
    <w:lvl w:ilvl="0">
      <w:start w:val="1"/>
      <w:numFmt w:val="low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lowerLetter"/>
      <w:lvlText w:val="%3."/>
      <w:lvlJc w:val="left"/>
      <w:pPr>
        <w:tabs>
          <w:tab w:val="num" w:pos="1080"/>
        </w:tabs>
        <w:ind w:left="1080" w:hanging="360"/>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9" w15:restartNumberingAfterBreak="0">
    <w:nsid w:val="660A6BA0"/>
    <w:multiLevelType w:val="hybridMultilevel"/>
    <w:tmpl w:val="43324998"/>
    <w:lvl w:ilvl="0" w:tplc="C48CB85A">
      <w:start w:val="1"/>
      <w:numFmt w:val="decimal"/>
      <w:lvlText w:val="%1)"/>
      <w:lvlJc w:val="righ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666E4DDD"/>
    <w:multiLevelType w:val="hybridMultilevel"/>
    <w:tmpl w:val="D4426C38"/>
    <w:lvl w:ilvl="0" w:tplc="43766ED8">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6730BD4"/>
    <w:multiLevelType w:val="hybridMultilevel"/>
    <w:tmpl w:val="4DECB2CC"/>
    <w:lvl w:ilvl="0" w:tplc="A8B2430E">
      <w:start w:val="1"/>
      <w:numFmt w:val="decimal"/>
      <w:lvlText w:val="II.1.%1."/>
      <w:lvlJc w:val="left"/>
      <w:pPr>
        <w:ind w:left="780" w:hanging="360"/>
      </w:pPr>
      <w:rPr>
        <w:rFonts w:hint="default"/>
        <w:color w:val="000000" w:themeColor="text1"/>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66D41594"/>
    <w:multiLevelType w:val="hybridMultilevel"/>
    <w:tmpl w:val="0B481F5A"/>
    <w:lvl w:ilvl="0" w:tplc="4EB00D6A">
      <w:start w:val="1"/>
      <w:numFmt w:val="decimal"/>
      <w:lvlText w:val="%1)"/>
      <w:lvlJc w:val="left"/>
      <w:pPr>
        <w:ind w:left="1061" w:hanging="367"/>
      </w:pPr>
      <w:rPr>
        <w:rFonts w:hint="default"/>
        <w:w w:val="9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672B2B58"/>
    <w:multiLevelType w:val="hybridMultilevel"/>
    <w:tmpl w:val="2174A128"/>
    <w:lvl w:ilvl="0" w:tplc="E8500352">
      <w:start w:val="2"/>
      <w:numFmt w:val="decimal"/>
      <w:lvlText w:val="11.1.%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679D3F6D"/>
    <w:multiLevelType w:val="hybridMultilevel"/>
    <w:tmpl w:val="2CF4EE16"/>
    <w:lvl w:ilvl="0" w:tplc="BBD2080A">
      <w:start w:val="1"/>
      <w:numFmt w:val="decimal"/>
      <w:lvlText w:val="%1)"/>
      <w:lvlJc w:val="right"/>
      <w:pPr>
        <w:tabs>
          <w:tab w:val="num" w:pos="1626"/>
        </w:tabs>
        <w:ind w:left="0" w:firstLine="0"/>
      </w:pPr>
      <w:rPr>
        <w:rFonts w:hint="default"/>
      </w:rPr>
    </w:lvl>
    <w:lvl w:ilvl="1" w:tplc="C75A5ACA">
      <w:start w:val="1"/>
      <w:numFmt w:val="lowerLetter"/>
      <w:lvlText w:val="%2)"/>
      <w:lvlJc w:val="left"/>
      <w:pPr>
        <w:ind w:left="1440" w:hanging="360"/>
      </w:pPr>
      <w:rPr>
        <w:rFonts w:hint="default"/>
      </w:rPr>
    </w:lvl>
    <w:lvl w:ilvl="2" w:tplc="49BE56F6">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8E30E9E"/>
    <w:multiLevelType w:val="hybridMultilevel"/>
    <w:tmpl w:val="069CCC72"/>
    <w:lvl w:ilvl="0" w:tplc="01184E18">
      <w:start w:val="1"/>
      <w:numFmt w:val="decimal"/>
      <w:lvlText w:val="(%1)"/>
      <w:lvlJc w:val="left"/>
      <w:pPr>
        <w:ind w:left="1440" w:hanging="360"/>
      </w:pPr>
      <w:rPr>
        <w:rFonts w:hint="default"/>
      </w:rPr>
    </w:lvl>
    <w:lvl w:ilvl="1" w:tplc="F384CC6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690656B8"/>
    <w:multiLevelType w:val="hybridMultilevel"/>
    <w:tmpl w:val="02A4C64A"/>
    <w:lvl w:ilvl="0" w:tplc="E90E46F0">
      <w:start w:val="1"/>
      <w:numFmt w:val="decimal"/>
      <w:lvlText w:val="V.%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69121D97"/>
    <w:multiLevelType w:val="multilevel"/>
    <w:tmpl w:val="56C66A7E"/>
    <w:lvl w:ilvl="0">
      <w:start w:val="10"/>
      <w:numFmt w:val="decimal"/>
      <w:lvlText w:val="%1"/>
      <w:lvlJc w:val="left"/>
      <w:pPr>
        <w:ind w:left="1077" w:hanging="514"/>
      </w:pPr>
      <w:rPr>
        <w:rFonts w:hint="default"/>
      </w:rPr>
    </w:lvl>
    <w:lvl w:ilvl="1">
      <w:start w:val="1"/>
      <w:numFmt w:val="decimal"/>
      <w:lvlText w:val="%1.%2."/>
      <w:lvlJc w:val="left"/>
      <w:pPr>
        <w:ind w:left="1077" w:hanging="514"/>
      </w:pPr>
      <w:rPr>
        <w:rFonts w:ascii="Times New Roman" w:eastAsia="Times New Roman" w:hAnsi="Times New Roman" w:cs="Times New Roman" w:hint="default"/>
        <w:b/>
        <w:bCs/>
        <w:color w:val="4F4F4F"/>
        <w:w w:val="102"/>
        <w:sz w:val="24"/>
        <w:szCs w:val="24"/>
      </w:rPr>
    </w:lvl>
    <w:lvl w:ilvl="2">
      <w:start w:val="1"/>
      <w:numFmt w:val="decimal"/>
      <w:lvlText w:val="%1.%2.%3."/>
      <w:lvlJc w:val="left"/>
      <w:rPr>
        <w:rFonts w:ascii="Times New Roman" w:eastAsia="Times New Roman" w:hAnsi="Times New Roman" w:cs="Times New Roman" w:hint="default"/>
        <w:color w:val="000000"/>
        <w:w w:val="108"/>
        <w:sz w:val="24"/>
        <w:szCs w:val="24"/>
      </w:rPr>
    </w:lvl>
    <w:lvl w:ilvl="3">
      <w:numFmt w:val="bullet"/>
      <w:lvlText w:val="•"/>
      <w:lvlJc w:val="left"/>
      <w:pPr>
        <w:ind w:left="3108" w:hanging="685"/>
      </w:pPr>
      <w:rPr>
        <w:rFonts w:hint="default"/>
      </w:rPr>
    </w:lvl>
    <w:lvl w:ilvl="4">
      <w:numFmt w:val="bullet"/>
      <w:lvlText w:val="•"/>
      <w:lvlJc w:val="left"/>
      <w:pPr>
        <w:ind w:left="4033" w:hanging="685"/>
      </w:pPr>
      <w:rPr>
        <w:rFonts w:hint="default"/>
      </w:rPr>
    </w:lvl>
    <w:lvl w:ilvl="5">
      <w:numFmt w:val="bullet"/>
      <w:lvlText w:val="•"/>
      <w:lvlJc w:val="left"/>
      <w:pPr>
        <w:ind w:left="4957" w:hanging="685"/>
      </w:pPr>
      <w:rPr>
        <w:rFonts w:hint="default"/>
      </w:rPr>
    </w:lvl>
    <w:lvl w:ilvl="6">
      <w:numFmt w:val="bullet"/>
      <w:lvlText w:val="•"/>
      <w:lvlJc w:val="left"/>
      <w:pPr>
        <w:ind w:left="5882" w:hanging="685"/>
      </w:pPr>
      <w:rPr>
        <w:rFonts w:hint="default"/>
      </w:rPr>
    </w:lvl>
    <w:lvl w:ilvl="7">
      <w:numFmt w:val="bullet"/>
      <w:lvlText w:val="•"/>
      <w:lvlJc w:val="left"/>
      <w:pPr>
        <w:ind w:left="6806" w:hanging="685"/>
      </w:pPr>
      <w:rPr>
        <w:rFonts w:hint="default"/>
      </w:rPr>
    </w:lvl>
    <w:lvl w:ilvl="8">
      <w:numFmt w:val="bullet"/>
      <w:lvlText w:val="•"/>
      <w:lvlJc w:val="left"/>
      <w:pPr>
        <w:ind w:left="7731" w:hanging="685"/>
      </w:pPr>
      <w:rPr>
        <w:rFonts w:hint="default"/>
      </w:rPr>
    </w:lvl>
  </w:abstractNum>
  <w:abstractNum w:abstractNumId="308" w15:restartNumberingAfterBreak="0">
    <w:nsid w:val="699B1DA0"/>
    <w:multiLevelType w:val="hybridMultilevel"/>
    <w:tmpl w:val="56F42A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69CE4239"/>
    <w:multiLevelType w:val="hybridMultilevel"/>
    <w:tmpl w:val="5FEE96D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6AD06E28"/>
    <w:multiLevelType w:val="hybridMultilevel"/>
    <w:tmpl w:val="803CE4E0"/>
    <w:lvl w:ilvl="0" w:tplc="90CC7CB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6AFC0229"/>
    <w:multiLevelType w:val="hybridMultilevel"/>
    <w:tmpl w:val="DF74F980"/>
    <w:lvl w:ilvl="0" w:tplc="DD5EDAE2">
      <w:start w:val="1"/>
      <w:numFmt w:val="decimal"/>
      <w:lvlText w:val="(%1.)"/>
      <w:lvlJc w:val="left"/>
      <w:pPr>
        <w:ind w:left="2520" w:hanging="360"/>
      </w:pPr>
      <w:rPr>
        <w:rFonts w:hint="default"/>
      </w:rPr>
    </w:lvl>
    <w:lvl w:ilvl="1" w:tplc="88BE8AD2">
      <w:start w:val="1"/>
      <w:numFmt w:val="decimal"/>
      <w:lvlText w:val="(%2)"/>
      <w:lvlJc w:val="left"/>
      <w:pPr>
        <w:ind w:left="2520" w:hanging="360"/>
      </w:pPr>
      <w:rPr>
        <w:rFonts w:hint="default"/>
      </w:r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12" w15:restartNumberingAfterBreak="0">
    <w:nsid w:val="6B1B3BFC"/>
    <w:multiLevelType w:val="hybridMultilevel"/>
    <w:tmpl w:val="B29EF6C0"/>
    <w:lvl w:ilvl="0" w:tplc="D8A60D1A">
      <w:start w:val="1"/>
      <w:numFmt w:val="lowerLetter"/>
      <w:lvlText w:val="%1)"/>
      <w:lvlJc w:val="left"/>
      <w:pPr>
        <w:ind w:left="669" w:hanging="345"/>
      </w:pPr>
      <w:rPr>
        <w:rFonts w:ascii="Times New Roman" w:eastAsia="Times New Roman" w:hAnsi="Times New Roman" w:cs="Times New Roman" w:hint="default"/>
        <w:color w:val="505050"/>
        <w:spacing w:val="-1"/>
        <w:w w:val="106"/>
        <w:sz w:val="24"/>
        <w:szCs w:val="24"/>
      </w:rPr>
    </w:lvl>
    <w:lvl w:ilvl="1" w:tplc="C4963B8A">
      <w:start w:val="2"/>
      <w:numFmt w:val="lowerLetter"/>
      <w:lvlText w:val="%2)"/>
      <w:lvlJc w:val="left"/>
      <w:rPr>
        <w:rFonts w:ascii="Times New Roman" w:eastAsia="Times New Roman" w:hAnsi="Times New Roman" w:cs="Times New Roman" w:hint="default"/>
        <w:color w:val="000000"/>
        <w:w w:val="106"/>
        <w:sz w:val="24"/>
        <w:szCs w:val="24"/>
      </w:rPr>
    </w:lvl>
    <w:lvl w:ilvl="2" w:tplc="471461AA">
      <w:numFmt w:val="bullet"/>
      <w:lvlText w:val="•"/>
      <w:lvlJc w:val="left"/>
      <w:pPr>
        <w:ind w:left="1880" w:hanging="257"/>
      </w:pPr>
      <w:rPr>
        <w:rFonts w:hint="default"/>
      </w:rPr>
    </w:lvl>
    <w:lvl w:ilvl="3" w:tplc="455066DE">
      <w:numFmt w:val="bullet"/>
      <w:lvlText w:val="•"/>
      <w:lvlJc w:val="left"/>
      <w:pPr>
        <w:ind w:left="2443" w:hanging="257"/>
      </w:pPr>
      <w:rPr>
        <w:rFonts w:hint="default"/>
      </w:rPr>
    </w:lvl>
    <w:lvl w:ilvl="4" w:tplc="B7CA3482">
      <w:numFmt w:val="bullet"/>
      <w:lvlText w:val="•"/>
      <w:lvlJc w:val="left"/>
      <w:pPr>
        <w:ind w:left="3007" w:hanging="257"/>
      </w:pPr>
      <w:rPr>
        <w:rFonts w:hint="default"/>
      </w:rPr>
    </w:lvl>
    <w:lvl w:ilvl="5" w:tplc="A87C3D04">
      <w:numFmt w:val="bullet"/>
      <w:lvlText w:val="•"/>
      <w:lvlJc w:val="left"/>
      <w:pPr>
        <w:ind w:left="3571" w:hanging="257"/>
      </w:pPr>
      <w:rPr>
        <w:rFonts w:hint="default"/>
      </w:rPr>
    </w:lvl>
    <w:lvl w:ilvl="6" w:tplc="4C3CEE08">
      <w:numFmt w:val="bullet"/>
      <w:lvlText w:val="•"/>
      <w:lvlJc w:val="left"/>
      <w:pPr>
        <w:ind w:left="4134" w:hanging="257"/>
      </w:pPr>
      <w:rPr>
        <w:rFonts w:hint="default"/>
      </w:rPr>
    </w:lvl>
    <w:lvl w:ilvl="7" w:tplc="55D8CDD6">
      <w:numFmt w:val="bullet"/>
      <w:lvlText w:val="•"/>
      <w:lvlJc w:val="left"/>
      <w:pPr>
        <w:ind w:left="4698" w:hanging="257"/>
      </w:pPr>
      <w:rPr>
        <w:rFonts w:hint="default"/>
      </w:rPr>
    </w:lvl>
    <w:lvl w:ilvl="8" w:tplc="0E8A25F6">
      <w:numFmt w:val="bullet"/>
      <w:lvlText w:val="•"/>
      <w:lvlJc w:val="left"/>
      <w:pPr>
        <w:ind w:left="5262" w:hanging="257"/>
      </w:pPr>
      <w:rPr>
        <w:rFonts w:hint="default"/>
      </w:rPr>
    </w:lvl>
  </w:abstractNum>
  <w:abstractNum w:abstractNumId="313" w15:restartNumberingAfterBreak="0">
    <w:nsid w:val="6B2941D8"/>
    <w:multiLevelType w:val="hybridMultilevel"/>
    <w:tmpl w:val="5FBE4F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6BAF5485"/>
    <w:multiLevelType w:val="hybridMultilevel"/>
    <w:tmpl w:val="EB665E48"/>
    <w:lvl w:ilvl="0" w:tplc="825C8C78">
      <w:start w:val="1"/>
      <w:numFmt w:val="bullet"/>
      <w:lvlText w:val=""/>
      <w:lvlJc w:val="left"/>
      <w:pPr>
        <w:ind w:left="1782" w:hanging="360"/>
      </w:pPr>
      <w:rPr>
        <w:rFonts w:ascii="Symbol" w:hAnsi="Symbol" w:hint="default"/>
      </w:rPr>
    </w:lvl>
    <w:lvl w:ilvl="1" w:tplc="04150003" w:tentative="1">
      <w:start w:val="1"/>
      <w:numFmt w:val="bullet"/>
      <w:lvlText w:val="o"/>
      <w:lvlJc w:val="left"/>
      <w:pPr>
        <w:ind w:left="2502" w:hanging="360"/>
      </w:pPr>
      <w:rPr>
        <w:rFonts w:ascii="Courier New" w:hAnsi="Courier New" w:cs="Courier New" w:hint="default"/>
      </w:rPr>
    </w:lvl>
    <w:lvl w:ilvl="2" w:tplc="04150005" w:tentative="1">
      <w:start w:val="1"/>
      <w:numFmt w:val="bullet"/>
      <w:lvlText w:val=""/>
      <w:lvlJc w:val="left"/>
      <w:pPr>
        <w:ind w:left="3222" w:hanging="360"/>
      </w:pPr>
      <w:rPr>
        <w:rFonts w:ascii="Wingdings" w:hAnsi="Wingdings" w:hint="default"/>
      </w:rPr>
    </w:lvl>
    <w:lvl w:ilvl="3" w:tplc="04150001" w:tentative="1">
      <w:start w:val="1"/>
      <w:numFmt w:val="bullet"/>
      <w:lvlText w:val=""/>
      <w:lvlJc w:val="left"/>
      <w:pPr>
        <w:ind w:left="3942" w:hanging="360"/>
      </w:pPr>
      <w:rPr>
        <w:rFonts w:ascii="Symbol" w:hAnsi="Symbol" w:hint="default"/>
      </w:rPr>
    </w:lvl>
    <w:lvl w:ilvl="4" w:tplc="04150003" w:tentative="1">
      <w:start w:val="1"/>
      <w:numFmt w:val="bullet"/>
      <w:lvlText w:val="o"/>
      <w:lvlJc w:val="left"/>
      <w:pPr>
        <w:ind w:left="4662" w:hanging="360"/>
      </w:pPr>
      <w:rPr>
        <w:rFonts w:ascii="Courier New" w:hAnsi="Courier New" w:cs="Courier New" w:hint="default"/>
      </w:rPr>
    </w:lvl>
    <w:lvl w:ilvl="5" w:tplc="04150005" w:tentative="1">
      <w:start w:val="1"/>
      <w:numFmt w:val="bullet"/>
      <w:lvlText w:val=""/>
      <w:lvlJc w:val="left"/>
      <w:pPr>
        <w:ind w:left="5382" w:hanging="360"/>
      </w:pPr>
      <w:rPr>
        <w:rFonts w:ascii="Wingdings" w:hAnsi="Wingdings" w:hint="default"/>
      </w:rPr>
    </w:lvl>
    <w:lvl w:ilvl="6" w:tplc="04150001" w:tentative="1">
      <w:start w:val="1"/>
      <w:numFmt w:val="bullet"/>
      <w:lvlText w:val=""/>
      <w:lvlJc w:val="left"/>
      <w:pPr>
        <w:ind w:left="6102" w:hanging="360"/>
      </w:pPr>
      <w:rPr>
        <w:rFonts w:ascii="Symbol" w:hAnsi="Symbol" w:hint="default"/>
      </w:rPr>
    </w:lvl>
    <w:lvl w:ilvl="7" w:tplc="04150003" w:tentative="1">
      <w:start w:val="1"/>
      <w:numFmt w:val="bullet"/>
      <w:lvlText w:val="o"/>
      <w:lvlJc w:val="left"/>
      <w:pPr>
        <w:ind w:left="6822" w:hanging="360"/>
      </w:pPr>
      <w:rPr>
        <w:rFonts w:ascii="Courier New" w:hAnsi="Courier New" w:cs="Courier New" w:hint="default"/>
      </w:rPr>
    </w:lvl>
    <w:lvl w:ilvl="8" w:tplc="04150005" w:tentative="1">
      <w:start w:val="1"/>
      <w:numFmt w:val="bullet"/>
      <w:lvlText w:val=""/>
      <w:lvlJc w:val="left"/>
      <w:pPr>
        <w:ind w:left="7542" w:hanging="360"/>
      </w:pPr>
      <w:rPr>
        <w:rFonts w:ascii="Wingdings" w:hAnsi="Wingdings" w:hint="default"/>
      </w:rPr>
    </w:lvl>
  </w:abstractNum>
  <w:abstractNum w:abstractNumId="315" w15:restartNumberingAfterBreak="0">
    <w:nsid w:val="6C0C4EE1"/>
    <w:multiLevelType w:val="hybridMultilevel"/>
    <w:tmpl w:val="DE48F99C"/>
    <w:lvl w:ilvl="0" w:tplc="491403D8">
      <w:start w:val="1"/>
      <w:numFmt w:val="decimal"/>
      <w:lvlText w:val="II.3.5.2.%1."/>
      <w:lvlJc w:val="left"/>
      <w:pPr>
        <w:ind w:left="1201" w:hanging="360"/>
      </w:pPr>
      <w:rPr>
        <w:rFonts w:hint="default"/>
        <w:b w:val="0"/>
        <w:bCs/>
      </w:rPr>
    </w:lvl>
    <w:lvl w:ilvl="1" w:tplc="04150019" w:tentative="1">
      <w:start w:val="1"/>
      <w:numFmt w:val="lowerLetter"/>
      <w:lvlText w:val="%2."/>
      <w:lvlJc w:val="left"/>
      <w:pPr>
        <w:ind w:left="1680" w:hanging="360"/>
      </w:pPr>
    </w:lvl>
    <w:lvl w:ilvl="2" w:tplc="0415001B" w:tentative="1">
      <w:start w:val="1"/>
      <w:numFmt w:val="lowerRoman"/>
      <w:lvlText w:val="%3."/>
      <w:lvlJc w:val="right"/>
      <w:pPr>
        <w:ind w:left="2400" w:hanging="180"/>
      </w:pPr>
    </w:lvl>
    <w:lvl w:ilvl="3" w:tplc="0415000F" w:tentative="1">
      <w:start w:val="1"/>
      <w:numFmt w:val="decimal"/>
      <w:lvlText w:val="%4."/>
      <w:lvlJc w:val="left"/>
      <w:pPr>
        <w:ind w:left="3120" w:hanging="360"/>
      </w:pPr>
    </w:lvl>
    <w:lvl w:ilvl="4" w:tplc="04150019" w:tentative="1">
      <w:start w:val="1"/>
      <w:numFmt w:val="lowerLetter"/>
      <w:lvlText w:val="%5."/>
      <w:lvlJc w:val="left"/>
      <w:pPr>
        <w:ind w:left="3840" w:hanging="360"/>
      </w:p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316" w15:restartNumberingAfterBreak="0">
    <w:nsid w:val="6C1819F8"/>
    <w:multiLevelType w:val="hybridMultilevel"/>
    <w:tmpl w:val="4842700C"/>
    <w:lvl w:ilvl="0" w:tplc="BF40A264">
      <w:start w:val="1"/>
      <w:numFmt w:val="decimal"/>
      <w:lvlText w:val="11.1.%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6C2E7375"/>
    <w:multiLevelType w:val="hybridMultilevel"/>
    <w:tmpl w:val="4232FE4A"/>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18" w15:restartNumberingAfterBreak="0">
    <w:nsid w:val="6D2F04A9"/>
    <w:multiLevelType w:val="hybridMultilevel"/>
    <w:tmpl w:val="79FACE2C"/>
    <w:lvl w:ilvl="0" w:tplc="6C2A005A">
      <w:start w:val="5"/>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6D9134DC"/>
    <w:multiLevelType w:val="hybridMultilevel"/>
    <w:tmpl w:val="34B44392"/>
    <w:lvl w:ilvl="0" w:tplc="456A7206">
      <w:start w:val="1"/>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6DD85604"/>
    <w:multiLevelType w:val="hybridMultilevel"/>
    <w:tmpl w:val="D2942E4A"/>
    <w:lvl w:ilvl="0" w:tplc="C43E1BD6">
      <w:start w:val="34"/>
      <w:numFmt w:val="decimal"/>
      <w:lvlText w:val="II.1.%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C0A02A10">
      <w:start w:val="1"/>
      <w:numFmt w:val="decimal"/>
      <w:lvlText w:val="%4)"/>
      <w:lvlJc w:val="left"/>
      <w:pPr>
        <w:ind w:left="2880" w:hanging="360"/>
      </w:pPr>
      <w:rPr>
        <w:rFonts w:ascii="Times New Roman" w:eastAsia="Calibri" w:hAnsi="Times New Roman" w:cs="Times New Roman"/>
      </w:rPr>
    </w:lvl>
    <w:lvl w:ilvl="4" w:tplc="C1F4377A">
      <w:start w:val="1"/>
      <w:numFmt w:val="lowerLetter"/>
      <w:lvlText w:val="%5)"/>
      <w:lvlJc w:val="left"/>
      <w:pPr>
        <w:ind w:left="3600" w:hanging="360"/>
      </w:pPr>
      <w:rPr>
        <w:rFonts w:ascii="Times New Roman" w:eastAsia="Calibri" w:hAnsi="Times New Roman" w:cs="Times New Roman"/>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6E631C9E"/>
    <w:multiLevelType w:val="hybridMultilevel"/>
    <w:tmpl w:val="340C3826"/>
    <w:lvl w:ilvl="0" w:tplc="09C6619A">
      <w:start w:val="3"/>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6EE23090"/>
    <w:multiLevelType w:val="hybridMultilevel"/>
    <w:tmpl w:val="0DD2AC90"/>
    <w:lvl w:ilvl="0" w:tplc="04150011">
      <w:start w:val="1"/>
      <w:numFmt w:val="decimal"/>
      <w:lvlText w:val="%1)"/>
      <w:lvlJc w:val="left"/>
      <w:pPr>
        <w:ind w:left="1017" w:hanging="349"/>
      </w:pPr>
      <w:rPr>
        <w:rFonts w:hint="default"/>
        <w:color w:val="464646"/>
        <w:w w:val="106"/>
        <w:sz w:val="22"/>
        <w:szCs w:val="22"/>
      </w:rPr>
    </w:lvl>
    <w:lvl w:ilvl="1" w:tplc="67ACA32C">
      <w:numFmt w:val="bullet"/>
      <w:lvlText w:val="•"/>
      <w:lvlJc w:val="left"/>
      <w:pPr>
        <w:ind w:left="1884" w:hanging="349"/>
      </w:pPr>
      <w:rPr>
        <w:rFonts w:hint="default"/>
      </w:rPr>
    </w:lvl>
    <w:lvl w:ilvl="2" w:tplc="7436D71C">
      <w:numFmt w:val="bullet"/>
      <w:lvlText w:val="•"/>
      <w:lvlJc w:val="left"/>
      <w:pPr>
        <w:ind w:left="2748" w:hanging="349"/>
      </w:pPr>
      <w:rPr>
        <w:rFonts w:hint="default"/>
      </w:rPr>
    </w:lvl>
    <w:lvl w:ilvl="3" w:tplc="E50CABFC">
      <w:numFmt w:val="bullet"/>
      <w:lvlText w:val="•"/>
      <w:lvlJc w:val="left"/>
      <w:pPr>
        <w:ind w:left="3612" w:hanging="349"/>
      </w:pPr>
      <w:rPr>
        <w:rFonts w:hint="default"/>
      </w:rPr>
    </w:lvl>
    <w:lvl w:ilvl="4" w:tplc="7DF23B98">
      <w:numFmt w:val="bullet"/>
      <w:lvlText w:val="•"/>
      <w:lvlJc w:val="left"/>
      <w:pPr>
        <w:ind w:left="4476" w:hanging="349"/>
      </w:pPr>
      <w:rPr>
        <w:rFonts w:hint="default"/>
      </w:rPr>
    </w:lvl>
    <w:lvl w:ilvl="5" w:tplc="9B7EBAA0">
      <w:numFmt w:val="bullet"/>
      <w:lvlText w:val="•"/>
      <w:lvlJc w:val="left"/>
      <w:pPr>
        <w:ind w:left="5340" w:hanging="349"/>
      </w:pPr>
      <w:rPr>
        <w:rFonts w:hint="default"/>
      </w:rPr>
    </w:lvl>
    <w:lvl w:ilvl="6" w:tplc="1BEA4056">
      <w:numFmt w:val="bullet"/>
      <w:lvlText w:val="•"/>
      <w:lvlJc w:val="left"/>
      <w:pPr>
        <w:ind w:left="6204" w:hanging="349"/>
      </w:pPr>
      <w:rPr>
        <w:rFonts w:hint="default"/>
      </w:rPr>
    </w:lvl>
    <w:lvl w:ilvl="7" w:tplc="A508BC3C">
      <w:numFmt w:val="bullet"/>
      <w:lvlText w:val="•"/>
      <w:lvlJc w:val="left"/>
      <w:pPr>
        <w:ind w:left="7068" w:hanging="349"/>
      </w:pPr>
      <w:rPr>
        <w:rFonts w:hint="default"/>
      </w:rPr>
    </w:lvl>
    <w:lvl w:ilvl="8" w:tplc="EFF0625A">
      <w:numFmt w:val="bullet"/>
      <w:lvlText w:val="•"/>
      <w:lvlJc w:val="left"/>
      <w:pPr>
        <w:ind w:left="7932" w:hanging="349"/>
      </w:pPr>
      <w:rPr>
        <w:rFonts w:hint="default"/>
      </w:rPr>
    </w:lvl>
  </w:abstractNum>
  <w:abstractNum w:abstractNumId="323" w15:restartNumberingAfterBreak="0">
    <w:nsid w:val="6F4627C8"/>
    <w:multiLevelType w:val="hybridMultilevel"/>
    <w:tmpl w:val="D2B8865A"/>
    <w:lvl w:ilvl="0" w:tplc="D57ECAA6">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7015143F"/>
    <w:multiLevelType w:val="hybridMultilevel"/>
    <w:tmpl w:val="773A5956"/>
    <w:lvl w:ilvl="0" w:tplc="82DA6E60">
      <w:start w:val="6"/>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70345654"/>
    <w:multiLevelType w:val="multilevel"/>
    <w:tmpl w:val="04A8F840"/>
    <w:lvl w:ilvl="0">
      <w:start w:val="11"/>
      <w:numFmt w:val="decimal"/>
      <w:lvlText w:val="%1."/>
      <w:lvlJc w:val="left"/>
      <w:pPr>
        <w:ind w:left="2880" w:hanging="360"/>
      </w:pPr>
      <w:rPr>
        <w:rFonts w:hint="default"/>
        <w:b/>
        <w:bCs/>
      </w:rPr>
    </w:lvl>
    <w:lvl w:ilvl="1">
      <w:start w:val="1"/>
      <w:numFmt w:val="decimal"/>
      <w:isLgl/>
      <w:lvlText w:val="%1.%2."/>
      <w:lvlJc w:val="left"/>
      <w:pPr>
        <w:ind w:left="3000" w:hanging="48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26" w15:restartNumberingAfterBreak="0">
    <w:nsid w:val="70C46F87"/>
    <w:multiLevelType w:val="multilevel"/>
    <w:tmpl w:val="54B0631A"/>
    <w:lvl w:ilvl="0">
      <w:start w:val="7"/>
      <w:numFmt w:val="upperRoman"/>
      <w:lvlText w:val="%1"/>
      <w:lvlJc w:val="left"/>
      <w:pPr>
        <w:ind w:left="2610" w:hanging="1085"/>
      </w:pPr>
      <w:rPr>
        <w:rFonts w:hint="default"/>
      </w:rPr>
    </w:lvl>
    <w:lvl w:ilvl="1">
      <w:start w:val="3"/>
      <w:numFmt w:val="decimal"/>
      <w:lvlText w:val="%1.%2"/>
      <w:lvlJc w:val="left"/>
      <w:pPr>
        <w:ind w:left="2610" w:hanging="1085"/>
      </w:pPr>
      <w:rPr>
        <w:rFonts w:hint="default"/>
      </w:rPr>
    </w:lvl>
    <w:lvl w:ilvl="2">
      <w:start w:val="12"/>
      <w:numFmt w:val="decimal"/>
      <w:lvlText w:val="IV.3.5.%3."/>
      <w:lvlJc w:val="left"/>
      <w:pPr>
        <w:ind w:left="1885" w:hanging="360"/>
      </w:pPr>
      <w:rPr>
        <w:rFonts w:hint="default"/>
      </w:rPr>
    </w:lvl>
    <w:lvl w:ilvl="3">
      <w:start w:val="2"/>
      <w:numFmt w:val="decimal"/>
      <w:lvlText w:val="%1.%2.%3.%4."/>
      <w:lvlJc w:val="left"/>
      <w:pPr>
        <w:ind w:left="2610" w:hanging="1085"/>
      </w:pPr>
      <w:rPr>
        <w:rFonts w:ascii="Times New Roman" w:eastAsia="Times New Roman" w:hAnsi="Times New Roman" w:cs="Times New Roman" w:hint="default"/>
        <w:color w:val="494949"/>
        <w:w w:val="104"/>
        <w:sz w:val="22"/>
        <w:szCs w:val="22"/>
      </w:rPr>
    </w:lvl>
    <w:lvl w:ilvl="4">
      <w:start w:val="1"/>
      <w:numFmt w:val="upperRoman"/>
      <w:lvlText w:val="%5)"/>
      <w:lvlJc w:val="left"/>
      <w:pPr>
        <w:ind w:left="2892" w:hanging="245"/>
      </w:pPr>
      <w:rPr>
        <w:rFonts w:ascii="Times New Roman" w:eastAsia="Times New Roman" w:hAnsi="Times New Roman" w:cs="Times New Roman" w:hint="default"/>
        <w:color w:val="494949"/>
        <w:w w:val="104"/>
        <w:sz w:val="20"/>
        <w:szCs w:val="20"/>
      </w:rPr>
    </w:lvl>
    <w:lvl w:ilvl="5">
      <w:numFmt w:val="bullet"/>
      <w:lvlText w:val="•"/>
      <w:lvlJc w:val="left"/>
      <w:pPr>
        <w:ind w:left="6748" w:hanging="245"/>
      </w:pPr>
      <w:rPr>
        <w:rFonts w:hint="default"/>
      </w:rPr>
    </w:lvl>
    <w:lvl w:ilvl="6">
      <w:numFmt w:val="bullet"/>
      <w:lvlText w:val="•"/>
      <w:lvlJc w:val="left"/>
      <w:pPr>
        <w:ind w:left="7711" w:hanging="245"/>
      </w:pPr>
      <w:rPr>
        <w:rFonts w:hint="default"/>
      </w:rPr>
    </w:lvl>
    <w:lvl w:ilvl="7">
      <w:numFmt w:val="bullet"/>
      <w:lvlText w:val="•"/>
      <w:lvlJc w:val="left"/>
      <w:pPr>
        <w:ind w:left="8673" w:hanging="245"/>
      </w:pPr>
      <w:rPr>
        <w:rFonts w:hint="default"/>
      </w:rPr>
    </w:lvl>
    <w:lvl w:ilvl="8">
      <w:numFmt w:val="bullet"/>
      <w:lvlText w:val="•"/>
      <w:lvlJc w:val="left"/>
      <w:pPr>
        <w:ind w:left="9635" w:hanging="245"/>
      </w:pPr>
      <w:rPr>
        <w:rFonts w:hint="default"/>
      </w:rPr>
    </w:lvl>
  </w:abstractNum>
  <w:abstractNum w:abstractNumId="327" w15:restartNumberingAfterBreak="0">
    <w:nsid w:val="71B90451"/>
    <w:multiLevelType w:val="hybridMultilevel"/>
    <w:tmpl w:val="FFCCF8A4"/>
    <w:lvl w:ilvl="0" w:tplc="BBD09114">
      <w:start w:val="1"/>
      <w:numFmt w:val="decimal"/>
      <w:lvlText w:val="4.%1."/>
      <w:lvlJc w:val="left"/>
      <w:pPr>
        <w:ind w:left="642" w:hanging="407"/>
        <w:jc w:val="right"/>
      </w:pPr>
      <w:rPr>
        <w:rFonts w:ascii="Times New Roman" w:eastAsia="Arial" w:hAnsi="Times New Roman" w:cs="Times New Roman" w:hint="default"/>
        <w:b/>
        <w:bCs/>
        <w:spacing w:val="0"/>
        <w:w w:val="100"/>
        <w:sz w:val="24"/>
        <w:szCs w:val="24"/>
      </w:rPr>
    </w:lvl>
    <w:lvl w:ilvl="1" w:tplc="E6B2E964">
      <w:start w:val="1"/>
      <w:numFmt w:val="lowerLetter"/>
      <w:lvlText w:val="%2)"/>
      <w:lvlJc w:val="left"/>
      <w:pPr>
        <w:ind w:left="1207" w:hanging="344"/>
      </w:pPr>
      <w:rPr>
        <w:rFonts w:hint="default"/>
        <w:spacing w:val="-1"/>
        <w:w w:val="98"/>
      </w:rPr>
    </w:lvl>
    <w:lvl w:ilvl="2" w:tplc="95F68FFE">
      <w:numFmt w:val="bullet"/>
      <w:lvlText w:val="•"/>
      <w:lvlJc w:val="left"/>
      <w:pPr>
        <w:ind w:left="1160" w:hanging="344"/>
      </w:pPr>
      <w:rPr>
        <w:rFonts w:hint="default"/>
      </w:rPr>
    </w:lvl>
    <w:lvl w:ilvl="3" w:tplc="6F86F2E6">
      <w:numFmt w:val="bullet"/>
      <w:lvlText w:val="•"/>
      <w:lvlJc w:val="left"/>
      <w:pPr>
        <w:ind w:left="1180" w:hanging="344"/>
      </w:pPr>
      <w:rPr>
        <w:rFonts w:hint="default"/>
      </w:rPr>
    </w:lvl>
    <w:lvl w:ilvl="4" w:tplc="F3ACA926">
      <w:numFmt w:val="bullet"/>
      <w:lvlText w:val="•"/>
      <w:lvlJc w:val="left"/>
      <w:pPr>
        <w:ind w:left="1200" w:hanging="344"/>
      </w:pPr>
      <w:rPr>
        <w:rFonts w:hint="default"/>
      </w:rPr>
    </w:lvl>
    <w:lvl w:ilvl="5" w:tplc="81229E74">
      <w:numFmt w:val="bullet"/>
      <w:lvlText w:val="•"/>
      <w:lvlJc w:val="left"/>
      <w:pPr>
        <w:ind w:left="2596" w:hanging="344"/>
      </w:pPr>
      <w:rPr>
        <w:rFonts w:hint="default"/>
      </w:rPr>
    </w:lvl>
    <w:lvl w:ilvl="6" w:tplc="5DEA57CE">
      <w:numFmt w:val="bullet"/>
      <w:lvlText w:val="•"/>
      <w:lvlJc w:val="left"/>
      <w:pPr>
        <w:ind w:left="3993" w:hanging="344"/>
      </w:pPr>
      <w:rPr>
        <w:rFonts w:hint="default"/>
      </w:rPr>
    </w:lvl>
    <w:lvl w:ilvl="7" w:tplc="E6807CCA">
      <w:numFmt w:val="bullet"/>
      <w:lvlText w:val="•"/>
      <w:lvlJc w:val="left"/>
      <w:pPr>
        <w:ind w:left="5390" w:hanging="344"/>
      </w:pPr>
      <w:rPr>
        <w:rFonts w:hint="default"/>
      </w:rPr>
    </w:lvl>
    <w:lvl w:ilvl="8" w:tplc="DFEC2448">
      <w:numFmt w:val="bullet"/>
      <w:lvlText w:val="•"/>
      <w:lvlJc w:val="left"/>
      <w:pPr>
        <w:ind w:left="6786" w:hanging="344"/>
      </w:pPr>
      <w:rPr>
        <w:rFonts w:hint="default"/>
      </w:rPr>
    </w:lvl>
  </w:abstractNum>
  <w:abstractNum w:abstractNumId="328" w15:restartNumberingAfterBreak="0">
    <w:nsid w:val="724B64CA"/>
    <w:multiLevelType w:val="hybridMultilevel"/>
    <w:tmpl w:val="E37CB0B8"/>
    <w:lvl w:ilvl="0" w:tplc="33D02B70">
      <w:start w:val="6"/>
      <w:numFmt w:val="decimal"/>
      <w:lvlText w:val="I.4.%1."/>
      <w:lvlJc w:val="left"/>
      <w:pPr>
        <w:ind w:left="1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72545323"/>
    <w:multiLevelType w:val="hybridMultilevel"/>
    <w:tmpl w:val="2FCC24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73474130"/>
    <w:multiLevelType w:val="hybridMultilevel"/>
    <w:tmpl w:val="1B109E5C"/>
    <w:lvl w:ilvl="0" w:tplc="B218EB2E">
      <w:start w:val="17"/>
      <w:numFmt w:val="decimal"/>
      <w:lvlText w:val="I.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748C6551"/>
    <w:multiLevelType w:val="hybridMultilevel"/>
    <w:tmpl w:val="29F86EA6"/>
    <w:lvl w:ilvl="0" w:tplc="BC020C52">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74AD62BF"/>
    <w:multiLevelType w:val="hybridMultilevel"/>
    <w:tmpl w:val="B8E6EB74"/>
    <w:lvl w:ilvl="0" w:tplc="E5DE2B7E">
      <w:start w:val="1"/>
      <w:numFmt w:val="lowerLetter"/>
      <w:lvlText w:val="%1)"/>
      <w:lvlJc w:val="left"/>
      <w:pPr>
        <w:tabs>
          <w:tab w:val="num" w:pos="286"/>
        </w:tabs>
        <w:ind w:left="794" w:firstLine="286"/>
      </w:pPr>
      <w:rPr>
        <w:rFonts w:hint="default"/>
        <w:b w:val="0"/>
        <w:bCs/>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3" w15:restartNumberingAfterBreak="0">
    <w:nsid w:val="75423AE2"/>
    <w:multiLevelType w:val="hybridMultilevel"/>
    <w:tmpl w:val="74321F94"/>
    <w:lvl w:ilvl="0" w:tplc="AE986CD0">
      <w:start w:val="9"/>
      <w:numFmt w:val="decimal"/>
      <w:lvlText w:val="I.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75C27550"/>
    <w:multiLevelType w:val="hybridMultilevel"/>
    <w:tmpl w:val="8E5CDC06"/>
    <w:lvl w:ilvl="0" w:tplc="11DEEA90">
      <w:start w:val="1"/>
      <w:numFmt w:val="lowerLetter"/>
      <w:lvlText w:val="%1)"/>
      <w:lvlJc w:val="left"/>
      <w:pPr>
        <w:ind w:left="724" w:hanging="360"/>
      </w:pPr>
      <w:rPr>
        <w:rFonts w:hint="default"/>
      </w:rPr>
    </w:lvl>
    <w:lvl w:ilvl="1" w:tplc="F6048058">
      <w:start w:val="1"/>
      <w:numFmt w:val="lowerLetter"/>
      <w:lvlText w:val="%2)"/>
      <w:lvlJc w:val="left"/>
      <w:pPr>
        <w:ind w:left="1444" w:hanging="360"/>
      </w:pPr>
      <w:rPr>
        <w:rFonts w:hint="default"/>
      </w:rPr>
    </w:lvl>
    <w:lvl w:ilvl="2" w:tplc="0415001B" w:tentative="1">
      <w:start w:val="1"/>
      <w:numFmt w:val="lowerRoman"/>
      <w:lvlText w:val="%3."/>
      <w:lvlJc w:val="right"/>
      <w:pPr>
        <w:ind w:left="2164" w:hanging="180"/>
      </w:pPr>
    </w:lvl>
    <w:lvl w:ilvl="3" w:tplc="0415000F" w:tentative="1">
      <w:start w:val="1"/>
      <w:numFmt w:val="decimal"/>
      <w:lvlText w:val="%4."/>
      <w:lvlJc w:val="left"/>
      <w:pPr>
        <w:ind w:left="2884" w:hanging="360"/>
      </w:pPr>
    </w:lvl>
    <w:lvl w:ilvl="4" w:tplc="04150019" w:tentative="1">
      <w:start w:val="1"/>
      <w:numFmt w:val="lowerLetter"/>
      <w:lvlText w:val="%5."/>
      <w:lvlJc w:val="left"/>
      <w:pPr>
        <w:ind w:left="3604" w:hanging="360"/>
      </w:pPr>
    </w:lvl>
    <w:lvl w:ilvl="5" w:tplc="0415001B" w:tentative="1">
      <w:start w:val="1"/>
      <w:numFmt w:val="lowerRoman"/>
      <w:lvlText w:val="%6."/>
      <w:lvlJc w:val="right"/>
      <w:pPr>
        <w:ind w:left="4324" w:hanging="180"/>
      </w:pPr>
    </w:lvl>
    <w:lvl w:ilvl="6" w:tplc="0415000F" w:tentative="1">
      <w:start w:val="1"/>
      <w:numFmt w:val="decimal"/>
      <w:lvlText w:val="%7."/>
      <w:lvlJc w:val="left"/>
      <w:pPr>
        <w:ind w:left="5044" w:hanging="360"/>
      </w:pPr>
    </w:lvl>
    <w:lvl w:ilvl="7" w:tplc="04150019" w:tentative="1">
      <w:start w:val="1"/>
      <w:numFmt w:val="lowerLetter"/>
      <w:lvlText w:val="%8."/>
      <w:lvlJc w:val="left"/>
      <w:pPr>
        <w:ind w:left="5764" w:hanging="360"/>
      </w:pPr>
    </w:lvl>
    <w:lvl w:ilvl="8" w:tplc="0415001B" w:tentative="1">
      <w:start w:val="1"/>
      <w:numFmt w:val="lowerRoman"/>
      <w:lvlText w:val="%9."/>
      <w:lvlJc w:val="right"/>
      <w:pPr>
        <w:ind w:left="6484" w:hanging="180"/>
      </w:pPr>
    </w:lvl>
  </w:abstractNum>
  <w:abstractNum w:abstractNumId="335" w15:restartNumberingAfterBreak="0">
    <w:nsid w:val="75CD0766"/>
    <w:multiLevelType w:val="hybridMultilevel"/>
    <w:tmpl w:val="F348B2C2"/>
    <w:lvl w:ilvl="0" w:tplc="73DAFF58">
      <w:start w:val="1"/>
      <w:numFmt w:val="decimal"/>
      <w:lvlText w:val="%1)"/>
      <w:lvlJc w:val="left"/>
      <w:pPr>
        <w:ind w:left="600" w:hanging="360"/>
        <w:jc w:val="left"/>
      </w:pPr>
      <w:rPr>
        <w:rFonts w:ascii="Times New Roman" w:eastAsia="Times New Roman" w:hAnsi="Times New Roman" w:cs="Times New Roman" w:hint="default"/>
        <w:spacing w:val="-20"/>
        <w:w w:val="99"/>
        <w:sz w:val="24"/>
        <w:szCs w:val="24"/>
        <w:lang w:val="pl-PL" w:eastAsia="pl-PL" w:bidi="pl-PL"/>
      </w:rPr>
    </w:lvl>
    <w:lvl w:ilvl="1" w:tplc="8496117C">
      <w:numFmt w:val="bullet"/>
      <w:lvlText w:val="•"/>
      <w:lvlJc w:val="left"/>
      <w:pPr>
        <w:ind w:left="1364" w:hanging="360"/>
      </w:pPr>
      <w:rPr>
        <w:rFonts w:hint="default"/>
        <w:lang w:val="pl-PL" w:eastAsia="pl-PL" w:bidi="pl-PL"/>
      </w:rPr>
    </w:lvl>
    <w:lvl w:ilvl="2" w:tplc="3F503030">
      <w:numFmt w:val="bullet"/>
      <w:lvlText w:val="•"/>
      <w:lvlJc w:val="left"/>
      <w:pPr>
        <w:ind w:left="2128" w:hanging="360"/>
      </w:pPr>
      <w:rPr>
        <w:rFonts w:hint="default"/>
        <w:lang w:val="pl-PL" w:eastAsia="pl-PL" w:bidi="pl-PL"/>
      </w:rPr>
    </w:lvl>
    <w:lvl w:ilvl="3" w:tplc="15C2305E">
      <w:numFmt w:val="bullet"/>
      <w:lvlText w:val="•"/>
      <w:lvlJc w:val="left"/>
      <w:pPr>
        <w:ind w:left="2892" w:hanging="360"/>
      </w:pPr>
      <w:rPr>
        <w:rFonts w:hint="default"/>
        <w:lang w:val="pl-PL" w:eastAsia="pl-PL" w:bidi="pl-PL"/>
      </w:rPr>
    </w:lvl>
    <w:lvl w:ilvl="4" w:tplc="FB0CB460">
      <w:numFmt w:val="bullet"/>
      <w:lvlText w:val="•"/>
      <w:lvlJc w:val="left"/>
      <w:pPr>
        <w:ind w:left="3657" w:hanging="360"/>
      </w:pPr>
      <w:rPr>
        <w:rFonts w:hint="default"/>
        <w:lang w:val="pl-PL" w:eastAsia="pl-PL" w:bidi="pl-PL"/>
      </w:rPr>
    </w:lvl>
    <w:lvl w:ilvl="5" w:tplc="6F78D404">
      <w:numFmt w:val="bullet"/>
      <w:lvlText w:val="•"/>
      <w:lvlJc w:val="left"/>
      <w:pPr>
        <w:ind w:left="4421" w:hanging="360"/>
      </w:pPr>
      <w:rPr>
        <w:rFonts w:hint="default"/>
        <w:lang w:val="pl-PL" w:eastAsia="pl-PL" w:bidi="pl-PL"/>
      </w:rPr>
    </w:lvl>
    <w:lvl w:ilvl="6" w:tplc="3C6EBF20">
      <w:numFmt w:val="bullet"/>
      <w:lvlText w:val="•"/>
      <w:lvlJc w:val="left"/>
      <w:pPr>
        <w:ind w:left="5185" w:hanging="360"/>
      </w:pPr>
      <w:rPr>
        <w:rFonts w:hint="default"/>
        <w:lang w:val="pl-PL" w:eastAsia="pl-PL" w:bidi="pl-PL"/>
      </w:rPr>
    </w:lvl>
    <w:lvl w:ilvl="7" w:tplc="BC08FCB8">
      <w:numFmt w:val="bullet"/>
      <w:lvlText w:val="•"/>
      <w:lvlJc w:val="left"/>
      <w:pPr>
        <w:ind w:left="5950" w:hanging="360"/>
      </w:pPr>
      <w:rPr>
        <w:rFonts w:hint="default"/>
        <w:lang w:val="pl-PL" w:eastAsia="pl-PL" w:bidi="pl-PL"/>
      </w:rPr>
    </w:lvl>
    <w:lvl w:ilvl="8" w:tplc="C82A8818">
      <w:numFmt w:val="bullet"/>
      <w:lvlText w:val="•"/>
      <w:lvlJc w:val="left"/>
      <w:pPr>
        <w:ind w:left="6714" w:hanging="360"/>
      </w:pPr>
      <w:rPr>
        <w:rFonts w:hint="default"/>
        <w:lang w:val="pl-PL" w:eastAsia="pl-PL" w:bidi="pl-PL"/>
      </w:rPr>
    </w:lvl>
  </w:abstractNum>
  <w:abstractNum w:abstractNumId="336" w15:restartNumberingAfterBreak="0">
    <w:nsid w:val="761377CE"/>
    <w:multiLevelType w:val="hybridMultilevel"/>
    <w:tmpl w:val="4ADC519E"/>
    <w:lvl w:ilvl="0" w:tplc="D450A81C">
      <w:start w:val="1"/>
      <w:numFmt w:val="decimal"/>
      <w:lvlText w:val="III.2.%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6E577E3"/>
    <w:multiLevelType w:val="hybridMultilevel"/>
    <w:tmpl w:val="69181400"/>
    <w:lvl w:ilvl="0" w:tplc="91ACDFE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771524CC"/>
    <w:multiLevelType w:val="hybridMultilevel"/>
    <w:tmpl w:val="9EDE122C"/>
    <w:lvl w:ilvl="0" w:tplc="D42090EA">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7769471E"/>
    <w:multiLevelType w:val="hybridMultilevel"/>
    <w:tmpl w:val="2A0EE0FA"/>
    <w:lvl w:ilvl="0" w:tplc="2AE2A66C">
      <w:start w:val="1"/>
      <w:numFmt w:val="lowerLetter"/>
      <w:lvlText w:val="%1)"/>
      <w:lvlJc w:val="left"/>
      <w:pPr>
        <w:tabs>
          <w:tab w:val="num" w:pos="1986"/>
        </w:tabs>
        <w:ind w:left="36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424DB4"/>
    <w:multiLevelType w:val="hybridMultilevel"/>
    <w:tmpl w:val="4EB870AA"/>
    <w:lvl w:ilvl="0" w:tplc="AE3E0916">
      <w:start w:val="2"/>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79BC639F"/>
    <w:multiLevelType w:val="hybridMultilevel"/>
    <w:tmpl w:val="26D061E8"/>
    <w:lvl w:ilvl="0" w:tplc="0C22EDB6">
      <w:start w:val="3"/>
      <w:numFmt w:val="lowerLetter"/>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C01275"/>
    <w:multiLevelType w:val="hybridMultilevel"/>
    <w:tmpl w:val="C4B6EED0"/>
    <w:lvl w:ilvl="0" w:tplc="B1AC8F9C">
      <w:start w:val="1"/>
      <w:numFmt w:val="lowerLetter"/>
      <w:lvlText w:val="%1)"/>
      <w:lvlJc w:val="left"/>
      <w:pPr>
        <w:ind w:left="720" w:hanging="360"/>
      </w:pPr>
      <w:rPr>
        <w:rFonts w:eastAsia="Calibri" w:cs="Times New Roman" w:hint="default"/>
        <w:b w:val="0"/>
        <w:sz w:val="23"/>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79FA3AE4"/>
    <w:multiLevelType w:val="hybridMultilevel"/>
    <w:tmpl w:val="F5E62622"/>
    <w:lvl w:ilvl="0" w:tplc="2A567704">
      <w:start w:val="2"/>
      <w:numFmt w:val="decimal"/>
      <w:lvlText w:val="%1)"/>
      <w:lvlJc w:val="left"/>
      <w:rPr>
        <w:rFonts w:ascii="Times New Roman" w:eastAsia="Times New Roman" w:hAnsi="Times New Roman" w:cs="Times New Roman" w:hint="default"/>
        <w:color w:val="000000"/>
        <w:w w:val="100"/>
        <w:sz w:val="23"/>
        <w:szCs w:val="23"/>
      </w:rPr>
    </w:lvl>
    <w:lvl w:ilvl="1" w:tplc="44BAF4B0">
      <w:start w:val="2"/>
      <w:numFmt w:val="decimal"/>
      <w:lvlText w:val="%2)"/>
      <w:lvlJc w:val="left"/>
      <w:pPr>
        <w:ind w:left="1831" w:hanging="317"/>
      </w:pPr>
      <w:rPr>
        <w:rFonts w:ascii="Times New Roman" w:eastAsia="Times New Roman" w:hAnsi="Times New Roman" w:cs="Times New Roman" w:hint="default"/>
        <w:color w:val="4F4F4F"/>
        <w:w w:val="107"/>
        <w:sz w:val="24"/>
        <w:szCs w:val="24"/>
      </w:rPr>
    </w:lvl>
    <w:lvl w:ilvl="2" w:tplc="023AA95E">
      <w:numFmt w:val="bullet"/>
      <w:lvlText w:val="•"/>
      <w:lvlJc w:val="left"/>
      <w:pPr>
        <w:ind w:left="2700" w:hanging="317"/>
      </w:pPr>
      <w:rPr>
        <w:rFonts w:hint="default"/>
      </w:rPr>
    </w:lvl>
    <w:lvl w:ilvl="3" w:tplc="25708730">
      <w:numFmt w:val="bullet"/>
      <w:lvlText w:val="•"/>
      <w:lvlJc w:val="left"/>
      <w:pPr>
        <w:ind w:left="3560" w:hanging="317"/>
      </w:pPr>
      <w:rPr>
        <w:rFonts w:hint="default"/>
      </w:rPr>
    </w:lvl>
    <w:lvl w:ilvl="4" w:tplc="C924DE36">
      <w:numFmt w:val="bullet"/>
      <w:lvlText w:val="•"/>
      <w:lvlJc w:val="left"/>
      <w:pPr>
        <w:ind w:left="4420" w:hanging="317"/>
      </w:pPr>
      <w:rPr>
        <w:rFonts w:hint="default"/>
      </w:rPr>
    </w:lvl>
    <w:lvl w:ilvl="5" w:tplc="74EE2F04">
      <w:numFmt w:val="bullet"/>
      <w:lvlText w:val="•"/>
      <w:lvlJc w:val="left"/>
      <w:pPr>
        <w:ind w:left="5280" w:hanging="317"/>
      </w:pPr>
      <w:rPr>
        <w:rFonts w:hint="default"/>
      </w:rPr>
    </w:lvl>
    <w:lvl w:ilvl="6" w:tplc="F948C544">
      <w:numFmt w:val="bullet"/>
      <w:lvlText w:val="•"/>
      <w:lvlJc w:val="left"/>
      <w:pPr>
        <w:ind w:left="6140" w:hanging="317"/>
      </w:pPr>
      <w:rPr>
        <w:rFonts w:hint="default"/>
      </w:rPr>
    </w:lvl>
    <w:lvl w:ilvl="7" w:tplc="6C3A628C">
      <w:numFmt w:val="bullet"/>
      <w:lvlText w:val="•"/>
      <w:lvlJc w:val="left"/>
      <w:pPr>
        <w:ind w:left="7000" w:hanging="317"/>
      </w:pPr>
      <w:rPr>
        <w:rFonts w:hint="default"/>
      </w:rPr>
    </w:lvl>
    <w:lvl w:ilvl="8" w:tplc="FD343D1E">
      <w:numFmt w:val="bullet"/>
      <w:lvlText w:val="•"/>
      <w:lvlJc w:val="left"/>
      <w:pPr>
        <w:ind w:left="7860" w:hanging="317"/>
      </w:pPr>
      <w:rPr>
        <w:rFonts w:hint="default"/>
      </w:rPr>
    </w:lvl>
  </w:abstractNum>
  <w:abstractNum w:abstractNumId="344" w15:restartNumberingAfterBreak="0">
    <w:nsid w:val="7A4D25E1"/>
    <w:multiLevelType w:val="hybridMultilevel"/>
    <w:tmpl w:val="BED6A0A2"/>
    <w:lvl w:ilvl="0" w:tplc="E66A1BEA">
      <w:start w:val="1"/>
      <w:numFmt w:val="lowerLetter"/>
      <w:lvlText w:val="%1)"/>
      <w:lvlJc w:val="left"/>
      <w:pPr>
        <w:ind w:left="968" w:hanging="340"/>
      </w:pPr>
      <w:rPr>
        <w:rFonts w:hint="default"/>
        <w:spacing w:val="-1"/>
        <w:w w:val="10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7A502222"/>
    <w:multiLevelType w:val="hybridMultilevel"/>
    <w:tmpl w:val="D07CCEE4"/>
    <w:lvl w:ilvl="0" w:tplc="5CFC8D7A">
      <w:start w:val="1"/>
      <w:numFmt w:val="decimal"/>
      <w:lvlText w:val="I.1.%1."/>
      <w:lvlJc w:val="left"/>
      <w:pPr>
        <w:ind w:left="782" w:hanging="360"/>
      </w:pPr>
      <w:rPr>
        <w:rFonts w:hint="default"/>
      </w:rPr>
    </w:lvl>
    <w:lvl w:ilvl="1" w:tplc="04150019">
      <w:start w:val="1"/>
      <w:numFmt w:val="lowerLetter"/>
      <w:lvlText w:val="%2."/>
      <w:lvlJc w:val="left"/>
      <w:pPr>
        <w:ind w:left="1440" w:hanging="360"/>
      </w:pPr>
    </w:lvl>
    <w:lvl w:ilvl="2" w:tplc="B6B0269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AA721F1"/>
    <w:multiLevelType w:val="hybridMultilevel"/>
    <w:tmpl w:val="B1E89978"/>
    <w:lvl w:ilvl="0" w:tplc="E66A1BEA">
      <w:start w:val="1"/>
      <w:numFmt w:val="lowerLetter"/>
      <w:lvlText w:val="%1)"/>
      <w:lvlJc w:val="left"/>
      <w:pPr>
        <w:ind w:left="1420" w:hanging="340"/>
      </w:pPr>
      <w:rPr>
        <w:rFonts w:hint="default"/>
        <w:spacing w:val="-1"/>
        <w:w w:val="106"/>
      </w:rPr>
    </w:lvl>
    <w:lvl w:ilvl="1" w:tplc="04150019" w:tentative="1">
      <w:start w:val="1"/>
      <w:numFmt w:val="lowerLetter"/>
      <w:lvlText w:val="%2."/>
      <w:lvlJc w:val="left"/>
      <w:pPr>
        <w:ind w:left="1892" w:hanging="360"/>
      </w:pPr>
    </w:lvl>
    <w:lvl w:ilvl="2" w:tplc="0415001B" w:tentative="1">
      <w:start w:val="1"/>
      <w:numFmt w:val="lowerRoman"/>
      <w:lvlText w:val="%3."/>
      <w:lvlJc w:val="right"/>
      <w:pPr>
        <w:ind w:left="2612" w:hanging="180"/>
      </w:pPr>
    </w:lvl>
    <w:lvl w:ilvl="3" w:tplc="0415000F" w:tentative="1">
      <w:start w:val="1"/>
      <w:numFmt w:val="decimal"/>
      <w:lvlText w:val="%4."/>
      <w:lvlJc w:val="left"/>
      <w:pPr>
        <w:ind w:left="3332" w:hanging="360"/>
      </w:pPr>
    </w:lvl>
    <w:lvl w:ilvl="4" w:tplc="04150019" w:tentative="1">
      <w:start w:val="1"/>
      <w:numFmt w:val="lowerLetter"/>
      <w:lvlText w:val="%5."/>
      <w:lvlJc w:val="left"/>
      <w:pPr>
        <w:ind w:left="4052" w:hanging="360"/>
      </w:pPr>
    </w:lvl>
    <w:lvl w:ilvl="5" w:tplc="0415001B" w:tentative="1">
      <w:start w:val="1"/>
      <w:numFmt w:val="lowerRoman"/>
      <w:lvlText w:val="%6."/>
      <w:lvlJc w:val="right"/>
      <w:pPr>
        <w:ind w:left="4772" w:hanging="180"/>
      </w:pPr>
    </w:lvl>
    <w:lvl w:ilvl="6" w:tplc="0415000F" w:tentative="1">
      <w:start w:val="1"/>
      <w:numFmt w:val="decimal"/>
      <w:lvlText w:val="%7."/>
      <w:lvlJc w:val="left"/>
      <w:pPr>
        <w:ind w:left="5492" w:hanging="360"/>
      </w:pPr>
    </w:lvl>
    <w:lvl w:ilvl="7" w:tplc="04150019" w:tentative="1">
      <w:start w:val="1"/>
      <w:numFmt w:val="lowerLetter"/>
      <w:lvlText w:val="%8."/>
      <w:lvlJc w:val="left"/>
      <w:pPr>
        <w:ind w:left="6212" w:hanging="360"/>
      </w:pPr>
    </w:lvl>
    <w:lvl w:ilvl="8" w:tplc="0415001B" w:tentative="1">
      <w:start w:val="1"/>
      <w:numFmt w:val="lowerRoman"/>
      <w:lvlText w:val="%9."/>
      <w:lvlJc w:val="right"/>
      <w:pPr>
        <w:ind w:left="6932" w:hanging="180"/>
      </w:pPr>
    </w:lvl>
  </w:abstractNum>
  <w:abstractNum w:abstractNumId="347" w15:restartNumberingAfterBreak="0">
    <w:nsid w:val="7AC2385E"/>
    <w:multiLevelType w:val="hybridMultilevel"/>
    <w:tmpl w:val="8022F4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7B2C0D64"/>
    <w:multiLevelType w:val="hybridMultilevel"/>
    <w:tmpl w:val="0B8C6958"/>
    <w:lvl w:ilvl="0" w:tplc="E5DE2B7E">
      <w:start w:val="1"/>
      <w:numFmt w:val="lowerLetter"/>
      <w:lvlText w:val="%1)"/>
      <w:lvlJc w:val="left"/>
      <w:pPr>
        <w:tabs>
          <w:tab w:val="num" w:pos="286"/>
        </w:tabs>
        <w:ind w:left="794" w:firstLine="286"/>
      </w:pPr>
      <w:rPr>
        <w:rFonts w:hint="default"/>
        <w:b w:val="0"/>
        <w:bCs/>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9" w15:restartNumberingAfterBreak="0">
    <w:nsid w:val="7B45632A"/>
    <w:multiLevelType w:val="hybridMultilevel"/>
    <w:tmpl w:val="C7FE035A"/>
    <w:lvl w:ilvl="0" w:tplc="EB76D6C4">
      <w:start w:val="1"/>
      <w:numFmt w:val="lowerLetter"/>
      <w:lvlText w:val="%1)"/>
      <w:lvlJc w:val="left"/>
      <w:pPr>
        <w:ind w:left="1852" w:hanging="360"/>
      </w:pPr>
      <w:rPr>
        <w:rFonts w:ascii="Times New Roman" w:eastAsia="Times New Roman" w:hAnsi="Times New Roman" w:cs="Times New Roman" w:hint="default"/>
        <w:spacing w:val="-26"/>
        <w:w w:val="99"/>
        <w:sz w:val="24"/>
        <w:szCs w:val="24"/>
        <w:lang w:val="pl-PL" w:eastAsia="pl-PL" w:bidi="pl-PL"/>
      </w:rPr>
    </w:lvl>
    <w:lvl w:ilvl="1" w:tplc="04150019" w:tentative="1">
      <w:start w:val="1"/>
      <w:numFmt w:val="lowerLetter"/>
      <w:lvlText w:val="%2."/>
      <w:lvlJc w:val="left"/>
      <w:pPr>
        <w:ind w:left="2572" w:hanging="360"/>
      </w:pPr>
    </w:lvl>
    <w:lvl w:ilvl="2" w:tplc="0415001B" w:tentative="1">
      <w:start w:val="1"/>
      <w:numFmt w:val="lowerRoman"/>
      <w:lvlText w:val="%3."/>
      <w:lvlJc w:val="right"/>
      <w:pPr>
        <w:ind w:left="3292" w:hanging="180"/>
      </w:pPr>
    </w:lvl>
    <w:lvl w:ilvl="3" w:tplc="0415000F" w:tentative="1">
      <w:start w:val="1"/>
      <w:numFmt w:val="decimal"/>
      <w:lvlText w:val="%4."/>
      <w:lvlJc w:val="left"/>
      <w:pPr>
        <w:ind w:left="4012" w:hanging="360"/>
      </w:pPr>
    </w:lvl>
    <w:lvl w:ilvl="4" w:tplc="04150019" w:tentative="1">
      <w:start w:val="1"/>
      <w:numFmt w:val="lowerLetter"/>
      <w:lvlText w:val="%5."/>
      <w:lvlJc w:val="left"/>
      <w:pPr>
        <w:ind w:left="4732" w:hanging="360"/>
      </w:pPr>
    </w:lvl>
    <w:lvl w:ilvl="5" w:tplc="0415001B" w:tentative="1">
      <w:start w:val="1"/>
      <w:numFmt w:val="lowerRoman"/>
      <w:lvlText w:val="%6."/>
      <w:lvlJc w:val="right"/>
      <w:pPr>
        <w:ind w:left="5452" w:hanging="180"/>
      </w:pPr>
    </w:lvl>
    <w:lvl w:ilvl="6" w:tplc="0415000F" w:tentative="1">
      <w:start w:val="1"/>
      <w:numFmt w:val="decimal"/>
      <w:lvlText w:val="%7."/>
      <w:lvlJc w:val="left"/>
      <w:pPr>
        <w:ind w:left="6172" w:hanging="360"/>
      </w:pPr>
    </w:lvl>
    <w:lvl w:ilvl="7" w:tplc="04150019" w:tentative="1">
      <w:start w:val="1"/>
      <w:numFmt w:val="lowerLetter"/>
      <w:lvlText w:val="%8."/>
      <w:lvlJc w:val="left"/>
      <w:pPr>
        <w:ind w:left="6892" w:hanging="360"/>
      </w:pPr>
    </w:lvl>
    <w:lvl w:ilvl="8" w:tplc="0415001B" w:tentative="1">
      <w:start w:val="1"/>
      <w:numFmt w:val="lowerRoman"/>
      <w:lvlText w:val="%9."/>
      <w:lvlJc w:val="right"/>
      <w:pPr>
        <w:ind w:left="7612" w:hanging="180"/>
      </w:pPr>
    </w:lvl>
  </w:abstractNum>
  <w:abstractNum w:abstractNumId="350" w15:restartNumberingAfterBreak="0">
    <w:nsid w:val="7B716963"/>
    <w:multiLevelType w:val="hybridMultilevel"/>
    <w:tmpl w:val="A0148CF2"/>
    <w:lvl w:ilvl="0" w:tplc="4FFA9E28">
      <w:start w:val="4"/>
      <w:numFmt w:val="lowerLetter"/>
      <w:lvlText w:val="%1)"/>
      <w:lvlJc w:val="left"/>
      <w:pPr>
        <w:tabs>
          <w:tab w:val="num" w:pos="360"/>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7B827B58"/>
    <w:multiLevelType w:val="hybridMultilevel"/>
    <w:tmpl w:val="87B6F3C8"/>
    <w:lvl w:ilvl="0" w:tplc="EACE78F6">
      <w:start w:val="5"/>
      <w:numFmt w:val="decimal"/>
      <w:lvlText w:val="I.4.%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7BCF7EAE"/>
    <w:multiLevelType w:val="hybridMultilevel"/>
    <w:tmpl w:val="F5ECFABC"/>
    <w:lvl w:ilvl="0" w:tplc="C75A5ACA">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1B7915"/>
    <w:multiLevelType w:val="hybridMultilevel"/>
    <w:tmpl w:val="FE5E27A0"/>
    <w:lvl w:ilvl="0" w:tplc="CE5C3B3C">
      <w:start w:val="1"/>
      <w:numFmt w:val="decimal"/>
      <w:lvlText w:val="II.3.5.3.1.%1."/>
      <w:lvlJc w:val="left"/>
      <w:pPr>
        <w:ind w:left="95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7C1C11B5"/>
    <w:multiLevelType w:val="hybridMultilevel"/>
    <w:tmpl w:val="0FD47BA4"/>
    <w:lvl w:ilvl="0" w:tplc="DF206E14">
      <w:start w:val="1"/>
      <w:numFmt w:val="decimal"/>
      <w:lvlText w:val="II.2.1.%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15:restartNumberingAfterBreak="0">
    <w:nsid w:val="7C50665C"/>
    <w:multiLevelType w:val="hybridMultilevel"/>
    <w:tmpl w:val="5B762634"/>
    <w:lvl w:ilvl="0" w:tplc="09BA787E">
      <w:start w:val="9"/>
      <w:numFmt w:val="decimal"/>
      <w:lvlText w:val="II.1.%1."/>
      <w:lvlJc w:val="left"/>
      <w:pPr>
        <w:ind w:left="3338" w:hanging="360"/>
      </w:pPr>
      <w:rPr>
        <w:rFonts w:hint="default"/>
        <w:sz w:val="24"/>
        <w:szCs w:val="24"/>
      </w:rPr>
    </w:lvl>
    <w:lvl w:ilvl="1" w:tplc="04150019" w:tentative="1">
      <w:start w:val="1"/>
      <w:numFmt w:val="lowerLetter"/>
      <w:lvlText w:val="%2."/>
      <w:lvlJc w:val="left"/>
      <w:pPr>
        <w:ind w:left="4418" w:hanging="360"/>
      </w:pPr>
    </w:lvl>
    <w:lvl w:ilvl="2" w:tplc="0415001B" w:tentative="1">
      <w:start w:val="1"/>
      <w:numFmt w:val="lowerRoman"/>
      <w:lvlText w:val="%3."/>
      <w:lvlJc w:val="right"/>
      <w:pPr>
        <w:ind w:left="5138" w:hanging="180"/>
      </w:pPr>
    </w:lvl>
    <w:lvl w:ilvl="3" w:tplc="0415000F" w:tentative="1">
      <w:start w:val="1"/>
      <w:numFmt w:val="decimal"/>
      <w:lvlText w:val="%4."/>
      <w:lvlJc w:val="left"/>
      <w:pPr>
        <w:ind w:left="5858" w:hanging="360"/>
      </w:pPr>
    </w:lvl>
    <w:lvl w:ilvl="4" w:tplc="04150019" w:tentative="1">
      <w:start w:val="1"/>
      <w:numFmt w:val="lowerLetter"/>
      <w:lvlText w:val="%5."/>
      <w:lvlJc w:val="left"/>
      <w:pPr>
        <w:ind w:left="6578" w:hanging="360"/>
      </w:pPr>
    </w:lvl>
    <w:lvl w:ilvl="5" w:tplc="0415001B" w:tentative="1">
      <w:start w:val="1"/>
      <w:numFmt w:val="lowerRoman"/>
      <w:lvlText w:val="%6."/>
      <w:lvlJc w:val="right"/>
      <w:pPr>
        <w:ind w:left="7298" w:hanging="180"/>
      </w:pPr>
    </w:lvl>
    <w:lvl w:ilvl="6" w:tplc="0415000F" w:tentative="1">
      <w:start w:val="1"/>
      <w:numFmt w:val="decimal"/>
      <w:lvlText w:val="%7."/>
      <w:lvlJc w:val="left"/>
      <w:pPr>
        <w:ind w:left="8018" w:hanging="360"/>
      </w:pPr>
    </w:lvl>
    <w:lvl w:ilvl="7" w:tplc="04150019" w:tentative="1">
      <w:start w:val="1"/>
      <w:numFmt w:val="lowerLetter"/>
      <w:lvlText w:val="%8."/>
      <w:lvlJc w:val="left"/>
      <w:pPr>
        <w:ind w:left="8738" w:hanging="360"/>
      </w:pPr>
    </w:lvl>
    <w:lvl w:ilvl="8" w:tplc="0415001B" w:tentative="1">
      <w:start w:val="1"/>
      <w:numFmt w:val="lowerRoman"/>
      <w:lvlText w:val="%9."/>
      <w:lvlJc w:val="right"/>
      <w:pPr>
        <w:ind w:left="9458" w:hanging="180"/>
      </w:pPr>
    </w:lvl>
  </w:abstractNum>
  <w:abstractNum w:abstractNumId="356" w15:restartNumberingAfterBreak="0">
    <w:nsid w:val="7C661634"/>
    <w:multiLevelType w:val="hybridMultilevel"/>
    <w:tmpl w:val="1ACAFA24"/>
    <w:lvl w:ilvl="0" w:tplc="D6841196">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57" w15:restartNumberingAfterBreak="0">
    <w:nsid w:val="7C911912"/>
    <w:multiLevelType w:val="hybridMultilevel"/>
    <w:tmpl w:val="38101CB6"/>
    <w:lvl w:ilvl="0" w:tplc="DCA8C40C">
      <w:start w:val="1"/>
      <w:numFmt w:val="decimal"/>
      <w:lvlText w:val="II.3.4.%1."/>
      <w:lvlJc w:val="left"/>
      <w:pPr>
        <w:ind w:left="72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D06167E"/>
    <w:multiLevelType w:val="hybridMultilevel"/>
    <w:tmpl w:val="1FEA9656"/>
    <w:lvl w:ilvl="0" w:tplc="D4A2E82E">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7D587F1A"/>
    <w:multiLevelType w:val="hybridMultilevel"/>
    <w:tmpl w:val="BBE24688"/>
    <w:lvl w:ilvl="0" w:tplc="16B46DE8">
      <w:start w:val="10"/>
      <w:numFmt w:val="lowerLetter"/>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7DF571F4"/>
    <w:multiLevelType w:val="hybridMultilevel"/>
    <w:tmpl w:val="E870AE8E"/>
    <w:lvl w:ilvl="0" w:tplc="F43C3E42">
      <w:start w:val="2"/>
      <w:numFmt w:val="lowerLetter"/>
      <w:lvlText w:val="%1)"/>
      <w:lvlJc w:val="left"/>
      <w:pPr>
        <w:tabs>
          <w:tab w:val="num" w:pos="2706"/>
        </w:tabs>
        <w:ind w:left="10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7F90032E"/>
    <w:multiLevelType w:val="hybridMultilevel"/>
    <w:tmpl w:val="5E962C90"/>
    <w:lvl w:ilvl="0" w:tplc="0B203454">
      <w:start w:val="1"/>
      <w:numFmt w:val="lowerLetter"/>
      <w:lvlText w:val="%1)"/>
      <w:lvlJc w:val="left"/>
      <w:pPr>
        <w:tabs>
          <w:tab w:val="num" w:pos="1626"/>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51512790">
    <w:abstractNumId w:val="8"/>
  </w:num>
  <w:num w:numId="2" w16cid:durableId="101532408">
    <w:abstractNumId w:val="10"/>
  </w:num>
  <w:num w:numId="3" w16cid:durableId="891624896">
    <w:abstractNumId w:val="11"/>
  </w:num>
  <w:num w:numId="4" w16cid:durableId="687800817">
    <w:abstractNumId w:val="14"/>
  </w:num>
  <w:num w:numId="5" w16cid:durableId="1161387347">
    <w:abstractNumId w:val="16"/>
  </w:num>
  <w:num w:numId="6" w16cid:durableId="1707872259">
    <w:abstractNumId w:val="19"/>
  </w:num>
  <w:num w:numId="7" w16cid:durableId="755440003">
    <w:abstractNumId w:val="20"/>
  </w:num>
  <w:num w:numId="8" w16cid:durableId="539129733">
    <w:abstractNumId w:val="25"/>
  </w:num>
  <w:num w:numId="9" w16cid:durableId="1002784252">
    <w:abstractNumId w:val="26"/>
  </w:num>
  <w:num w:numId="10" w16cid:durableId="181015866">
    <w:abstractNumId w:val="27"/>
  </w:num>
  <w:num w:numId="11" w16cid:durableId="1177616533">
    <w:abstractNumId w:val="28"/>
  </w:num>
  <w:num w:numId="12" w16cid:durableId="819545030">
    <w:abstractNumId w:val="29"/>
  </w:num>
  <w:num w:numId="13" w16cid:durableId="482545678">
    <w:abstractNumId w:val="30"/>
  </w:num>
  <w:num w:numId="14" w16cid:durableId="405032729">
    <w:abstractNumId w:val="31"/>
  </w:num>
  <w:num w:numId="15" w16cid:durableId="1352367729">
    <w:abstractNumId w:val="32"/>
  </w:num>
  <w:num w:numId="16" w16cid:durableId="1986742825">
    <w:abstractNumId w:val="33"/>
  </w:num>
  <w:num w:numId="17" w16cid:durableId="1683389332">
    <w:abstractNumId w:val="34"/>
  </w:num>
  <w:num w:numId="18" w16cid:durableId="1903785019">
    <w:abstractNumId w:val="35"/>
  </w:num>
  <w:num w:numId="19" w16cid:durableId="1799180424">
    <w:abstractNumId w:val="36"/>
  </w:num>
  <w:num w:numId="20" w16cid:durableId="1802915803">
    <w:abstractNumId w:val="37"/>
  </w:num>
  <w:num w:numId="21" w16cid:durableId="1782266503">
    <w:abstractNumId w:val="38"/>
  </w:num>
  <w:num w:numId="22" w16cid:durableId="2002345982">
    <w:abstractNumId w:val="39"/>
  </w:num>
  <w:num w:numId="23" w16cid:durableId="2108453837">
    <w:abstractNumId w:val="40"/>
  </w:num>
  <w:num w:numId="24" w16cid:durableId="1028412391">
    <w:abstractNumId w:val="41"/>
  </w:num>
  <w:num w:numId="25" w16cid:durableId="1867281625">
    <w:abstractNumId w:val="42"/>
  </w:num>
  <w:num w:numId="26" w16cid:durableId="1763182374">
    <w:abstractNumId w:val="43"/>
  </w:num>
  <w:num w:numId="27" w16cid:durableId="486670696">
    <w:abstractNumId w:val="44"/>
  </w:num>
  <w:num w:numId="28" w16cid:durableId="1559895295">
    <w:abstractNumId w:val="45"/>
  </w:num>
  <w:num w:numId="29" w16cid:durableId="672491896">
    <w:abstractNumId w:val="46"/>
  </w:num>
  <w:num w:numId="30" w16cid:durableId="592084981">
    <w:abstractNumId w:val="47"/>
  </w:num>
  <w:num w:numId="31" w16cid:durableId="469518988">
    <w:abstractNumId w:val="48"/>
  </w:num>
  <w:num w:numId="32" w16cid:durableId="479927281">
    <w:abstractNumId w:val="49"/>
  </w:num>
  <w:num w:numId="33" w16cid:durableId="1568344946">
    <w:abstractNumId w:val="50"/>
  </w:num>
  <w:num w:numId="34" w16cid:durableId="2107575962">
    <w:abstractNumId w:val="51"/>
  </w:num>
  <w:num w:numId="35" w16cid:durableId="1180200034">
    <w:abstractNumId w:val="2"/>
  </w:num>
  <w:num w:numId="36" w16cid:durableId="937328176">
    <w:abstractNumId w:val="2"/>
  </w:num>
  <w:num w:numId="37" w16cid:durableId="1397046646">
    <w:abstractNumId w:val="2"/>
  </w:num>
  <w:num w:numId="38" w16cid:durableId="1165319611">
    <w:abstractNumId w:val="2"/>
  </w:num>
  <w:num w:numId="39" w16cid:durableId="392852312">
    <w:abstractNumId w:val="345"/>
  </w:num>
  <w:num w:numId="40" w16cid:durableId="693193835">
    <w:abstractNumId w:val="296"/>
  </w:num>
  <w:num w:numId="41" w16cid:durableId="201744630">
    <w:abstractNumId w:val="218"/>
  </w:num>
  <w:num w:numId="42" w16cid:durableId="324475807">
    <w:abstractNumId w:val="83"/>
  </w:num>
  <w:num w:numId="43" w16cid:durableId="240215514">
    <w:abstractNumId w:val="333"/>
  </w:num>
  <w:num w:numId="44" w16cid:durableId="96829050">
    <w:abstractNumId w:val="154"/>
  </w:num>
  <w:num w:numId="45" w16cid:durableId="1540240589">
    <w:abstractNumId w:val="330"/>
  </w:num>
  <w:num w:numId="46" w16cid:durableId="552351886">
    <w:abstractNumId w:val="77"/>
  </w:num>
  <w:num w:numId="47" w16cid:durableId="517038962">
    <w:abstractNumId w:val="289"/>
  </w:num>
  <w:num w:numId="48" w16cid:durableId="1963268916">
    <w:abstractNumId w:val="349"/>
  </w:num>
  <w:num w:numId="49" w16cid:durableId="1551263889">
    <w:abstractNumId w:val="159"/>
  </w:num>
  <w:num w:numId="50" w16cid:durableId="1957442796">
    <w:abstractNumId w:val="205"/>
  </w:num>
  <w:num w:numId="51" w16cid:durableId="1396199697">
    <w:abstractNumId w:val="101"/>
  </w:num>
  <w:num w:numId="52" w16cid:durableId="760372150">
    <w:abstractNumId w:val="355"/>
  </w:num>
  <w:num w:numId="53" w16cid:durableId="288825236">
    <w:abstractNumId w:val="54"/>
  </w:num>
  <w:num w:numId="54" w16cid:durableId="1936982774">
    <w:abstractNumId w:val="274"/>
  </w:num>
  <w:num w:numId="55" w16cid:durableId="1870988292">
    <w:abstractNumId w:val="245"/>
  </w:num>
  <w:num w:numId="56" w16cid:durableId="263808643">
    <w:abstractNumId w:val="148"/>
  </w:num>
  <w:num w:numId="57" w16cid:durableId="43604560">
    <w:abstractNumId w:val="185"/>
  </w:num>
  <w:num w:numId="58" w16cid:durableId="841314591">
    <w:abstractNumId w:val="212"/>
  </w:num>
  <w:num w:numId="59" w16cid:durableId="1507358474">
    <w:abstractNumId w:val="61"/>
  </w:num>
  <w:num w:numId="60" w16cid:durableId="1855265848">
    <w:abstractNumId w:val="112"/>
  </w:num>
  <w:num w:numId="61" w16cid:durableId="1799226871">
    <w:abstractNumId w:val="278"/>
  </w:num>
  <w:num w:numId="62" w16cid:durableId="1416896049">
    <w:abstractNumId w:val="209"/>
  </w:num>
  <w:num w:numId="63" w16cid:durableId="894051794">
    <w:abstractNumId w:val="55"/>
  </w:num>
  <w:num w:numId="64" w16cid:durableId="478766085">
    <w:abstractNumId w:val="357"/>
  </w:num>
  <w:num w:numId="65" w16cid:durableId="507791317">
    <w:abstractNumId w:val="239"/>
  </w:num>
  <w:num w:numId="66" w16cid:durableId="562369288">
    <w:abstractNumId w:val="271"/>
  </w:num>
  <w:num w:numId="67" w16cid:durableId="2106611450">
    <w:abstractNumId w:val="353"/>
  </w:num>
  <w:num w:numId="68" w16cid:durableId="490558898">
    <w:abstractNumId w:val="318"/>
  </w:num>
  <w:num w:numId="69" w16cid:durableId="1169641748">
    <w:abstractNumId w:val="86"/>
  </w:num>
  <w:num w:numId="70" w16cid:durableId="1823541298">
    <w:abstractNumId w:val="201"/>
  </w:num>
  <w:num w:numId="71" w16cid:durableId="2020883744">
    <w:abstractNumId w:val="208"/>
  </w:num>
  <w:num w:numId="72" w16cid:durableId="40633955">
    <w:abstractNumId w:val="170"/>
  </w:num>
  <w:num w:numId="73" w16cid:durableId="881791582">
    <w:abstractNumId w:val="64"/>
  </w:num>
  <w:num w:numId="74" w16cid:durableId="249243294">
    <w:abstractNumId w:val="321"/>
  </w:num>
  <w:num w:numId="75" w16cid:durableId="1134447894">
    <w:abstractNumId w:val="149"/>
  </w:num>
  <w:num w:numId="76" w16cid:durableId="558631527">
    <w:abstractNumId w:val="231"/>
  </w:num>
  <w:num w:numId="77" w16cid:durableId="610940469">
    <w:abstractNumId w:val="323"/>
  </w:num>
  <w:num w:numId="78" w16cid:durableId="1751266305">
    <w:abstractNumId w:val="359"/>
  </w:num>
  <w:num w:numId="79" w16cid:durableId="2028166718">
    <w:abstractNumId w:val="179"/>
  </w:num>
  <w:num w:numId="80" w16cid:durableId="234974799">
    <w:abstractNumId w:val="203"/>
  </w:num>
  <w:num w:numId="81" w16cid:durableId="1587379462">
    <w:abstractNumId w:val="350"/>
  </w:num>
  <w:num w:numId="82" w16cid:durableId="1553225449">
    <w:abstractNumId w:val="361"/>
  </w:num>
  <w:num w:numId="83" w16cid:durableId="1133447149">
    <w:abstractNumId w:val="214"/>
  </w:num>
  <w:num w:numId="84" w16cid:durableId="171337280">
    <w:abstractNumId w:val="228"/>
  </w:num>
  <w:num w:numId="85" w16cid:durableId="314186316">
    <w:abstractNumId w:val="268"/>
  </w:num>
  <w:num w:numId="86" w16cid:durableId="227376827">
    <w:abstractNumId w:val="263"/>
  </w:num>
  <w:num w:numId="87" w16cid:durableId="1328433819">
    <w:abstractNumId w:val="158"/>
  </w:num>
  <w:num w:numId="88" w16cid:durableId="489181529">
    <w:abstractNumId w:val="167"/>
  </w:num>
  <w:num w:numId="89" w16cid:durableId="949702838">
    <w:abstractNumId w:val="338"/>
  </w:num>
  <w:num w:numId="90" w16cid:durableId="951084958">
    <w:abstractNumId w:val="73"/>
  </w:num>
  <w:num w:numId="91" w16cid:durableId="1947733017">
    <w:abstractNumId w:val="294"/>
  </w:num>
  <w:num w:numId="92" w16cid:durableId="1716348944">
    <w:abstractNumId w:val="331"/>
  </w:num>
  <w:num w:numId="93" w16cid:durableId="2034501165">
    <w:abstractNumId w:val="93"/>
  </w:num>
  <w:num w:numId="94" w16cid:durableId="1911962948">
    <w:abstractNumId w:val="324"/>
  </w:num>
  <w:num w:numId="95" w16cid:durableId="1104350862">
    <w:abstractNumId w:val="360"/>
  </w:num>
  <w:num w:numId="96" w16cid:durableId="999115441">
    <w:abstractNumId w:val="319"/>
  </w:num>
  <w:num w:numId="97" w16cid:durableId="681130424">
    <w:abstractNumId w:val="180"/>
  </w:num>
  <w:num w:numId="98" w16cid:durableId="806356961">
    <w:abstractNumId w:val="261"/>
  </w:num>
  <w:num w:numId="99" w16cid:durableId="1156720748">
    <w:abstractNumId w:val="57"/>
  </w:num>
  <w:num w:numId="100" w16cid:durableId="31270265">
    <w:abstractNumId w:val="129"/>
  </w:num>
  <w:num w:numId="101" w16cid:durableId="1658075393">
    <w:abstractNumId w:val="99"/>
  </w:num>
  <w:num w:numId="102" w16cid:durableId="1196037411">
    <w:abstractNumId w:val="287"/>
  </w:num>
  <w:num w:numId="103" w16cid:durableId="1904680425">
    <w:abstractNumId w:val="75"/>
  </w:num>
  <w:num w:numId="104" w16cid:durableId="1929537668">
    <w:abstractNumId w:val="157"/>
  </w:num>
  <w:num w:numId="105" w16cid:durableId="1439763353">
    <w:abstractNumId w:val="225"/>
  </w:num>
  <w:num w:numId="106" w16cid:durableId="803229906">
    <w:abstractNumId w:val="235"/>
  </w:num>
  <w:num w:numId="107" w16cid:durableId="1167984164">
    <w:abstractNumId w:val="280"/>
  </w:num>
  <w:num w:numId="108" w16cid:durableId="2118284048">
    <w:abstractNumId w:val="131"/>
  </w:num>
  <w:num w:numId="109" w16cid:durableId="2036231803">
    <w:abstractNumId w:val="250"/>
  </w:num>
  <w:num w:numId="110" w16cid:durableId="1589385560">
    <w:abstractNumId w:val="62"/>
  </w:num>
  <w:num w:numId="111" w16cid:durableId="1249146838">
    <w:abstractNumId w:val="234"/>
  </w:num>
  <w:num w:numId="112" w16cid:durableId="1789542000">
    <w:abstractNumId w:val="199"/>
  </w:num>
  <w:num w:numId="113" w16cid:durableId="1703701722">
    <w:abstractNumId w:val="126"/>
  </w:num>
  <w:num w:numId="114" w16cid:durableId="1407218326">
    <w:abstractNumId w:val="265"/>
  </w:num>
  <w:num w:numId="115" w16cid:durableId="836773073">
    <w:abstractNumId w:val="200"/>
  </w:num>
  <w:num w:numId="116" w16cid:durableId="1063604117">
    <w:abstractNumId w:val="299"/>
  </w:num>
  <w:num w:numId="117" w16cid:durableId="1637830718">
    <w:abstractNumId w:val="304"/>
  </w:num>
  <w:num w:numId="118" w16cid:durableId="2084640859">
    <w:abstractNumId w:val="146"/>
  </w:num>
  <w:num w:numId="119" w16cid:durableId="1542207088">
    <w:abstractNumId w:val="125"/>
  </w:num>
  <w:num w:numId="120" w16cid:durableId="2081904642">
    <w:abstractNumId w:val="352"/>
  </w:num>
  <w:num w:numId="121" w16cid:durableId="1732071067">
    <w:abstractNumId w:val="281"/>
  </w:num>
  <w:num w:numId="122" w16cid:durableId="916016761">
    <w:abstractNumId w:val="189"/>
  </w:num>
  <w:num w:numId="123" w16cid:durableId="337587154">
    <w:abstractNumId w:val="74"/>
  </w:num>
  <w:num w:numId="124" w16cid:durableId="727342027">
    <w:abstractNumId w:val="257"/>
  </w:num>
  <w:num w:numId="125" w16cid:durableId="192694159">
    <w:abstractNumId w:val="95"/>
  </w:num>
  <w:num w:numId="126" w16cid:durableId="9140837">
    <w:abstractNumId w:val="341"/>
  </w:num>
  <w:num w:numId="127" w16cid:durableId="919946842">
    <w:abstractNumId w:val="186"/>
  </w:num>
  <w:num w:numId="128" w16cid:durableId="90708258">
    <w:abstractNumId w:val="255"/>
  </w:num>
  <w:num w:numId="129" w16cid:durableId="1134371284">
    <w:abstractNumId w:val="103"/>
  </w:num>
  <w:num w:numId="130" w16cid:durableId="766461607">
    <w:abstractNumId w:val="7"/>
  </w:num>
  <w:num w:numId="131" w16cid:durableId="153767173">
    <w:abstractNumId w:val="300"/>
  </w:num>
  <w:num w:numId="132" w16cid:durableId="926842264">
    <w:abstractNumId w:val="3"/>
  </w:num>
  <w:num w:numId="133" w16cid:durableId="830483267">
    <w:abstractNumId w:val="4"/>
  </w:num>
  <w:num w:numId="134" w16cid:durableId="382144278">
    <w:abstractNumId w:val="5"/>
  </w:num>
  <w:num w:numId="135" w16cid:durableId="405156286">
    <w:abstractNumId w:val="6"/>
  </w:num>
  <w:num w:numId="136" w16cid:durableId="384066884">
    <w:abstractNumId w:val="285"/>
  </w:num>
  <w:num w:numId="137" w16cid:durableId="1253054882">
    <w:abstractNumId w:val="217"/>
  </w:num>
  <w:num w:numId="138" w16cid:durableId="556553325">
    <w:abstractNumId w:val="230"/>
  </w:num>
  <w:num w:numId="139" w16cid:durableId="2135442178">
    <w:abstractNumId w:val="135"/>
  </w:num>
  <w:num w:numId="140" w16cid:durableId="1189173433">
    <w:abstractNumId w:val="178"/>
  </w:num>
  <w:num w:numId="141" w16cid:durableId="277494097">
    <w:abstractNumId w:val="206"/>
  </w:num>
  <w:num w:numId="142" w16cid:durableId="1917592534">
    <w:abstractNumId w:val="298"/>
  </w:num>
  <w:num w:numId="143" w16cid:durableId="745877116">
    <w:abstractNumId w:val="293"/>
  </w:num>
  <w:num w:numId="144" w16cid:durableId="2145273568">
    <w:abstractNumId w:val="9"/>
  </w:num>
  <w:num w:numId="145" w16cid:durableId="912162145">
    <w:abstractNumId w:val="12"/>
  </w:num>
  <w:num w:numId="146" w16cid:durableId="952247035">
    <w:abstractNumId w:val="13"/>
  </w:num>
  <w:num w:numId="147" w16cid:durableId="1010645225">
    <w:abstractNumId w:val="15"/>
  </w:num>
  <w:num w:numId="148" w16cid:durableId="1600020023">
    <w:abstractNumId w:val="88"/>
  </w:num>
  <w:num w:numId="149" w16cid:durableId="1153840219">
    <w:abstractNumId w:val="141"/>
  </w:num>
  <w:num w:numId="150" w16cid:durableId="2146971679">
    <w:abstractNumId w:val="219"/>
  </w:num>
  <w:num w:numId="151" w16cid:durableId="1816947004">
    <w:abstractNumId w:val="17"/>
  </w:num>
  <w:num w:numId="152" w16cid:durableId="850222197">
    <w:abstractNumId w:val="18"/>
  </w:num>
  <w:num w:numId="153" w16cid:durableId="405684191">
    <w:abstractNumId w:val="21"/>
  </w:num>
  <w:num w:numId="154" w16cid:durableId="845175126">
    <w:abstractNumId w:val="22"/>
  </w:num>
  <w:num w:numId="155" w16cid:durableId="32965387">
    <w:abstractNumId w:val="23"/>
  </w:num>
  <w:num w:numId="156" w16cid:durableId="264390986">
    <w:abstractNumId w:val="24"/>
  </w:num>
  <w:num w:numId="157" w16cid:durableId="1628925780">
    <w:abstractNumId w:val="65"/>
  </w:num>
  <w:num w:numId="158" w16cid:durableId="659387604">
    <w:abstractNumId w:val="128"/>
  </w:num>
  <w:num w:numId="159" w16cid:durableId="416439278">
    <w:abstractNumId w:val="241"/>
  </w:num>
  <w:num w:numId="160" w16cid:durableId="885409726">
    <w:abstractNumId w:val="258"/>
  </w:num>
  <w:num w:numId="161" w16cid:durableId="1683972391">
    <w:abstractNumId w:val="66"/>
  </w:num>
  <w:num w:numId="162" w16cid:durableId="1999648963">
    <w:abstractNumId w:val="348"/>
  </w:num>
  <w:num w:numId="163" w16cid:durableId="956176976">
    <w:abstractNumId w:val="144"/>
  </w:num>
  <w:num w:numId="164" w16cid:durableId="1420713184">
    <w:abstractNumId w:val="264"/>
  </w:num>
  <w:num w:numId="165" w16cid:durableId="1407220835">
    <w:abstractNumId w:val="332"/>
  </w:num>
  <w:num w:numId="166" w16cid:durableId="1266116362">
    <w:abstractNumId w:val="272"/>
  </w:num>
  <w:num w:numId="167" w16cid:durableId="2047752732">
    <w:abstractNumId w:val="238"/>
  </w:num>
  <w:num w:numId="168" w16cid:durableId="1048146944">
    <w:abstractNumId w:val="109"/>
  </w:num>
  <w:num w:numId="169" w16cid:durableId="1384017986">
    <w:abstractNumId w:val="84"/>
  </w:num>
  <w:num w:numId="170" w16cid:durableId="365644712">
    <w:abstractNumId w:val="270"/>
  </w:num>
  <w:num w:numId="171" w16cid:durableId="1985620167">
    <w:abstractNumId w:val="136"/>
  </w:num>
  <w:num w:numId="172" w16cid:durableId="407774461">
    <w:abstractNumId w:val="177"/>
  </w:num>
  <w:num w:numId="173" w16cid:durableId="1985885404">
    <w:abstractNumId w:val="80"/>
  </w:num>
  <w:num w:numId="174" w16cid:durableId="373191007">
    <w:abstractNumId w:val="254"/>
  </w:num>
  <w:num w:numId="175" w16cid:durableId="1331131170">
    <w:abstractNumId w:val="277"/>
  </w:num>
  <w:num w:numId="176" w16cid:durableId="59133562">
    <w:abstractNumId w:val="317"/>
  </w:num>
  <w:num w:numId="177" w16cid:durableId="1194459509">
    <w:abstractNumId w:val="118"/>
  </w:num>
  <w:num w:numId="178" w16cid:durableId="4864111">
    <w:abstractNumId w:val="72"/>
  </w:num>
  <w:num w:numId="179" w16cid:durableId="128129218">
    <w:abstractNumId w:val="259"/>
  </w:num>
  <w:num w:numId="180" w16cid:durableId="624851838">
    <w:abstractNumId w:val="308"/>
  </w:num>
  <w:num w:numId="181" w16cid:durableId="1021904059">
    <w:abstractNumId w:val="337"/>
  </w:num>
  <w:num w:numId="182" w16cid:durableId="926351434">
    <w:abstractNumId w:val="79"/>
  </w:num>
  <w:num w:numId="183" w16cid:durableId="1337027650">
    <w:abstractNumId w:val="286"/>
  </w:num>
  <w:num w:numId="184" w16cid:durableId="510268123">
    <w:abstractNumId w:val="347"/>
  </w:num>
  <w:num w:numId="185" w16cid:durableId="1303536531">
    <w:abstractNumId w:val="309"/>
  </w:num>
  <w:num w:numId="186" w16cid:durableId="2143691961">
    <w:abstractNumId w:val="176"/>
  </w:num>
  <w:num w:numId="187" w16cid:durableId="766121791">
    <w:abstractNumId w:val="237"/>
  </w:num>
  <w:num w:numId="188" w16cid:durableId="1892838334">
    <w:abstractNumId w:val="87"/>
  </w:num>
  <w:num w:numId="189" w16cid:durableId="106124665">
    <w:abstractNumId w:val="297"/>
  </w:num>
  <w:num w:numId="190" w16cid:durableId="1618757511">
    <w:abstractNumId w:val="94"/>
  </w:num>
  <w:num w:numId="191" w16cid:durableId="690952109">
    <w:abstractNumId w:val="117"/>
  </w:num>
  <w:num w:numId="192" w16cid:durableId="1122656274">
    <w:abstractNumId w:val="190"/>
  </w:num>
  <w:num w:numId="193" w16cid:durableId="1989674592">
    <w:abstractNumId w:val="160"/>
  </w:num>
  <w:num w:numId="194" w16cid:durableId="1532179874">
    <w:abstractNumId w:val="124"/>
  </w:num>
  <w:num w:numId="195" w16cid:durableId="892740058">
    <w:abstractNumId w:val="104"/>
  </w:num>
  <w:num w:numId="196" w16cid:durableId="1255360665">
    <w:abstractNumId w:val="111"/>
  </w:num>
  <w:num w:numId="197" w16cid:durableId="1126464770">
    <w:abstractNumId w:val="76"/>
  </w:num>
  <w:num w:numId="198" w16cid:durableId="1228734514">
    <w:abstractNumId w:val="313"/>
  </w:num>
  <w:num w:numId="199" w16cid:durableId="27440631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84963648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977566703">
    <w:abstractNumId w:val="229"/>
  </w:num>
  <w:num w:numId="202" w16cid:durableId="2111587926">
    <w:abstractNumId w:val="100"/>
  </w:num>
  <w:num w:numId="203" w16cid:durableId="1530145082">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809321800">
    <w:abstractNumId w:val="145"/>
  </w:num>
  <w:num w:numId="205" w16cid:durableId="489253750">
    <w:abstractNumId w:val="132"/>
  </w:num>
  <w:num w:numId="206" w16cid:durableId="542328004">
    <w:abstractNumId w:val="216"/>
  </w:num>
  <w:num w:numId="207" w16cid:durableId="900217285">
    <w:abstractNumId w:val="236"/>
  </w:num>
  <w:num w:numId="208" w16cid:durableId="1398284069">
    <w:abstractNumId w:val="172"/>
  </w:num>
  <w:num w:numId="209" w16cid:durableId="239870305">
    <w:abstractNumId w:val="140"/>
  </w:num>
  <w:num w:numId="210" w16cid:durableId="1010714368">
    <w:abstractNumId w:val="243"/>
  </w:num>
  <w:num w:numId="211" w16cid:durableId="248539092">
    <w:abstractNumId w:val="184"/>
  </w:num>
  <w:num w:numId="212" w16cid:durableId="1649477662">
    <w:abstractNumId w:val="252"/>
  </w:num>
  <w:num w:numId="213" w16cid:durableId="619260240">
    <w:abstractNumId w:val="150"/>
  </w:num>
  <w:num w:numId="214" w16cid:durableId="1628507638">
    <w:abstractNumId w:val="290"/>
  </w:num>
  <w:num w:numId="215" w16cid:durableId="1214318192">
    <w:abstractNumId w:val="97"/>
  </w:num>
  <w:num w:numId="216" w16cid:durableId="194998815">
    <w:abstractNumId w:val="53"/>
  </w:num>
  <w:num w:numId="217" w16cid:durableId="701981483">
    <w:abstractNumId w:val="175"/>
  </w:num>
  <w:num w:numId="218" w16cid:durableId="1333485439">
    <w:abstractNumId w:val="63"/>
  </w:num>
  <w:num w:numId="219" w16cid:durableId="92481657">
    <w:abstractNumId w:val="246"/>
  </w:num>
  <w:num w:numId="220" w16cid:durableId="62917495">
    <w:abstractNumId w:val="196"/>
  </w:num>
  <w:num w:numId="221" w16cid:durableId="1406686991">
    <w:abstractNumId w:val="142"/>
  </w:num>
  <w:num w:numId="222" w16cid:durableId="1732728498">
    <w:abstractNumId w:val="78"/>
  </w:num>
  <w:num w:numId="223" w16cid:durableId="1495876071">
    <w:abstractNumId w:val="339"/>
  </w:num>
  <w:num w:numId="224" w16cid:durableId="28378178">
    <w:abstractNumId w:val="329"/>
  </w:num>
  <w:num w:numId="225" w16cid:durableId="1884752039">
    <w:abstractNumId w:val="191"/>
  </w:num>
  <w:num w:numId="226" w16cid:durableId="670370134">
    <w:abstractNumId w:val="171"/>
  </w:num>
  <w:num w:numId="227" w16cid:durableId="769667755">
    <w:abstractNumId w:val="161"/>
  </w:num>
  <w:num w:numId="228" w16cid:durableId="411901159">
    <w:abstractNumId w:val="266"/>
  </w:num>
  <w:num w:numId="229" w16cid:durableId="1542010244">
    <w:abstractNumId w:val="301"/>
  </w:num>
  <w:num w:numId="230" w16cid:durableId="699673396">
    <w:abstractNumId w:val="195"/>
  </w:num>
  <w:num w:numId="231" w16cid:durableId="1994525581">
    <w:abstractNumId w:val="70"/>
  </w:num>
  <w:num w:numId="232" w16cid:durableId="322516180">
    <w:abstractNumId w:val="155"/>
  </w:num>
  <w:num w:numId="233" w16cid:durableId="227032790">
    <w:abstractNumId w:val="82"/>
  </w:num>
  <w:num w:numId="234" w16cid:durableId="283657623">
    <w:abstractNumId w:val="108"/>
  </w:num>
  <w:num w:numId="235" w16cid:durableId="1478113402">
    <w:abstractNumId w:val="52"/>
  </w:num>
  <w:num w:numId="236" w16cid:durableId="956256310">
    <w:abstractNumId w:val="310"/>
  </w:num>
  <w:num w:numId="237" w16cid:durableId="640891992">
    <w:abstractNumId w:val="85"/>
  </w:num>
  <w:num w:numId="238" w16cid:durableId="1960599231">
    <w:abstractNumId w:val="163"/>
  </w:num>
  <w:num w:numId="239" w16cid:durableId="40594836">
    <w:abstractNumId w:val="358"/>
  </w:num>
  <w:num w:numId="240" w16cid:durableId="1731028106">
    <w:abstractNumId w:val="220"/>
  </w:num>
  <w:num w:numId="241" w16cid:durableId="1540774804">
    <w:abstractNumId w:val="340"/>
  </w:num>
  <w:num w:numId="242" w16cid:durableId="116533427">
    <w:abstractNumId w:val="192"/>
  </w:num>
  <w:num w:numId="243" w16cid:durableId="499663270">
    <w:abstractNumId w:val="151"/>
  </w:num>
  <w:num w:numId="244" w16cid:durableId="459306813">
    <w:abstractNumId w:val="215"/>
  </w:num>
  <w:num w:numId="245" w16cid:durableId="2020430010">
    <w:abstractNumId w:val="282"/>
  </w:num>
  <w:num w:numId="246" w16cid:durableId="443310625">
    <w:abstractNumId w:val="354"/>
  </w:num>
  <w:num w:numId="247" w16cid:durableId="781195429">
    <w:abstractNumId w:val="143"/>
  </w:num>
  <w:num w:numId="248" w16cid:durableId="277831771">
    <w:abstractNumId w:val="119"/>
  </w:num>
  <w:num w:numId="249" w16cid:durableId="1926261576">
    <w:abstractNumId w:val="113"/>
  </w:num>
  <w:num w:numId="250" w16cid:durableId="1144083314">
    <w:abstractNumId w:val="240"/>
  </w:num>
  <w:num w:numId="251" w16cid:durableId="643967314">
    <w:abstractNumId w:val="315"/>
  </w:num>
  <w:num w:numId="252" w16cid:durableId="697193639">
    <w:abstractNumId w:val="182"/>
  </w:num>
  <w:num w:numId="253" w16cid:durableId="1057508440">
    <w:abstractNumId w:val="98"/>
  </w:num>
  <w:num w:numId="254" w16cid:durableId="1708333626">
    <w:abstractNumId w:val="336"/>
  </w:num>
  <w:num w:numId="255" w16cid:durableId="197477989">
    <w:abstractNumId w:val="162"/>
  </w:num>
  <w:num w:numId="256" w16cid:durableId="1919897754">
    <w:abstractNumId w:val="68"/>
  </w:num>
  <w:num w:numId="257" w16cid:durableId="941258313">
    <w:abstractNumId w:val="153"/>
  </w:num>
  <w:num w:numId="258" w16cid:durableId="1545369938">
    <w:abstractNumId w:val="213"/>
  </w:num>
  <w:num w:numId="259" w16cid:durableId="1121190950">
    <w:abstractNumId w:val="139"/>
  </w:num>
  <w:num w:numId="260" w16cid:durableId="1711808288">
    <w:abstractNumId w:val="207"/>
  </w:num>
  <w:num w:numId="261" w16cid:durableId="720373505">
    <w:abstractNumId w:val="306"/>
  </w:num>
  <w:num w:numId="262" w16cid:durableId="1894922441">
    <w:abstractNumId w:val="260"/>
  </w:num>
  <w:num w:numId="263" w16cid:durableId="1210536349">
    <w:abstractNumId w:val="233"/>
  </w:num>
  <w:num w:numId="264" w16cid:durableId="91360919">
    <w:abstractNumId w:val="262"/>
  </w:num>
  <w:num w:numId="265" w16cid:durableId="171576583">
    <w:abstractNumId w:val="247"/>
  </w:num>
  <w:num w:numId="266" w16cid:durableId="679428631">
    <w:abstractNumId w:val="356"/>
  </w:num>
  <w:num w:numId="267" w16cid:durableId="15085380">
    <w:abstractNumId w:val="279"/>
  </w:num>
  <w:num w:numId="268" w16cid:durableId="1870606941">
    <w:abstractNumId w:val="168"/>
  </w:num>
  <w:num w:numId="269" w16cid:durableId="959192595">
    <w:abstractNumId w:val="342"/>
  </w:num>
  <w:num w:numId="270" w16cid:durableId="1183280356">
    <w:abstractNumId w:val="291"/>
  </w:num>
  <w:num w:numId="271" w16cid:durableId="1854881651">
    <w:abstractNumId w:val="89"/>
  </w:num>
  <w:num w:numId="272" w16cid:durableId="1963417621">
    <w:abstractNumId w:val="320"/>
  </w:num>
  <w:num w:numId="273" w16cid:durableId="1576936212">
    <w:abstractNumId w:val="194"/>
  </w:num>
  <w:num w:numId="274" w16cid:durableId="518660086">
    <w:abstractNumId w:val="334"/>
  </w:num>
  <w:num w:numId="275" w16cid:durableId="667515609">
    <w:abstractNumId w:val="210"/>
  </w:num>
  <w:num w:numId="276" w16cid:durableId="2042169627">
    <w:abstractNumId w:val="292"/>
  </w:num>
  <w:num w:numId="277" w16cid:durableId="140856548">
    <w:abstractNumId w:val="351"/>
  </w:num>
  <w:num w:numId="278" w16cid:durableId="272638036">
    <w:abstractNumId w:val="288"/>
  </w:num>
  <w:num w:numId="279" w16cid:durableId="1495805840">
    <w:abstractNumId w:val="328"/>
  </w:num>
  <w:num w:numId="280" w16cid:durableId="396167986">
    <w:abstractNumId w:val="188"/>
  </w:num>
  <w:num w:numId="281" w16cid:durableId="1827698562">
    <w:abstractNumId w:val="173"/>
  </w:num>
  <w:num w:numId="282" w16cid:durableId="1404066098">
    <w:abstractNumId w:val="156"/>
  </w:num>
  <w:num w:numId="283" w16cid:durableId="1475685262">
    <w:abstractNumId w:val="106"/>
  </w:num>
  <w:num w:numId="284" w16cid:durableId="744643171">
    <w:abstractNumId w:val="166"/>
  </w:num>
  <w:num w:numId="285" w16cid:durableId="1053771021">
    <w:abstractNumId w:val="152"/>
  </w:num>
  <w:num w:numId="286" w16cid:durableId="1871871570">
    <w:abstractNumId w:val="302"/>
  </w:num>
  <w:num w:numId="287" w16cid:durableId="3283966">
    <w:abstractNumId w:val="227"/>
  </w:num>
  <w:num w:numId="288" w16cid:durableId="593630007">
    <w:abstractNumId w:val="314"/>
  </w:num>
  <w:num w:numId="289" w16cid:durableId="1414475366">
    <w:abstractNumId w:val="327"/>
  </w:num>
  <w:num w:numId="290" w16cid:durableId="103161477">
    <w:abstractNumId w:val="295"/>
  </w:num>
  <w:num w:numId="291" w16cid:durableId="18893580">
    <w:abstractNumId w:val="221"/>
  </w:num>
  <w:num w:numId="292" w16cid:durableId="1234661708">
    <w:abstractNumId w:val="267"/>
  </w:num>
  <w:num w:numId="293" w16cid:durableId="782724142">
    <w:abstractNumId w:val="96"/>
  </w:num>
  <w:num w:numId="294" w16cid:durableId="1952778770">
    <w:abstractNumId w:val="204"/>
  </w:num>
  <w:num w:numId="295" w16cid:durableId="170878091">
    <w:abstractNumId w:val="244"/>
  </w:num>
  <w:num w:numId="296" w16cid:durableId="117187365">
    <w:abstractNumId w:val="67"/>
  </w:num>
  <w:num w:numId="297" w16cid:durableId="2061007462">
    <w:abstractNumId w:val="197"/>
  </w:num>
  <w:num w:numId="298" w16cid:durableId="784347946">
    <w:abstractNumId w:val="165"/>
  </w:num>
  <w:num w:numId="299" w16cid:durableId="1788695075">
    <w:abstractNumId w:val="312"/>
  </w:num>
  <w:num w:numId="300" w16cid:durableId="209614987">
    <w:abstractNumId w:val="187"/>
  </w:num>
  <w:num w:numId="301" w16cid:durableId="1315143642">
    <w:abstractNumId w:val="307"/>
  </w:num>
  <w:num w:numId="302" w16cid:durableId="347416579">
    <w:abstractNumId w:val="81"/>
  </w:num>
  <w:num w:numId="303" w16cid:durableId="807630487">
    <w:abstractNumId w:val="130"/>
  </w:num>
  <w:num w:numId="304" w16cid:durableId="1552578100">
    <w:abstractNumId w:val="92"/>
  </w:num>
  <w:num w:numId="305" w16cid:durableId="101537404">
    <w:abstractNumId w:val="202"/>
  </w:num>
  <w:num w:numId="306" w16cid:durableId="691567434">
    <w:abstractNumId w:val="343"/>
  </w:num>
  <w:num w:numId="307" w16cid:durableId="295189001">
    <w:abstractNumId w:val="193"/>
  </w:num>
  <w:num w:numId="308" w16cid:durableId="968433768">
    <w:abstractNumId w:val="181"/>
  </w:num>
  <w:num w:numId="309" w16cid:durableId="1564635267">
    <w:abstractNumId w:val="127"/>
  </w:num>
  <w:num w:numId="310" w16cid:durableId="495851914">
    <w:abstractNumId w:val="226"/>
  </w:num>
  <w:num w:numId="311" w16cid:durableId="1747340836">
    <w:abstractNumId w:val="249"/>
  </w:num>
  <w:num w:numId="312" w16cid:durableId="35350300">
    <w:abstractNumId w:val="284"/>
  </w:num>
  <w:num w:numId="313" w16cid:durableId="1555431949">
    <w:abstractNumId w:val="90"/>
  </w:num>
  <w:num w:numId="314" w16cid:durableId="1478448185">
    <w:abstractNumId w:val="120"/>
  </w:num>
  <w:num w:numId="315" w16cid:durableId="1708792138">
    <w:abstractNumId w:val="56"/>
  </w:num>
  <w:num w:numId="316" w16cid:durableId="1347248341">
    <w:abstractNumId w:val="138"/>
  </w:num>
  <w:num w:numId="317" w16cid:durableId="426929401">
    <w:abstractNumId w:val="60"/>
  </w:num>
  <w:num w:numId="318" w16cid:durableId="1764183951">
    <w:abstractNumId w:val="276"/>
  </w:num>
  <w:num w:numId="319" w16cid:durableId="1584098306">
    <w:abstractNumId w:val="115"/>
  </w:num>
  <w:num w:numId="320" w16cid:durableId="1141464279">
    <w:abstractNumId w:val="248"/>
  </w:num>
  <w:num w:numId="321" w16cid:durableId="2054697715">
    <w:abstractNumId w:val="183"/>
  </w:num>
  <w:num w:numId="322" w16cid:durableId="1683314163">
    <w:abstractNumId w:val="122"/>
  </w:num>
  <w:num w:numId="323" w16cid:durableId="175460925">
    <w:abstractNumId w:val="198"/>
  </w:num>
  <w:num w:numId="324" w16cid:durableId="998534046">
    <w:abstractNumId w:val="134"/>
  </w:num>
  <w:num w:numId="325" w16cid:durableId="1570577857">
    <w:abstractNumId w:val="1"/>
  </w:num>
  <w:num w:numId="326" w16cid:durableId="963735263">
    <w:abstractNumId w:val="0"/>
  </w:num>
  <w:num w:numId="327" w16cid:durableId="816266954">
    <w:abstractNumId w:val="273"/>
  </w:num>
  <w:num w:numId="328" w16cid:durableId="60447183">
    <w:abstractNumId w:val="102"/>
  </w:num>
  <w:num w:numId="329" w16cid:durableId="459767573">
    <w:abstractNumId w:val="137"/>
  </w:num>
  <w:num w:numId="330" w16cid:durableId="820003076">
    <w:abstractNumId w:val="71"/>
  </w:num>
  <w:num w:numId="331" w16cid:durableId="1239947385">
    <w:abstractNumId w:val="59"/>
  </w:num>
  <w:num w:numId="332" w16cid:durableId="909802189">
    <w:abstractNumId w:val="305"/>
  </w:num>
  <w:num w:numId="333" w16cid:durableId="799882419">
    <w:abstractNumId w:val="311"/>
  </w:num>
  <w:num w:numId="334" w16cid:durableId="1892187884">
    <w:abstractNumId w:val="147"/>
  </w:num>
  <w:num w:numId="335" w16cid:durableId="1873960767">
    <w:abstractNumId w:val="253"/>
  </w:num>
  <w:num w:numId="336" w16cid:durableId="1164471448">
    <w:abstractNumId w:val="283"/>
  </w:num>
  <w:num w:numId="337" w16cid:durableId="1531722419">
    <w:abstractNumId w:val="251"/>
  </w:num>
  <w:num w:numId="338" w16cid:durableId="1449660277">
    <w:abstractNumId w:val="223"/>
  </w:num>
  <w:num w:numId="339" w16cid:durableId="1964341802">
    <w:abstractNumId w:val="326"/>
  </w:num>
  <w:num w:numId="340" w16cid:durableId="1578897770">
    <w:abstractNumId w:val="224"/>
  </w:num>
  <w:num w:numId="341" w16cid:durableId="1867795421">
    <w:abstractNumId w:val="211"/>
  </w:num>
  <w:num w:numId="342" w16cid:durableId="382565832">
    <w:abstractNumId w:val="269"/>
  </w:num>
  <w:num w:numId="343" w16cid:durableId="642194706">
    <w:abstractNumId w:val="344"/>
  </w:num>
  <w:num w:numId="344" w16cid:durableId="1998456046">
    <w:abstractNumId w:val="133"/>
  </w:num>
  <w:num w:numId="345" w16cid:durableId="814105015">
    <w:abstractNumId w:val="116"/>
  </w:num>
  <w:num w:numId="346" w16cid:durableId="1243757503">
    <w:abstractNumId w:val="91"/>
  </w:num>
  <w:num w:numId="347" w16cid:durableId="941037666">
    <w:abstractNumId w:val="164"/>
  </w:num>
  <w:num w:numId="348" w16cid:durableId="1192300689">
    <w:abstractNumId w:val="232"/>
  </w:num>
  <w:num w:numId="349" w16cid:durableId="777716915">
    <w:abstractNumId w:val="346"/>
  </w:num>
  <w:num w:numId="350" w16cid:durableId="2083793581">
    <w:abstractNumId w:val="174"/>
  </w:num>
  <w:num w:numId="351" w16cid:durableId="1608924001">
    <w:abstractNumId w:val="121"/>
  </w:num>
  <w:num w:numId="352" w16cid:durableId="653339717">
    <w:abstractNumId w:val="322"/>
  </w:num>
  <w:num w:numId="353" w16cid:durableId="244925926">
    <w:abstractNumId w:val="222"/>
  </w:num>
  <w:num w:numId="354" w16cid:durableId="2083336428">
    <w:abstractNumId w:val="123"/>
  </w:num>
  <w:num w:numId="355" w16cid:durableId="892080207">
    <w:abstractNumId w:val="242"/>
  </w:num>
  <w:num w:numId="356" w16cid:durableId="1175682900">
    <w:abstractNumId w:val="275"/>
  </w:num>
  <w:num w:numId="357" w16cid:durableId="1650594720">
    <w:abstractNumId w:val="107"/>
  </w:num>
  <w:num w:numId="358" w16cid:durableId="870267877">
    <w:abstractNumId w:val="114"/>
  </w:num>
  <w:num w:numId="359" w16cid:durableId="412514291">
    <w:abstractNumId w:val="325"/>
  </w:num>
  <w:num w:numId="360" w16cid:durableId="1324502969">
    <w:abstractNumId w:val="335"/>
  </w:num>
  <w:num w:numId="361" w16cid:durableId="688677828">
    <w:abstractNumId w:val="110"/>
  </w:num>
  <w:num w:numId="362" w16cid:durableId="1663508460">
    <w:abstractNumId w:val="303"/>
  </w:num>
  <w:num w:numId="363" w16cid:durableId="1062407541">
    <w:abstractNumId w:val="316"/>
  </w:num>
  <w:num w:numId="364" w16cid:durableId="25101865">
    <w:abstractNumId w:val="58"/>
  </w:num>
  <w:num w:numId="365" w16cid:durableId="350498406">
    <w:abstractNumId w:val="69"/>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B53"/>
    <w:rsid w:val="0000062A"/>
    <w:rsid w:val="00000D0D"/>
    <w:rsid w:val="00001574"/>
    <w:rsid w:val="000019A7"/>
    <w:rsid w:val="00001F26"/>
    <w:rsid w:val="0000202B"/>
    <w:rsid w:val="00002255"/>
    <w:rsid w:val="000023CE"/>
    <w:rsid w:val="00003C96"/>
    <w:rsid w:val="0000433B"/>
    <w:rsid w:val="000049E1"/>
    <w:rsid w:val="00004BA7"/>
    <w:rsid w:val="000053A6"/>
    <w:rsid w:val="00005406"/>
    <w:rsid w:val="0000666E"/>
    <w:rsid w:val="00010121"/>
    <w:rsid w:val="000105CB"/>
    <w:rsid w:val="00010940"/>
    <w:rsid w:val="00010B63"/>
    <w:rsid w:val="00011216"/>
    <w:rsid w:val="000113D5"/>
    <w:rsid w:val="000121C0"/>
    <w:rsid w:val="000123E2"/>
    <w:rsid w:val="00012AB1"/>
    <w:rsid w:val="000131BF"/>
    <w:rsid w:val="00013539"/>
    <w:rsid w:val="00013605"/>
    <w:rsid w:val="00013F79"/>
    <w:rsid w:val="00014A7E"/>
    <w:rsid w:val="00014AC6"/>
    <w:rsid w:val="000157C0"/>
    <w:rsid w:val="000159A0"/>
    <w:rsid w:val="00015CAC"/>
    <w:rsid w:val="00015D84"/>
    <w:rsid w:val="000172BE"/>
    <w:rsid w:val="00017A33"/>
    <w:rsid w:val="0002082D"/>
    <w:rsid w:val="00020D13"/>
    <w:rsid w:val="0002177D"/>
    <w:rsid w:val="00024BBC"/>
    <w:rsid w:val="00025716"/>
    <w:rsid w:val="000263AD"/>
    <w:rsid w:val="000264B8"/>
    <w:rsid w:val="00026CC2"/>
    <w:rsid w:val="00026E41"/>
    <w:rsid w:val="00026EB8"/>
    <w:rsid w:val="000276D8"/>
    <w:rsid w:val="00027A24"/>
    <w:rsid w:val="00027DF7"/>
    <w:rsid w:val="00027FAE"/>
    <w:rsid w:val="00030055"/>
    <w:rsid w:val="00030C7B"/>
    <w:rsid w:val="00031F1E"/>
    <w:rsid w:val="00031FA2"/>
    <w:rsid w:val="00032770"/>
    <w:rsid w:val="00032EB2"/>
    <w:rsid w:val="00032FF6"/>
    <w:rsid w:val="0003351B"/>
    <w:rsid w:val="0003441E"/>
    <w:rsid w:val="00034A12"/>
    <w:rsid w:val="000357DC"/>
    <w:rsid w:val="00036200"/>
    <w:rsid w:val="00036ADE"/>
    <w:rsid w:val="000379D7"/>
    <w:rsid w:val="00040052"/>
    <w:rsid w:val="000407B9"/>
    <w:rsid w:val="0004173F"/>
    <w:rsid w:val="00041EBA"/>
    <w:rsid w:val="00042C37"/>
    <w:rsid w:val="00042C91"/>
    <w:rsid w:val="00042DB2"/>
    <w:rsid w:val="00042DF6"/>
    <w:rsid w:val="00042F68"/>
    <w:rsid w:val="00043801"/>
    <w:rsid w:val="00044C15"/>
    <w:rsid w:val="00044D93"/>
    <w:rsid w:val="0004635E"/>
    <w:rsid w:val="00047D36"/>
    <w:rsid w:val="00047E51"/>
    <w:rsid w:val="00050041"/>
    <w:rsid w:val="00050CB6"/>
    <w:rsid w:val="00050E91"/>
    <w:rsid w:val="00051054"/>
    <w:rsid w:val="00051780"/>
    <w:rsid w:val="000518FB"/>
    <w:rsid w:val="00051A94"/>
    <w:rsid w:val="00051D29"/>
    <w:rsid w:val="00051FAD"/>
    <w:rsid w:val="0005222F"/>
    <w:rsid w:val="00052DC3"/>
    <w:rsid w:val="00053784"/>
    <w:rsid w:val="0005448E"/>
    <w:rsid w:val="00055C5A"/>
    <w:rsid w:val="00055E37"/>
    <w:rsid w:val="000561FD"/>
    <w:rsid w:val="0005637A"/>
    <w:rsid w:val="000566D6"/>
    <w:rsid w:val="00060613"/>
    <w:rsid w:val="00060865"/>
    <w:rsid w:val="0006212C"/>
    <w:rsid w:val="000633C7"/>
    <w:rsid w:val="0006347A"/>
    <w:rsid w:val="00063752"/>
    <w:rsid w:val="000637E4"/>
    <w:rsid w:val="00063AF7"/>
    <w:rsid w:val="000647F5"/>
    <w:rsid w:val="0006507D"/>
    <w:rsid w:val="00065864"/>
    <w:rsid w:val="00065B6E"/>
    <w:rsid w:val="00066461"/>
    <w:rsid w:val="00066AB5"/>
    <w:rsid w:val="000674BC"/>
    <w:rsid w:val="000709AF"/>
    <w:rsid w:val="00070DEC"/>
    <w:rsid w:val="00070EF5"/>
    <w:rsid w:val="00071B35"/>
    <w:rsid w:val="00073A12"/>
    <w:rsid w:val="00073A18"/>
    <w:rsid w:val="00073B12"/>
    <w:rsid w:val="00074F66"/>
    <w:rsid w:val="00076EE7"/>
    <w:rsid w:val="000773B3"/>
    <w:rsid w:val="00077540"/>
    <w:rsid w:val="00077570"/>
    <w:rsid w:val="00077708"/>
    <w:rsid w:val="0007785F"/>
    <w:rsid w:val="000807D3"/>
    <w:rsid w:val="00080FEC"/>
    <w:rsid w:val="00081880"/>
    <w:rsid w:val="000818B1"/>
    <w:rsid w:val="000828F7"/>
    <w:rsid w:val="00082DB6"/>
    <w:rsid w:val="00083AE3"/>
    <w:rsid w:val="00084717"/>
    <w:rsid w:val="00084E6A"/>
    <w:rsid w:val="00085EC5"/>
    <w:rsid w:val="00086506"/>
    <w:rsid w:val="0008709D"/>
    <w:rsid w:val="000870D2"/>
    <w:rsid w:val="00090AA9"/>
    <w:rsid w:val="00091E62"/>
    <w:rsid w:val="00091F1B"/>
    <w:rsid w:val="0009261A"/>
    <w:rsid w:val="00092B1E"/>
    <w:rsid w:val="00093760"/>
    <w:rsid w:val="00093A49"/>
    <w:rsid w:val="00093D90"/>
    <w:rsid w:val="00094D1B"/>
    <w:rsid w:val="00094EC9"/>
    <w:rsid w:val="000951A9"/>
    <w:rsid w:val="000952FA"/>
    <w:rsid w:val="0009559B"/>
    <w:rsid w:val="000959D8"/>
    <w:rsid w:val="00096451"/>
    <w:rsid w:val="000A03AB"/>
    <w:rsid w:val="000A0513"/>
    <w:rsid w:val="000A14D2"/>
    <w:rsid w:val="000A290C"/>
    <w:rsid w:val="000A39C9"/>
    <w:rsid w:val="000A43EC"/>
    <w:rsid w:val="000A4878"/>
    <w:rsid w:val="000A49E9"/>
    <w:rsid w:val="000A4C85"/>
    <w:rsid w:val="000A5589"/>
    <w:rsid w:val="000A5C4F"/>
    <w:rsid w:val="000A7301"/>
    <w:rsid w:val="000A75F0"/>
    <w:rsid w:val="000A7F08"/>
    <w:rsid w:val="000B060C"/>
    <w:rsid w:val="000B1FA4"/>
    <w:rsid w:val="000B26CE"/>
    <w:rsid w:val="000B27C4"/>
    <w:rsid w:val="000B2882"/>
    <w:rsid w:val="000B3615"/>
    <w:rsid w:val="000B36A7"/>
    <w:rsid w:val="000B40A2"/>
    <w:rsid w:val="000B4312"/>
    <w:rsid w:val="000B460D"/>
    <w:rsid w:val="000B474A"/>
    <w:rsid w:val="000B4ADB"/>
    <w:rsid w:val="000B55CE"/>
    <w:rsid w:val="000B5618"/>
    <w:rsid w:val="000B7097"/>
    <w:rsid w:val="000B75B5"/>
    <w:rsid w:val="000C0276"/>
    <w:rsid w:val="000C062A"/>
    <w:rsid w:val="000C06F1"/>
    <w:rsid w:val="000C108D"/>
    <w:rsid w:val="000C17C8"/>
    <w:rsid w:val="000C205C"/>
    <w:rsid w:val="000C2B9C"/>
    <w:rsid w:val="000C2FF0"/>
    <w:rsid w:val="000C3190"/>
    <w:rsid w:val="000C3B45"/>
    <w:rsid w:val="000C40A4"/>
    <w:rsid w:val="000C4EBF"/>
    <w:rsid w:val="000C5187"/>
    <w:rsid w:val="000C5633"/>
    <w:rsid w:val="000C6766"/>
    <w:rsid w:val="000C6807"/>
    <w:rsid w:val="000C685E"/>
    <w:rsid w:val="000C6AD7"/>
    <w:rsid w:val="000C726C"/>
    <w:rsid w:val="000D0239"/>
    <w:rsid w:val="000D0492"/>
    <w:rsid w:val="000D0969"/>
    <w:rsid w:val="000D0B29"/>
    <w:rsid w:val="000D1AE6"/>
    <w:rsid w:val="000D1F05"/>
    <w:rsid w:val="000D2166"/>
    <w:rsid w:val="000D21ED"/>
    <w:rsid w:val="000D26D5"/>
    <w:rsid w:val="000D3022"/>
    <w:rsid w:val="000D4007"/>
    <w:rsid w:val="000D6475"/>
    <w:rsid w:val="000D6B44"/>
    <w:rsid w:val="000D6C96"/>
    <w:rsid w:val="000D6EAD"/>
    <w:rsid w:val="000E0A76"/>
    <w:rsid w:val="000E16A7"/>
    <w:rsid w:val="000E186C"/>
    <w:rsid w:val="000E1B28"/>
    <w:rsid w:val="000E1B50"/>
    <w:rsid w:val="000E1E88"/>
    <w:rsid w:val="000E3CC8"/>
    <w:rsid w:val="000E3F47"/>
    <w:rsid w:val="000E4129"/>
    <w:rsid w:val="000E488A"/>
    <w:rsid w:val="000E4AE4"/>
    <w:rsid w:val="000E55C6"/>
    <w:rsid w:val="000E5AFA"/>
    <w:rsid w:val="000E5EC4"/>
    <w:rsid w:val="000E5EC5"/>
    <w:rsid w:val="000E74A6"/>
    <w:rsid w:val="000E76DC"/>
    <w:rsid w:val="000E77B3"/>
    <w:rsid w:val="000E7F4E"/>
    <w:rsid w:val="000F0196"/>
    <w:rsid w:val="000F1690"/>
    <w:rsid w:val="000F1710"/>
    <w:rsid w:val="000F1922"/>
    <w:rsid w:val="000F1FC9"/>
    <w:rsid w:val="000F2693"/>
    <w:rsid w:val="000F2CFE"/>
    <w:rsid w:val="000F2FA2"/>
    <w:rsid w:val="000F4307"/>
    <w:rsid w:val="000F528D"/>
    <w:rsid w:val="000F556E"/>
    <w:rsid w:val="000F5638"/>
    <w:rsid w:val="000F5649"/>
    <w:rsid w:val="000F6237"/>
    <w:rsid w:val="000F681C"/>
    <w:rsid w:val="000F6F83"/>
    <w:rsid w:val="00100379"/>
    <w:rsid w:val="00100A90"/>
    <w:rsid w:val="00100C62"/>
    <w:rsid w:val="00100E30"/>
    <w:rsid w:val="00100E48"/>
    <w:rsid w:val="001012C6"/>
    <w:rsid w:val="00101652"/>
    <w:rsid w:val="00101C9E"/>
    <w:rsid w:val="001022F6"/>
    <w:rsid w:val="001024B2"/>
    <w:rsid w:val="001026C9"/>
    <w:rsid w:val="00102B1C"/>
    <w:rsid w:val="0010326B"/>
    <w:rsid w:val="001039F2"/>
    <w:rsid w:val="00103E8E"/>
    <w:rsid w:val="001043A5"/>
    <w:rsid w:val="0010469C"/>
    <w:rsid w:val="00104976"/>
    <w:rsid w:val="00105420"/>
    <w:rsid w:val="00105EBD"/>
    <w:rsid w:val="00105F08"/>
    <w:rsid w:val="001066D4"/>
    <w:rsid w:val="0010680C"/>
    <w:rsid w:val="0010703B"/>
    <w:rsid w:val="00107DEA"/>
    <w:rsid w:val="001100D4"/>
    <w:rsid w:val="001106A5"/>
    <w:rsid w:val="001107FF"/>
    <w:rsid w:val="00111B59"/>
    <w:rsid w:val="00111CB2"/>
    <w:rsid w:val="00113140"/>
    <w:rsid w:val="001131AF"/>
    <w:rsid w:val="00113A0F"/>
    <w:rsid w:val="00113B48"/>
    <w:rsid w:val="00113C39"/>
    <w:rsid w:val="00113C7D"/>
    <w:rsid w:val="00114DBD"/>
    <w:rsid w:val="00114E27"/>
    <w:rsid w:val="00115291"/>
    <w:rsid w:val="00115379"/>
    <w:rsid w:val="00115755"/>
    <w:rsid w:val="0011575C"/>
    <w:rsid w:val="0011580F"/>
    <w:rsid w:val="00115DCE"/>
    <w:rsid w:val="001161FE"/>
    <w:rsid w:val="00116289"/>
    <w:rsid w:val="001163D6"/>
    <w:rsid w:val="001166FC"/>
    <w:rsid w:val="001169B4"/>
    <w:rsid w:val="0012048E"/>
    <w:rsid w:val="00120A04"/>
    <w:rsid w:val="00121787"/>
    <w:rsid w:val="00121E95"/>
    <w:rsid w:val="00121EC6"/>
    <w:rsid w:val="00122EB5"/>
    <w:rsid w:val="00122F2C"/>
    <w:rsid w:val="00123EC5"/>
    <w:rsid w:val="00124F1B"/>
    <w:rsid w:val="00125310"/>
    <w:rsid w:val="00126A7D"/>
    <w:rsid w:val="00126F46"/>
    <w:rsid w:val="0012733E"/>
    <w:rsid w:val="00127E9D"/>
    <w:rsid w:val="00130378"/>
    <w:rsid w:val="0013068C"/>
    <w:rsid w:val="0013155B"/>
    <w:rsid w:val="001327C2"/>
    <w:rsid w:val="00132B49"/>
    <w:rsid w:val="00132C5A"/>
    <w:rsid w:val="00133616"/>
    <w:rsid w:val="00133CA4"/>
    <w:rsid w:val="00134216"/>
    <w:rsid w:val="00134AD0"/>
    <w:rsid w:val="001352CD"/>
    <w:rsid w:val="001353BE"/>
    <w:rsid w:val="001354F2"/>
    <w:rsid w:val="00135A25"/>
    <w:rsid w:val="001366B4"/>
    <w:rsid w:val="001367ED"/>
    <w:rsid w:val="00140AB2"/>
    <w:rsid w:val="00140E07"/>
    <w:rsid w:val="00142402"/>
    <w:rsid w:val="0014242C"/>
    <w:rsid w:val="00142966"/>
    <w:rsid w:val="00142BFA"/>
    <w:rsid w:val="00142DC0"/>
    <w:rsid w:val="00143FCF"/>
    <w:rsid w:val="0014508F"/>
    <w:rsid w:val="00145427"/>
    <w:rsid w:val="00145494"/>
    <w:rsid w:val="00145BB7"/>
    <w:rsid w:val="00147275"/>
    <w:rsid w:val="00150F84"/>
    <w:rsid w:val="0015100B"/>
    <w:rsid w:val="0015153B"/>
    <w:rsid w:val="00151856"/>
    <w:rsid w:val="00151B87"/>
    <w:rsid w:val="00152089"/>
    <w:rsid w:val="00152D38"/>
    <w:rsid w:val="00153481"/>
    <w:rsid w:val="00153C57"/>
    <w:rsid w:val="00153C8D"/>
    <w:rsid w:val="00154269"/>
    <w:rsid w:val="001543F5"/>
    <w:rsid w:val="00154B86"/>
    <w:rsid w:val="00154D91"/>
    <w:rsid w:val="00155666"/>
    <w:rsid w:val="00155D14"/>
    <w:rsid w:val="00156264"/>
    <w:rsid w:val="0015648D"/>
    <w:rsid w:val="00156518"/>
    <w:rsid w:val="00156552"/>
    <w:rsid w:val="00156A04"/>
    <w:rsid w:val="001574AB"/>
    <w:rsid w:val="00157849"/>
    <w:rsid w:val="001610E8"/>
    <w:rsid w:val="001615D3"/>
    <w:rsid w:val="001616A5"/>
    <w:rsid w:val="00161763"/>
    <w:rsid w:val="00161DBD"/>
    <w:rsid w:val="00162BF0"/>
    <w:rsid w:val="00163418"/>
    <w:rsid w:val="00163B0C"/>
    <w:rsid w:val="00164EEB"/>
    <w:rsid w:val="001650FC"/>
    <w:rsid w:val="00166102"/>
    <w:rsid w:val="001664AE"/>
    <w:rsid w:val="00166B78"/>
    <w:rsid w:val="00166E57"/>
    <w:rsid w:val="00167159"/>
    <w:rsid w:val="00167889"/>
    <w:rsid w:val="0017020A"/>
    <w:rsid w:val="00170CF9"/>
    <w:rsid w:val="00171177"/>
    <w:rsid w:val="00172650"/>
    <w:rsid w:val="0017266D"/>
    <w:rsid w:val="00172A41"/>
    <w:rsid w:val="001733D3"/>
    <w:rsid w:val="00173BD7"/>
    <w:rsid w:val="00173C8A"/>
    <w:rsid w:val="0017417D"/>
    <w:rsid w:val="0017447F"/>
    <w:rsid w:val="001754E0"/>
    <w:rsid w:val="00176088"/>
    <w:rsid w:val="001760BF"/>
    <w:rsid w:val="00176879"/>
    <w:rsid w:val="001769AF"/>
    <w:rsid w:val="00177610"/>
    <w:rsid w:val="00177D39"/>
    <w:rsid w:val="00180A8A"/>
    <w:rsid w:val="00181866"/>
    <w:rsid w:val="00181A1D"/>
    <w:rsid w:val="001821F7"/>
    <w:rsid w:val="00182713"/>
    <w:rsid w:val="001833C6"/>
    <w:rsid w:val="001839FC"/>
    <w:rsid w:val="00184363"/>
    <w:rsid w:val="001851F9"/>
    <w:rsid w:val="001852E8"/>
    <w:rsid w:val="001860D7"/>
    <w:rsid w:val="00190B95"/>
    <w:rsid w:val="00192FB0"/>
    <w:rsid w:val="001932C1"/>
    <w:rsid w:val="001935C4"/>
    <w:rsid w:val="00194819"/>
    <w:rsid w:val="00195112"/>
    <w:rsid w:val="0019595F"/>
    <w:rsid w:val="00195B11"/>
    <w:rsid w:val="001961D7"/>
    <w:rsid w:val="0019689E"/>
    <w:rsid w:val="00196E40"/>
    <w:rsid w:val="001979A3"/>
    <w:rsid w:val="00197EEF"/>
    <w:rsid w:val="001A0F9C"/>
    <w:rsid w:val="001A0FB7"/>
    <w:rsid w:val="001A25D8"/>
    <w:rsid w:val="001A3755"/>
    <w:rsid w:val="001A39EA"/>
    <w:rsid w:val="001A4685"/>
    <w:rsid w:val="001A58DD"/>
    <w:rsid w:val="001A70C5"/>
    <w:rsid w:val="001A7C95"/>
    <w:rsid w:val="001A7F58"/>
    <w:rsid w:val="001B0169"/>
    <w:rsid w:val="001B10B1"/>
    <w:rsid w:val="001B1322"/>
    <w:rsid w:val="001B18B7"/>
    <w:rsid w:val="001B1FCA"/>
    <w:rsid w:val="001B28C7"/>
    <w:rsid w:val="001B358F"/>
    <w:rsid w:val="001B3C4B"/>
    <w:rsid w:val="001B3DE8"/>
    <w:rsid w:val="001B490D"/>
    <w:rsid w:val="001B4DC0"/>
    <w:rsid w:val="001B5E2D"/>
    <w:rsid w:val="001B63A6"/>
    <w:rsid w:val="001B64E9"/>
    <w:rsid w:val="001B6727"/>
    <w:rsid w:val="001B6AB2"/>
    <w:rsid w:val="001B7E98"/>
    <w:rsid w:val="001C05AB"/>
    <w:rsid w:val="001C1174"/>
    <w:rsid w:val="001C14B0"/>
    <w:rsid w:val="001C1BF3"/>
    <w:rsid w:val="001C2289"/>
    <w:rsid w:val="001C2C29"/>
    <w:rsid w:val="001C3EC3"/>
    <w:rsid w:val="001C448C"/>
    <w:rsid w:val="001C5117"/>
    <w:rsid w:val="001C5287"/>
    <w:rsid w:val="001C5701"/>
    <w:rsid w:val="001C69FC"/>
    <w:rsid w:val="001C6BAF"/>
    <w:rsid w:val="001C7DCD"/>
    <w:rsid w:val="001C7E35"/>
    <w:rsid w:val="001D0886"/>
    <w:rsid w:val="001D1296"/>
    <w:rsid w:val="001D2309"/>
    <w:rsid w:val="001D2E52"/>
    <w:rsid w:val="001D495D"/>
    <w:rsid w:val="001D4CA5"/>
    <w:rsid w:val="001D5A41"/>
    <w:rsid w:val="001D66F6"/>
    <w:rsid w:val="001D6795"/>
    <w:rsid w:val="001D68B3"/>
    <w:rsid w:val="001D6A50"/>
    <w:rsid w:val="001D6BF3"/>
    <w:rsid w:val="001D707D"/>
    <w:rsid w:val="001D7B0A"/>
    <w:rsid w:val="001E0C05"/>
    <w:rsid w:val="001E101F"/>
    <w:rsid w:val="001E128A"/>
    <w:rsid w:val="001E3536"/>
    <w:rsid w:val="001E3AA8"/>
    <w:rsid w:val="001E416E"/>
    <w:rsid w:val="001E5128"/>
    <w:rsid w:val="001E629E"/>
    <w:rsid w:val="001E77C8"/>
    <w:rsid w:val="001E7C38"/>
    <w:rsid w:val="001F0197"/>
    <w:rsid w:val="001F081C"/>
    <w:rsid w:val="001F0823"/>
    <w:rsid w:val="001F08F4"/>
    <w:rsid w:val="001F1077"/>
    <w:rsid w:val="001F174F"/>
    <w:rsid w:val="001F278B"/>
    <w:rsid w:val="001F2805"/>
    <w:rsid w:val="001F2B1F"/>
    <w:rsid w:val="001F2FBE"/>
    <w:rsid w:val="001F33E4"/>
    <w:rsid w:val="001F3636"/>
    <w:rsid w:val="001F37BD"/>
    <w:rsid w:val="001F41AC"/>
    <w:rsid w:val="001F51D6"/>
    <w:rsid w:val="001F5C34"/>
    <w:rsid w:val="001F6AC2"/>
    <w:rsid w:val="001F6E48"/>
    <w:rsid w:val="001F7B66"/>
    <w:rsid w:val="001F7EA1"/>
    <w:rsid w:val="00200F62"/>
    <w:rsid w:val="00201491"/>
    <w:rsid w:val="002018EF"/>
    <w:rsid w:val="00202A8E"/>
    <w:rsid w:val="00203EDC"/>
    <w:rsid w:val="00203F38"/>
    <w:rsid w:val="00204883"/>
    <w:rsid w:val="00204CCA"/>
    <w:rsid w:val="00205DD4"/>
    <w:rsid w:val="0020636C"/>
    <w:rsid w:val="00207554"/>
    <w:rsid w:val="0020772F"/>
    <w:rsid w:val="002078BA"/>
    <w:rsid w:val="00210160"/>
    <w:rsid w:val="00210C3C"/>
    <w:rsid w:val="00210FDF"/>
    <w:rsid w:val="00211487"/>
    <w:rsid w:val="0021181B"/>
    <w:rsid w:val="00212335"/>
    <w:rsid w:val="00212531"/>
    <w:rsid w:val="00212F0C"/>
    <w:rsid w:val="0021459F"/>
    <w:rsid w:val="00214CBC"/>
    <w:rsid w:val="0021529D"/>
    <w:rsid w:val="00215949"/>
    <w:rsid w:val="00215C57"/>
    <w:rsid w:val="00216FD2"/>
    <w:rsid w:val="00217613"/>
    <w:rsid w:val="002178B0"/>
    <w:rsid w:val="00222140"/>
    <w:rsid w:val="00222C59"/>
    <w:rsid w:val="00222DC2"/>
    <w:rsid w:val="00223286"/>
    <w:rsid w:val="00223F1B"/>
    <w:rsid w:val="00224571"/>
    <w:rsid w:val="00224806"/>
    <w:rsid w:val="0022488C"/>
    <w:rsid w:val="00224A2C"/>
    <w:rsid w:val="002250CB"/>
    <w:rsid w:val="002272A5"/>
    <w:rsid w:val="00227F88"/>
    <w:rsid w:val="0023038C"/>
    <w:rsid w:val="002309E8"/>
    <w:rsid w:val="00230DF5"/>
    <w:rsid w:val="00231A18"/>
    <w:rsid w:val="00231BC7"/>
    <w:rsid w:val="00231DB7"/>
    <w:rsid w:val="002328FD"/>
    <w:rsid w:val="00233517"/>
    <w:rsid w:val="00233811"/>
    <w:rsid w:val="002349EB"/>
    <w:rsid w:val="00235D33"/>
    <w:rsid w:val="00236209"/>
    <w:rsid w:val="002367DB"/>
    <w:rsid w:val="002368D0"/>
    <w:rsid w:val="00236A1D"/>
    <w:rsid w:val="00236C4F"/>
    <w:rsid w:val="00236EC0"/>
    <w:rsid w:val="0023753C"/>
    <w:rsid w:val="0023786E"/>
    <w:rsid w:val="0023790E"/>
    <w:rsid w:val="00237A7B"/>
    <w:rsid w:val="00240030"/>
    <w:rsid w:val="002404A8"/>
    <w:rsid w:val="00242120"/>
    <w:rsid w:val="00242369"/>
    <w:rsid w:val="00242958"/>
    <w:rsid w:val="00242A92"/>
    <w:rsid w:val="00244272"/>
    <w:rsid w:val="00245FAA"/>
    <w:rsid w:val="00245FEF"/>
    <w:rsid w:val="00246AE1"/>
    <w:rsid w:val="00247453"/>
    <w:rsid w:val="00247C87"/>
    <w:rsid w:val="00247D7F"/>
    <w:rsid w:val="002502D8"/>
    <w:rsid w:val="00250EB7"/>
    <w:rsid w:val="00251A96"/>
    <w:rsid w:val="00251E66"/>
    <w:rsid w:val="002525B5"/>
    <w:rsid w:val="00252B7F"/>
    <w:rsid w:val="00253338"/>
    <w:rsid w:val="0025343B"/>
    <w:rsid w:val="00253B87"/>
    <w:rsid w:val="00253CE5"/>
    <w:rsid w:val="002541A3"/>
    <w:rsid w:val="002552D9"/>
    <w:rsid w:val="00255C95"/>
    <w:rsid w:val="00256598"/>
    <w:rsid w:val="00256A3A"/>
    <w:rsid w:val="00257269"/>
    <w:rsid w:val="00257541"/>
    <w:rsid w:val="00257739"/>
    <w:rsid w:val="00257ED9"/>
    <w:rsid w:val="00260C32"/>
    <w:rsid w:val="00260EDB"/>
    <w:rsid w:val="0026117B"/>
    <w:rsid w:val="0026184D"/>
    <w:rsid w:val="00261E0B"/>
    <w:rsid w:val="002621C5"/>
    <w:rsid w:val="00262747"/>
    <w:rsid w:val="002631F3"/>
    <w:rsid w:val="00264608"/>
    <w:rsid w:val="0026549C"/>
    <w:rsid w:val="0026594E"/>
    <w:rsid w:val="002660E4"/>
    <w:rsid w:val="00267EF4"/>
    <w:rsid w:val="00270038"/>
    <w:rsid w:val="0027007B"/>
    <w:rsid w:val="00271E75"/>
    <w:rsid w:val="00272325"/>
    <w:rsid w:val="002724AE"/>
    <w:rsid w:val="00272D7C"/>
    <w:rsid w:val="002738AC"/>
    <w:rsid w:val="00273E18"/>
    <w:rsid w:val="00273E8A"/>
    <w:rsid w:val="00274136"/>
    <w:rsid w:val="00274477"/>
    <w:rsid w:val="00275605"/>
    <w:rsid w:val="00276DF8"/>
    <w:rsid w:val="00277313"/>
    <w:rsid w:val="00277366"/>
    <w:rsid w:val="00277B5E"/>
    <w:rsid w:val="00277C59"/>
    <w:rsid w:val="002800C8"/>
    <w:rsid w:val="002803A9"/>
    <w:rsid w:val="00280698"/>
    <w:rsid w:val="00280735"/>
    <w:rsid w:val="00280C6A"/>
    <w:rsid w:val="0028106E"/>
    <w:rsid w:val="00281E71"/>
    <w:rsid w:val="00281F50"/>
    <w:rsid w:val="00282942"/>
    <w:rsid w:val="00283172"/>
    <w:rsid w:val="00283588"/>
    <w:rsid w:val="00283C34"/>
    <w:rsid w:val="00284D3A"/>
    <w:rsid w:val="0028533E"/>
    <w:rsid w:val="0028587B"/>
    <w:rsid w:val="00285995"/>
    <w:rsid w:val="00285C80"/>
    <w:rsid w:val="00285C89"/>
    <w:rsid w:val="00285F1E"/>
    <w:rsid w:val="002862B9"/>
    <w:rsid w:val="00286444"/>
    <w:rsid w:val="00286B6C"/>
    <w:rsid w:val="0029011A"/>
    <w:rsid w:val="0029053D"/>
    <w:rsid w:val="00290781"/>
    <w:rsid w:val="002909C3"/>
    <w:rsid w:val="002912DC"/>
    <w:rsid w:val="00291B63"/>
    <w:rsid w:val="00292EAE"/>
    <w:rsid w:val="00293826"/>
    <w:rsid w:val="0029499B"/>
    <w:rsid w:val="0029536A"/>
    <w:rsid w:val="002956EE"/>
    <w:rsid w:val="00295890"/>
    <w:rsid w:val="00296203"/>
    <w:rsid w:val="002967BE"/>
    <w:rsid w:val="00296A55"/>
    <w:rsid w:val="00296BE0"/>
    <w:rsid w:val="002A090E"/>
    <w:rsid w:val="002A0AB8"/>
    <w:rsid w:val="002A0C42"/>
    <w:rsid w:val="002A0F28"/>
    <w:rsid w:val="002A2806"/>
    <w:rsid w:val="002A36EC"/>
    <w:rsid w:val="002A474C"/>
    <w:rsid w:val="002A5660"/>
    <w:rsid w:val="002A59B5"/>
    <w:rsid w:val="002A60A5"/>
    <w:rsid w:val="002A668F"/>
    <w:rsid w:val="002A6A56"/>
    <w:rsid w:val="002A7DBC"/>
    <w:rsid w:val="002B020B"/>
    <w:rsid w:val="002B08F2"/>
    <w:rsid w:val="002B14CB"/>
    <w:rsid w:val="002B156E"/>
    <w:rsid w:val="002B170E"/>
    <w:rsid w:val="002B190A"/>
    <w:rsid w:val="002B1E5B"/>
    <w:rsid w:val="002B2CB1"/>
    <w:rsid w:val="002B3A6F"/>
    <w:rsid w:val="002B3EB6"/>
    <w:rsid w:val="002B3F94"/>
    <w:rsid w:val="002B3FBA"/>
    <w:rsid w:val="002B50D3"/>
    <w:rsid w:val="002B5184"/>
    <w:rsid w:val="002B5645"/>
    <w:rsid w:val="002B654C"/>
    <w:rsid w:val="002B6C89"/>
    <w:rsid w:val="002B6F7C"/>
    <w:rsid w:val="002B7219"/>
    <w:rsid w:val="002B7D9E"/>
    <w:rsid w:val="002C00C2"/>
    <w:rsid w:val="002C01B6"/>
    <w:rsid w:val="002C043A"/>
    <w:rsid w:val="002C06A6"/>
    <w:rsid w:val="002C0C2C"/>
    <w:rsid w:val="002C10E3"/>
    <w:rsid w:val="002C136D"/>
    <w:rsid w:val="002C2841"/>
    <w:rsid w:val="002C2C76"/>
    <w:rsid w:val="002C2D88"/>
    <w:rsid w:val="002C3BD1"/>
    <w:rsid w:val="002C4CAD"/>
    <w:rsid w:val="002C500B"/>
    <w:rsid w:val="002C5AF1"/>
    <w:rsid w:val="002C5F3F"/>
    <w:rsid w:val="002C6075"/>
    <w:rsid w:val="002C6421"/>
    <w:rsid w:val="002C6508"/>
    <w:rsid w:val="002C67D1"/>
    <w:rsid w:val="002C6C99"/>
    <w:rsid w:val="002C71EE"/>
    <w:rsid w:val="002C72C2"/>
    <w:rsid w:val="002C74E7"/>
    <w:rsid w:val="002C7716"/>
    <w:rsid w:val="002C7ABF"/>
    <w:rsid w:val="002D0578"/>
    <w:rsid w:val="002D0585"/>
    <w:rsid w:val="002D0AA2"/>
    <w:rsid w:val="002D1D30"/>
    <w:rsid w:val="002D212B"/>
    <w:rsid w:val="002D2BFE"/>
    <w:rsid w:val="002D3A70"/>
    <w:rsid w:val="002D59B7"/>
    <w:rsid w:val="002D5D4C"/>
    <w:rsid w:val="002D60E8"/>
    <w:rsid w:val="002D61DB"/>
    <w:rsid w:val="002D672A"/>
    <w:rsid w:val="002D6B58"/>
    <w:rsid w:val="002D6D0D"/>
    <w:rsid w:val="002D6F8F"/>
    <w:rsid w:val="002D78B7"/>
    <w:rsid w:val="002E0114"/>
    <w:rsid w:val="002E0463"/>
    <w:rsid w:val="002E06AC"/>
    <w:rsid w:val="002E23F8"/>
    <w:rsid w:val="002E4622"/>
    <w:rsid w:val="002E4AA0"/>
    <w:rsid w:val="002E4AB0"/>
    <w:rsid w:val="002E55E0"/>
    <w:rsid w:val="002E5CDD"/>
    <w:rsid w:val="002E5DB7"/>
    <w:rsid w:val="002E614D"/>
    <w:rsid w:val="002E73F5"/>
    <w:rsid w:val="002E74DE"/>
    <w:rsid w:val="002E7DD1"/>
    <w:rsid w:val="002F069B"/>
    <w:rsid w:val="002F0ED5"/>
    <w:rsid w:val="002F1090"/>
    <w:rsid w:val="002F1A74"/>
    <w:rsid w:val="002F1DEA"/>
    <w:rsid w:val="002F1EC1"/>
    <w:rsid w:val="002F20DA"/>
    <w:rsid w:val="002F234F"/>
    <w:rsid w:val="002F2A4D"/>
    <w:rsid w:val="002F3145"/>
    <w:rsid w:val="002F372E"/>
    <w:rsid w:val="002F4BB3"/>
    <w:rsid w:val="002F5AD5"/>
    <w:rsid w:val="002F5B26"/>
    <w:rsid w:val="002F5EA2"/>
    <w:rsid w:val="002F6851"/>
    <w:rsid w:val="002F7537"/>
    <w:rsid w:val="002F755C"/>
    <w:rsid w:val="003005B7"/>
    <w:rsid w:val="00301B31"/>
    <w:rsid w:val="00302037"/>
    <w:rsid w:val="00302437"/>
    <w:rsid w:val="003024C5"/>
    <w:rsid w:val="003024C9"/>
    <w:rsid w:val="00302A42"/>
    <w:rsid w:val="00302EC9"/>
    <w:rsid w:val="0030375E"/>
    <w:rsid w:val="00304D9A"/>
    <w:rsid w:val="00305FDA"/>
    <w:rsid w:val="003065CD"/>
    <w:rsid w:val="003066A8"/>
    <w:rsid w:val="003069E3"/>
    <w:rsid w:val="00306FE7"/>
    <w:rsid w:val="0030794D"/>
    <w:rsid w:val="003079EA"/>
    <w:rsid w:val="00307FDE"/>
    <w:rsid w:val="0031124F"/>
    <w:rsid w:val="00311CB4"/>
    <w:rsid w:val="0031219B"/>
    <w:rsid w:val="00312612"/>
    <w:rsid w:val="00312B66"/>
    <w:rsid w:val="00312D5B"/>
    <w:rsid w:val="00313332"/>
    <w:rsid w:val="0031421D"/>
    <w:rsid w:val="00314F1C"/>
    <w:rsid w:val="003151A1"/>
    <w:rsid w:val="00315634"/>
    <w:rsid w:val="00315695"/>
    <w:rsid w:val="00315C95"/>
    <w:rsid w:val="00316949"/>
    <w:rsid w:val="00316C78"/>
    <w:rsid w:val="00317032"/>
    <w:rsid w:val="0031730D"/>
    <w:rsid w:val="00317A0A"/>
    <w:rsid w:val="00320084"/>
    <w:rsid w:val="003200E0"/>
    <w:rsid w:val="003200E4"/>
    <w:rsid w:val="003207DF"/>
    <w:rsid w:val="003209E9"/>
    <w:rsid w:val="00320C48"/>
    <w:rsid w:val="00320DB0"/>
    <w:rsid w:val="00320E84"/>
    <w:rsid w:val="00321793"/>
    <w:rsid w:val="003219CC"/>
    <w:rsid w:val="00321BD3"/>
    <w:rsid w:val="00322064"/>
    <w:rsid w:val="00322396"/>
    <w:rsid w:val="0032276D"/>
    <w:rsid w:val="00322A27"/>
    <w:rsid w:val="003235A5"/>
    <w:rsid w:val="003235FC"/>
    <w:rsid w:val="00324280"/>
    <w:rsid w:val="00325571"/>
    <w:rsid w:val="00325572"/>
    <w:rsid w:val="0032712D"/>
    <w:rsid w:val="00331703"/>
    <w:rsid w:val="00331D44"/>
    <w:rsid w:val="0033235C"/>
    <w:rsid w:val="00333EE5"/>
    <w:rsid w:val="00334E8C"/>
    <w:rsid w:val="00336AE2"/>
    <w:rsid w:val="003372BE"/>
    <w:rsid w:val="0033799E"/>
    <w:rsid w:val="00340D72"/>
    <w:rsid w:val="00341253"/>
    <w:rsid w:val="003412B6"/>
    <w:rsid w:val="00341A93"/>
    <w:rsid w:val="00342AC4"/>
    <w:rsid w:val="003430F7"/>
    <w:rsid w:val="00343300"/>
    <w:rsid w:val="00343D31"/>
    <w:rsid w:val="00343E29"/>
    <w:rsid w:val="00343F7C"/>
    <w:rsid w:val="00344469"/>
    <w:rsid w:val="003453DE"/>
    <w:rsid w:val="003453E5"/>
    <w:rsid w:val="00345B58"/>
    <w:rsid w:val="0034632B"/>
    <w:rsid w:val="00346848"/>
    <w:rsid w:val="00346BAB"/>
    <w:rsid w:val="00346C50"/>
    <w:rsid w:val="003473D7"/>
    <w:rsid w:val="00350642"/>
    <w:rsid w:val="00350F48"/>
    <w:rsid w:val="00351FAE"/>
    <w:rsid w:val="00353339"/>
    <w:rsid w:val="00353AF5"/>
    <w:rsid w:val="00353B2B"/>
    <w:rsid w:val="00355691"/>
    <w:rsid w:val="00355BFB"/>
    <w:rsid w:val="00355F57"/>
    <w:rsid w:val="00357224"/>
    <w:rsid w:val="00357BB6"/>
    <w:rsid w:val="00360013"/>
    <w:rsid w:val="00360B8E"/>
    <w:rsid w:val="00360DAB"/>
    <w:rsid w:val="00360DC2"/>
    <w:rsid w:val="003614A3"/>
    <w:rsid w:val="003616AD"/>
    <w:rsid w:val="00361859"/>
    <w:rsid w:val="00361976"/>
    <w:rsid w:val="00361DD5"/>
    <w:rsid w:val="0036265F"/>
    <w:rsid w:val="00363EAB"/>
    <w:rsid w:val="00365001"/>
    <w:rsid w:val="00365B72"/>
    <w:rsid w:val="00365D28"/>
    <w:rsid w:val="00366737"/>
    <w:rsid w:val="0036700C"/>
    <w:rsid w:val="003672E0"/>
    <w:rsid w:val="0036776E"/>
    <w:rsid w:val="00370C50"/>
    <w:rsid w:val="003716F3"/>
    <w:rsid w:val="00371A8F"/>
    <w:rsid w:val="00371AB8"/>
    <w:rsid w:val="00371D5F"/>
    <w:rsid w:val="00372103"/>
    <w:rsid w:val="003726B1"/>
    <w:rsid w:val="003734A5"/>
    <w:rsid w:val="00373738"/>
    <w:rsid w:val="00373B6F"/>
    <w:rsid w:val="00373C9E"/>
    <w:rsid w:val="00373CE0"/>
    <w:rsid w:val="00373E90"/>
    <w:rsid w:val="00374487"/>
    <w:rsid w:val="00374507"/>
    <w:rsid w:val="003747ED"/>
    <w:rsid w:val="00374F65"/>
    <w:rsid w:val="003750E9"/>
    <w:rsid w:val="003759F4"/>
    <w:rsid w:val="00375B18"/>
    <w:rsid w:val="00375E8A"/>
    <w:rsid w:val="0037630A"/>
    <w:rsid w:val="0037635E"/>
    <w:rsid w:val="003772EB"/>
    <w:rsid w:val="00377827"/>
    <w:rsid w:val="003802D6"/>
    <w:rsid w:val="003806BC"/>
    <w:rsid w:val="0038084F"/>
    <w:rsid w:val="00380851"/>
    <w:rsid w:val="0038093B"/>
    <w:rsid w:val="00380C5C"/>
    <w:rsid w:val="00380D88"/>
    <w:rsid w:val="003829C0"/>
    <w:rsid w:val="00383426"/>
    <w:rsid w:val="00386F1E"/>
    <w:rsid w:val="003871E2"/>
    <w:rsid w:val="00387325"/>
    <w:rsid w:val="0038741F"/>
    <w:rsid w:val="00387CE9"/>
    <w:rsid w:val="00387F8B"/>
    <w:rsid w:val="0039084D"/>
    <w:rsid w:val="00390B4A"/>
    <w:rsid w:val="00391DFB"/>
    <w:rsid w:val="0039312D"/>
    <w:rsid w:val="00393FD8"/>
    <w:rsid w:val="003941E3"/>
    <w:rsid w:val="00394540"/>
    <w:rsid w:val="00394CAE"/>
    <w:rsid w:val="00394DDD"/>
    <w:rsid w:val="00394F5C"/>
    <w:rsid w:val="00395365"/>
    <w:rsid w:val="003957BA"/>
    <w:rsid w:val="00397C5D"/>
    <w:rsid w:val="003A08FE"/>
    <w:rsid w:val="003A0E75"/>
    <w:rsid w:val="003A1263"/>
    <w:rsid w:val="003A20B8"/>
    <w:rsid w:val="003A2130"/>
    <w:rsid w:val="003A26EC"/>
    <w:rsid w:val="003A294A"/>
    <w:rsid w:val="003A2AA5"/>
    <w:rsid w:val="003A3201"/>
    <w:rsid w:val="003A36C5"/>
    <w:rsid w:val="003A3B9D"/>
    <w:rsid w:val="003A3FF3"/>
    <w:rsid w:val="003A4C2F"/>
    <w:rsid w:val="003A4CEB"/>
    <w:rsid w:val="003A5226"/>
    <w:rsid w:val="003A5463"/>
    <w:rsid w:val="003A6B1A"/>
    <w:rsid w:val="003A71BD"/>
    <w:rsid w:val="003A745F"/>
    <w:rsid w:val="003A7627"/>
    <w:rsid w:val="003A7CD5"/>
    <w:rsid w:val="003A7F8B"/>
    <w:rsid w:val="003B0317"/>
    <w:rsid w:val="003B03AD"/>
    <w:rsid w:val="003B07B5"/>
    <w:rsid w:val="003B0BA4"/>
    <w:rsid w:val="003B18A5"/>
    <w:rsid w:val="003B2A57"/>
    <w:rsid w:val="003B2BF7"/>
    <w:rsid w:val="003B2D34"/>
    <w:rsid w:val="003B2D7D"/>
    <w:rsid w:val="003B3281"/>
    <w:rsid w:val="003B374F"/>
    <w:rsid w:val="003B3EE9"/>
    <w:rsid w:val="003B4210"/>
    <w:rsid w:val="003B4973"/>
    <w:rsid w:val="003B4A97"/>
    <w:rsid w:val="003B4B93"/>
    <w:rsid w:val="003B6509"/>
    <w:rsid w:val="003B6F41"/>
    <w:rsid w:val="003B74C5"/>
    <w:rsid w:val="003B78AD"/>
    <w:rsid w:val="003B7BBE"/>
    <w:rsid w:val="003B7D61"/>
    <w:rsid w:val="003B7EB8"/>
    <w:rsid w:val="003C0B17"/>
    <w:rsid w:val="003C0E12"/>
    <w:rsid w:val="003C1C2F"/>
    <w:rsid w:val="003C2553"/>
    <w:rsid w:val="003C272B"/>
    <w:rsid w:val="003C29F5"/>
    <w:rsid w:val="003C2E03"/>
    <w:rsid w:val="003C31D2"/>
    <w:rsid w:val="003C367E"/>
    <w:rsid w:val="003C3A41"/>
    <w:rsid w:val="003C3A56"/>
    <w:rsid w:val="003C3EBD"/>
    <w:rsid w:val="003C40C1"/>
    <w:rsid w:val="003C4981"/>
    <w:rsid w:val="003C4CC2"/>
    <w:rsid w:val="003C4CDA"/>
    <w:rsid w:val="003C5798"/>
    <w:rsid w:val="003C6944"/>
    <w:rsid w:val="003C6A74"/>
    <w:rsid w:val="003C6FC6"/>
    <w:rsid w:val="003C6FF2"/>
    <w:rsid w:val="003C752C"/>
    <w:rsid w:val="003C75DE"/>
    <w:rsid w:val="003D0E5E"/>
    <w:rsid w:val="003D16F1"/>
    <w:rsid w:val="003D233D"/>
    <w:rsid w:val="003D2EBF"/>
    <w:rsid w:val="003D3435"/>
    <w:rsid w:val="003D3806"/>
    <w:rsid w:val="003D3F04"/>
    <w:rsid w:val="003D40DC"/>
    <w:rsid w:val="003D4B99"/>
    <w:rsid w:val="003D4E17"/>
    <w:rsid w:val="003D5472"/>
    <w:rsid w:val="003D5617"/>
    <w:rsid w:val="003D5A31"/>
    <w:rsid w:val="003D6E44"/>
    <w:rsid w:val="003D7482"/>
    <w:rsid w:val="003D770C"/>
    <w:rsid w:val="003D77CF"/>
    <w:rsid w:val="003D7861"/>
    <w:rsid w:val="003E04E9"/>
    <w:rsid w:val="003E0D56"/>
    <w:rsid w:val="003E1EE1"/>
    <w:rsid w:val="003E2756"/>
    <w:rsid w:val="003E30E5"/>
    <w:rsid w:val="003E36DA"/>
    <w:rsid w:val="003E3E7B"/>
    <w:rsid w:val="003E4719"/>
    <w:rsid w:val="003E4853"/>
    <w:rsid w:val="003E5255"/>
    <w:rsid w:val="003E5518"/>
    <w:rsid w:val="003E625B"/>
    <w:rsid w:val="003E6BC7"/>
    <w:rsid w:val="003E7A9D"/>
    <w:rsid w:val="003E7C65"/>
    <w:rsid w:val="003E7D08"/>
    <w:rsid w:val="003E7EEE"/>
    <w:rsid w:val="003F0E3D"/>
    <w:rsid w:val="003F0FAF"/>
    <w:rsid w:val="003F1300"/>
    <w:rsid w:val="003F1B65"/>
    <w:rsid w:val="003F1EB9"/>
    <w:rsid w:val="003F1F25"/>
    <w:rsid w:val="003F2670"/>
    <w:rsid w:val="003F2804"/>
    <w:rsid w:val="003F2CEC"/>
    <w:rsid w:val="003F310D"/>
    <w:rsid w:val="003F3426"/>
    <w:rsid w:val="003F3492"/>
    <w:rsid w:val="003F3FFE"/>
    <w:rsid w:val="003F4602"/>
    <w:rsid w:val="003F4D24"/>
    <w:rsid w:val="003F5677"/>
    <w:rsid w:val="003F56A3"/>
    <w:rsid w:val="003F5D5D"/>
    <w:rsid w:val="003F6033"/>
    <w:rsid w:val="003F6323"/>
    <w:rsid w:val="003F63CA"/>
    <w:rsid w:val="003F6421"/>
    <w:rsid w:val="003F696F"/>
    <w:rsid w:val="003F748B"/>
    <w:rsid w:val="003F74C8"/>
    <w:rsid w:val="004003EB"/>
    <w:rsid w:val="00400C4A"/>
    <w:rsid w:val="00401808"/>
    <w:rsid w:val="004019E2"/>
    <w:rsid w:val="00402041"/>
    <w:rsid w:val="0040247D"/>
    <w:rsid w:val="0040259E"/>
    <w:rsid w:val="00402747"/>
    <w:rsid w:val="00403F77"/>
    <w:rsid w:val="00404335"/>
    <w:rsid w:val="00404BD2"/>
    <w:rsid w:val="0040506E"/>
    <w:rsid w:val="0040513D"/>
    <w:rsid w:val="00405870"/>
    <w:rsid w:val="00405896"/>
    <w:rsid w:val="00405C29"/>
    <w:rsid w:val="00406387"/>
    <w:rsid w:val="00406529"/>
    <w:rsid w:val="00406BC8"/>
    <w:rsid w:val="00407C0F"/>
    <w:rsid w:val="0041063F"/>
    <w:rsid w:val="00410B1B"/>
    <w:rsid w:val="00411A1D"/>
    <w:rsid w:val="00412D5B"/>
    <w:rsid w:val="00413AF2"/>
    <w:rsid w:val="00414B6B"/>
    <w:rsid w:val="0041504B"/>
    <w:rsid w:val="00415CF1"/>
    <w:rsid w:val="00416250"/>
    <w:rsid w:val="00416420"/>
    <w:rsid w:val="0041682A"/>
    <w:rsid w:val="00416A4C"/>
    <w:rsid w:val="00416C4B"/>
    <w:rsid w:val="004171D4"/>
    <w:rsid w:val="0041730F"/>
    <w:rsid w:val="004175B8"/>
    <w:rsid w:val="00417E18"/>
    <w:rsid w:val="00420450"/>
    <w:rsid w:val="00421203"/>
    <w:rsid w:val="00422AE6"/>
    <w:rsid w:val="00423B72"/>
    <w:rsid w:val="00423BE2"/>
    <w:rsid w:val="00423E69"/>
    <w:rsid w:val="00424331"/>
    <w:rsid w:val="00424598"/>
    <w:rsid w:val="004248F5"/>
    <w:rsid w:val="00427062"/>
    <w:rsid w:val="00427308"/>
    <w:rsid w:val="004276FC"/>
    <w:rsid w:val="00427B1E"/>
    <w:rsid w:val="00427BBA"/>
    <w:rsid w:val="004301BE"/>
    <w:rsid w:val="00430658"/>
    <w:rsid w:val="004311FA"/>
    <w:rsid w:val="00431378"/>
    <w:rsid w:val="00431BA0"/>
    <w:rsid w:val="00432349"/>
    <w:rsid w:val="00432664"/>
    <w:rsid w:val="00432A44"/>
    <w:rsid w:val="0043330E"/>
    <w:rsid w:val="004335E2"/>
    <w:rsid w:val="0043399B"/>
    <w:rsid w:val="0043407A"/>
    <w:rsid w:val="00434C2C"/>
    <w:rsid w:val="00434D69"/>
    <w:rsid w:val="0043520B"/>
    <w:rsid w:val="004354BD"/>
    <w:rsid w:val="00435883"/>
    <w:rsid w:val="00435E5D"/>
    <w:rsid w:val="00437677"/>
    <w:rsid w:val="00437F0A"/>
    <w:rsid w:val="00437FD5"/>
    <w:rsid w:val="0044087E"/>
    <w:rsid w:val="00440A43"/>
    <w:rsid w:val="00440F8B"/>
    <w:rsid w:val="0044132C"/>
    <w:rsid w:val="00441833"/>
    <w:rsid w:val="00443518"/>
    <w:rsid w:val="004436A2"/>
    <w:rsid w:val="00443849"/>
    <w:rsid w:val="00444077"/>
    <w:rsid w:val="00444317"/>
    <w:rsid w:val="00444F18"/>
    <w:rsid w:val="004452DE"/>
    <w:rsid w:val="00446322"/>
    <w:rsid w:val="004477C0"/>
    <w:rsid w:val="004478BB"/>
    <w:rsid w:val="00450405"/>
    <w:rsid w:val="00450E4D"/>
    <w:rsid w:val="004523BD"/>
    <w:rsid w:val="004528A3"/>
    <w:rsid w:val="004543EE"/>
    <w:rsid w:val="004553D4"/>
    <w:rsid w:val="00455D1B"/>
    <w:rsid w:val="00455EE7"/>
    <w:rsid w:val="0045687A"/>
    <w:rsid w:val="00456B27"/>
    <w:rsid w:val="00457FA6"/>
    <w:rsid w:val="004605FC"/>
    <w:rsid w:val="00460A98"/>
    <w:rsid w:val="00460C1D"/>
    <w:rsid w:val="00461041"/>
    <w:rsid w:val="004616E6"/>
    <w:rsid w:val="00461CBC"/>
    <w:rsid w:val="00461E47"/>
    <w:rsid w:val="00461EC9"/>
    <w:rsid w:val="00462245"/>
    <w:rsid w:val="004631EB"/>
    <w:rsid w:val="004634CF"/>
    <w:rsid w:val="004635F6"/>
    <w:rsid w:val="004636A3"/>
    <w:rsid w:val="004644C8"/>
    <w:rsid w:val="00465336"/>
    <w:rsid w:val="004656C1"/>
    <w:rsid w:val="00465834"/>
    <w:rsid w:val="00466091"/>
    <w:rsid w:val="004669A2"/>
    <w:rsid w:val="004675E3"/>
    <w:rsid w:val="00467C84"/>
    <w:rsid w:val="00467CE7"/>
    <w:rsid w:val="004701E3"/>
    <w:rsid w:val="00471819"/>
    <w:rsid w:val="0047186C"/>
    <w:rsid w:val="00471AA5"/>
    <w:rsid w:val="00472967"/>
    <w:rsid w:val="00472B70"/>
    <w:rsid w:val="00475CD6"/>
    <w:rsid w:val="004760BC"/>
    <w:rsid w:val="004768EB"/>
    <w:rsid w:val="00476D51"/>
    <w:rsid w:val="004778F0"/>
    <w:rsid w:val="00477CCC"/>
    <w:rsid w:val="00480413"/>
    <w:rsid w:val="00480A4E"/>
    <w:rsid w:val="00480CE4"/>
    <w:rsid w:val="004812ED"/>
    <w:rsid w:val="00481335"/>
    <w:rsid w:val="00482647"/>
    <w:rsid w:val="0048465E"/>
    <w:rsid w:val="004847C4"/>
    <w:rsid w:val="004847F9"/>
    <w:rsid w:val="0048564D"/>
    <w:rsid w:val="0048690F"/>
    <w:rsid w:val="004907C4"/>
    <w:rsid w:val="00490B67"/>
    <w:rsid w:val="00490BB4"/>
    <w:rsid w:val="00490C0F"/>
    <w:rsid w:val="00491328"/>
    <w:rsid w:val="0049190B"/>
    <w:rsid w:val="00491F47"/>
    <w:rsid w:val="004920D0"/>
    <w:rsid w:val="00492344"/>
    <w:rsid w:val="00493023"/>
    <w:rsid w:val="00493292"/>
    <w:rsid w:val="00493359"/>
    <w:rsid w:val="004935DC"/>
    <w:rsid w:val="00494342"/>
    <w:rsid w:val="0049469A"/>
    <w:rsid w:val="00494BAC"/>
    <w:rsid w:val="00495F03"/>
    <w:rsid w:val="0049640E"/>
    <w:rsid w:val="00496DF3"/>
    <w:rsid w:val="00497273"/>
    <w:rsid w:val="004A06BC"/>
    <w:rsid w:val="004A077B"/>
    <w:rsid w:val="004A125D"/>
    <w:rsid w:val="004A14E8"/>
    <w:rsid w:val="004A1F51"/>
    <w:rsid w:val="004A1F65"/>
    <w:rsid w:val="004A21B2"/>
    <w:rsid w:val="004A237D"/>
    <w:rsid w:val="004A3001"/>
    <w:rsid w:val="004A376C"/>
    <w:rsid w:val="004A3E4E"/>
    <w:rsid w:val="004A4BD0"/>
    <w:rsid w:val="004A54A8"/>
    <w:rsid w:val="004A55D3"/>
    <w:rsid w:val="004A717E"/>
    <w:rsid w:val="004B0508"/>
    <w:rsid w:val="004B0B09"/>
    <w:rsid w:val="004B11C9"/>
    <w:rsid w:val="004B1C3D"/>
    <w:rsid w:val="004B2BDE"/>
    <w:rsid w:val="004B3046"/>
    <w:rsid w:val="004B4AC2"/>
    <w:rsid w:val="004B4D73"/>
    <w:rsid w:val="004B4F05"/>
    <w:rsid w:val="004B5298"/>
    <w:rsid w:val="004B5C65"/>
    <w:rsid w:val="004B5C7A"/>
    <w:rsid w:val="004B66C2"/>
    <w:rsid w:val="004B6D68"/>
    <w:rsid w:val="004B7CE4"/>
    <w:rsid w:val="004C091D"/>
    <w:rsid w:val="004C0CC5"/>
    <w:rsid w:val="004C1552"/>
    <w:rsid w:val="004C16F8"/>
    <w:rsid w:val="004C19C7"/>
    <w:rsid w:val="004C2490"/>
    <w:rsid w:val="004C2F9D"/>
    <w:rsid w:val="004C3506"/>
    <w:rsid w:val="004C3ED7"/>
    <w:rsid w:val="004C47C0"/>
    <w:rsid w:val="004C4B3B"/>
    <w:rsid w:val="004C6911"/>
    <w:rsid w:val="004C7345"/>
    <w:rsid w:val="004C7989"/>
    <w:rsid w:val="004D0359"/>
    <w:rsid w:val="004D0623"/>
    <w:rsid w:val="004D078C"/>
    <w:rsid w:val="004D254C"/>
    <w:rsid w:val="004D31AB"/>
    <w:rsid w:val="004D40D0"/>
    <w:rsid w:val="004D4114"/>
    <w:rsid w:val="004D4648"/>
    <w:rsid w:val="004D4F3D"/>
    <w:rsid w:val="004D51BF"/>
    <w:rsid w:val="004D543B"/>
    <w:rsid w:val="004D5FA3"/>
    <w:rsid w:val="004D6CC2"/>
    <w:rsid w:val="004D7591"/>
    <w:rsid w:val="004D77EA"/>
    <w:rsid w:val="004D7DAB"/>
    <w:rsid w:val="004E04B4"/>
    <w:rsid w:val="004E17E1"/>
    <w:rsid w:val="004E18EE"/>
    <w:rsid w:val="004E20BB"/>
    <w:rsid w:val="004E26BA"/>
    <w:rsid w:val="004E27A6"/>
    <w:rsid w:val="004E2956"/>
    <w:rsid w:val="004E3086"/>
    <w:rsid w:val="004E3CA8"/>
    <w:rsid w:val="004E43B5"/>
    <w:rsid w:val="004E45B0"/>
    <w:rsid w:val="004E4EDD"/>
    <w:rsid w:val="004E5569"/>
    <w:rsid w:val="004E6022"/>
    <w:rsid w:val="004E6BA1"/>
    <w:rsid w:val="004F01E0"/>
    <w:rsid w:val="004F2426"/>
    <w:rsid w:val="004F247B"/>
    <w:rsid w:val="004F28FB"/>
    <w:rsid w:val="004F2E8B"/>
    <w:rsid w:val="004F37B0"/>
    <w:rsid w:val="004F3809"/>
    <w:rsid w:val="004F3C53"/>
    <w:rsid w:val="004F43DE"/>
    <w:rsid w:val="004F43E1"/>
    <w:rsid w:val="004F4964"/>
    <w:rsid w:val="004F530E"/>
    <w:rsid w:val="004F6376"/>
    <w:rsid w:val="005002EF"/>
    <w:rsid w:val="00500951"/>
    <w:rsid w:val="00500AEC"/>
    <w:rsid w:val="00500F4F"/>
    <w:rsid w:val="005019C6"/>
    <w:rsid w:val="00501D3F"/>
    <w:rsid w:val="005021B6"/>
    <w:rsid w:val="005022A2"/>
    <w:rsid w:val="00502361"/>
    <w:rsid w:val="00502529"/>
    <w:rsid w:val="00502581"/>
    <w:rsid w:val="00502AAC"/>
    <w:rsid w:val="00503980"/>
    <w:rsid w:val="00503CCC"/>
    <w:rsid w:val="0050441C"/>
    <w:rsid w:val="005051AD"/>
    <w:rsid w:val="005053E3"/>
    <w:rsid w:val="00505662"/>
    <w:rsid w:val="00505EC4"/>
    <w:rsid w:val="00506229"/>
    <w:rsid w:val="00506457"/>
    <w:rsid w:val="0050713A"/>
    <w:rsid w:val="00507794"/>
    <w:rsid w:val="005078EF"/>
    <w:rsid w:val="00510738"/>
    <w:rsid w:val="00510BDA"/>
    <w:rsid w:val="00511681"/>
    <w:rsid w:val="00511B3D"/>
    <w:rsid w:val="00512EB8"/>
    <w:rsid w:val="00514196"/>
    <w:rsid w:val="00515307"/>
    <w:rsid w:val="0051553A"/>
    <w:rsid w:val="00515ABA"/>
    <w:rsid w:val="005176D6"/>
    <w:rsid w:val="00517C1E"/>
    <w:rsid w:val="005213E9"/>
    <w:rsid w:val="00521B9A"/>
    <w:rsid w:val="00522193"/>
    <w:rsid w:val="00523B24"/>
    <w:rsid w:val="00523FC3"/>
    <w:rsid w:val="00525808"/>
    <w:rsid w:val="00526802"/>
    <w:rsid w:val="00526C8B"/>
    <w:rsid w:val="00526E02"/>
    <w:rsid w:val="005304E1"/>
    <w:rsid w:val="00530B3A"/>
    <w:rsid w:val="00531FD7"/>
    <w:rsid w:val="00532858"/>
    <w:rsid w:val="00532E8E"/>
    <w:rsid w:val="005333C7"/>
    <w:rsid w:val="00533A69"/>
    <w:rsid w:val="00534296"/>
    <w:rsid w:val="005349AF"/>
    <w:rsid w:val="00534B6C"/>
    <w:rsid w:val="00535173"/>
    <w:rsid w:val="00535FB6"/>
    <w:rsid w:val="005360C1"/>
    <w:rsid w:val="00536355"/>
    <w:rsid w:val="0053674F"/>
    <w:rsid w:val="005369BC"/>
    <w:rsid w:val="00536E1F"/>
    <w:rsid w:val="00536F8C"/>
    <w:rsid w:val="0053713B"/>
    <w:rsid w:val="00537710"/>
    <w:rsid w:val="00537DB5"/>
    <w:rsid w:val="00540B32"/>
    <w:rsid w:val="00541D43"/>
    <w:rsid w:val="00542636"/>
    <w:rsid w:val="00543778"/>
    <w:rsid w:val="00543E01"/>
    <w:rsid w:val="00544193"/>
    <w:rsid w:val="00544514"/>
    <w:rsid w:val="005445F7"/>
    <w:rsid w:val="005445FE"/>
    <w:rsid w:val="005446A5"/>
    <w:rsid w:val="00545DD0"/>
    <w:rsid w:val="00546653"/>
    <w:rsid w:val="005466B0"/>
    <w:rsid w:val="0054731E"/>
    <w:rsid w:val="005478F8"/>
    <w:rsid w:val="00547B40"/>
    <w:rsid w:val="00547D10"/>
    <w:rsid w:val="00547DA2"/>
    <w:rsid w:val="0055052D"/>
    <w:rsid w:val="0055106D"/>
    <w:rsid w:val="0055125B"/>
    <w:rsid w:val="005516D0"/>
    <w:rsid w:val="005519FD"/>
    <w:rsid w:val="00551C79"/>
    <w:rsid w:val="00553710"/>
    <w:rsid w:val="005537E9"/>
    <w:rsid w:val="005538B2"/>
    <w:rsid w:val="00553A18"/>
    <w:rsid w:val="005545FF"/>
    <w:rsid w:val="00554A7D"/>
    <w:rsid w:val="00554DD1"/>
    <w:rsid w:val="005551E4"/>
    <w:rsid w:val="0055539F"/>
    <w:rsid w:val="00555C67"/>
    <w:rsid w:val="00555CAE"/>
    <w:rsid w:val="00556B55"/>
    <w:rsid w:val="005573D6"/>
    <w:rsid w:val="00557F4C"/>
    <w:rsid w:val="0056099D"/>
    <w:rsid w:val="005610F4"/>
    <w:rsid w:val="005618C4"/>
    <w:rsid w:val="00563A50"/>
    <w:rsid w:val="00563DF0"/>
    <w:rsid w:val="00564509"/>
    <w:rsid w:val="0056495E"/>
    <w:rsid w:val="00565295"/>
    <w:rsid w:val="00565FEF"/>
    <w:rsid w:val="0056654C"/>
    <w:rsid w:val="005665EB"/>
    <w:rsid w:val="0056753F"/>
    <w:rsid w:val="005676B2"/>
    <w:rsid w:val="0057022E"/>
    <w:rsid w:val="005705ED"/>
    <w:rsid w:val="00570670"/>
    <w:rsid w:val="005707A5"/>
    <w:rsid w:val="005707AB"/>
    <w:rsid w:val="005713C0"/>
    <w:rsid w:val="005716E5"/>
    <w:rsid w:val="0057181D"/>
    <w:rsid w:val="00571C7F"/>
    <w:rsid w:val="005728BA"/>
    <w:rsid w:val="00572BA3"/>
    <w:rsid w:val="00572FE9"/>
    <w:rsid w:val="0057366D"/>
    <w:rsid w:val="00574267"/>
    <w:rsid w:val="00574876"/>
    <w:rsid w:val="00574B9B"/>
    <w:rsid w:val="005752B0"/>
    <w:rsid w:val="00575E41"/>
    <w:rsid w:val="00576F2E"/>
    <w:rsid w:val="00577F28"/>
    <w:rsid w:val="005804C7"/>
    <w:rsid w:val="00580F39"/>
    <w:rsid w:val="0058148E"/>
    <w:rsid w:val="005824D3"/>
    <w:rsid w:val="005825F8"/>
    <w:rsid w:val="0058280E"/>
    <w:rsid w:val="005828EB"/>
    <w:rsid w:val="005828F9"/>
    <w:rsid w:val="00582C68"/>
    <w:rsid w:val="00582E08"/>
    <w:rsid w:val="00583114"/>
    <w:rsid w:val="00583FE8"/>
    <w:rsid w:val="00585CB3"/>
    <w:rsid w:val="00586475"/>
    <w:rsid w:val="0058655C"/>
    <w:rsid w:val="00586651"/>
    <w:rsid w:val="005875A9"/>
    <w:rsid w:val="00587DFD"/>
    <w:rsid w:val="005903A2"/>
    <w:rsid w:val="005917AF"/>
    <w:rsid w:val="00591968"/>
    <w:rsid w:val="00591DE5"/>
    <w:rsid w:val="00593471"/>
    <w:rsid w:val="005934F8"/>
    <w:rsid w:val="005940F0"/>
    <w:rsid w:val="005941B4"/>
    <w:rsid w:val="00594AFA"/>
    <w:rsid w:val="00594C4B"/>
    <w:rsid w:val="00595437"/>
    <w:rsid w:val="00595F8A"/>
    <w:rsid w:val="00596294"/>
    <w:rsid w:val="0059665C"/>
    <w:rsid w:val="00596703"/>
    <w:rsid w:val="00596CD0"/>
    <w:rsid w:val="0059745D"/>
    <w:rsid w:val="00597D01"/>
    <w:rsid w:val="005A0581"/>
    <w:rsid w:val="005A05E9"/>
    <w:rsid w:val="005A10A8"/>
    <w:rsid w:val="005A17AB"/>
    <w:rsid w:val="005A1CEA"/>
    <w:rsid w:val="005A2E05"/>
    <w:rsid w:val="005A2F4B"/>
    <w:rsid w:val="005A369C"/>
    <w:rsid w:val="005A37AD"/>
    <w:rsid w:val="005A401D"/>
    <w:rsid w:val="005A45D0"/>
    <w:rsid w:val="005A49D2"/>
    <w:rsid w:val="005A4BA0"/>
    <w:rsid w:val="005A4CD6"/>
    <w:rsid w:val="005A5449"/>
    <w:rsid w:val="005A5598"/>
    <w:rsid w:val="005A5E74"/>
    <w:rsid w:val="005A5EA5"/>
    <w:rsid w:val="005A6DF2"/>
    <w:rsid w:val="005B0243"/>
    <w:rsid w:val="005B15D0"/>
    <w:rsid w:val="005B19B5"/>
    <w:rsid w:val="005B1BC4"/>
    <w:rsid w:val="005B21EF"/>
    <w:rsid w:val="005B277B"/>
    <w:rsid w:val="005B3017"/>
    <w:rsid w:val="005B44EB"/>
    <w:rsid w:val="005B63F1"/>
    <w:rsid w:val="005B64B9"/>
    <w:rsid w:val="005B6806"/>
    <w:rsid w:val="005B6D5D"/>
    <w:rsid w:val="005B78B6"/>
    <w:rsid w:val="005C00ED"/>
    <w:rsid w:val="005C02C1"/>
    <w:rsid w:val="005C056C"/>
    <w:rsid w:val="005C148C"/>
    <w:rsid w:val="005C17D6"/>
    <w:rsid w:val="005C21FB"/>
    <w:rsid w:val="005C2510"/>
    <w:rsid w:val="005C271E"/>
    <w:rsid w:val="005C356C"/>
    <w:rsid w:val="005C3816"/>
    <w:rsid w:val="005C41C9"/>
    <w:rsid w:val="005C43D7"/>
    <w:rsid w:val="005C44BF"/>
    <w:rsid w:val="005C4BD1"/>
    <w:rsid w:val="005C4D8F"/>
    <w:rsid w:val="005C5EB5"/>
    <w:rsid w:val="005C61A5"/>
    <w:rsid w:val="005C63E8"/>
    <w:rsid w:val="005C68B0"/>
    <w:rsid w:val="005C69A6"/>
    <w:rsid w:val="005C6B5F"/>
    <w:rsid w:val="005C7019"/>
    <w:rsid w:val="005D0AA2"/>
    <w:rsid w:val="005D0FF8"/>
    <w:rsid w:val="005D1477"/>
    <w:rsid w:val="005D148A"/>
    <w:rsid w:val="005D14DE"/>
    <w:rsid w:val="005D18F9"/>
    <w:rsid w:val="005D26CA"/>
    <w:rsid w:val="005D2920"/>
    <w:rsid w:val="005D2C02"/>
    <w:rsid w:val="005D2ECB"/>
    <w:rsid w:val="005D2F28"/>
    <w:rsid w:val="005D3613"/>
    <w:rsid w:val="005D37E9"/>
    <w:rsid w:val="005D3907"/>
    <w:rsid w:val="005D430B"/>
    <w:rsid w:val="005D4473"/>
    <w:rsid w:val="005D4921"/>
    <w:rsid w:val="005D543E"/>
    <w:rsid w:val="005D5781"/>
    <w:rsid w:val="005D6240"/>
    <w:rsid w:val="005D682B"/>
    <w:rsid w:val="005D6D73"/>
    <w:rsid w:val="005E0E48"/>
    <w:rsid w:val="005E11C0"/>
    <w:rsid w:val="005E17FB"/>
    <w:rsid w:val="005E2153"/>
    <w:rsid w:val="005E219B"/>
    <w:rsid w:val="005E226B"/>
    <w:rsid w:val="005E2C4A"/>
    <w:rsid w:val="005E2FF4"/>
    <w:rsid w:val="005E451F"/>
    <w:rsid w:val="005E5275"/>
    <w:rsid w:val="005F051B"/>
    <w:rsid w:val="005F0677"/>
    <w:rsid w:val="005F0FDE"/>
    <w:rsid w:val="005F1248"/>
    <w:rsid w:val="005F2105"/>
    <w:rsid w:val="005F2357"/>
    <w:rsid w:val="005F240B"/>
    <w:rsid w:val="005F2806"/>
    <w:rsid w:val="005F2DAF"/>
    <w:rsid w:val="005F3412"/>
    <w:rsid w:val="005F3E67"/>
    <w:rsid w:val="005F4531"/>
    <w:rsid w:val="005F4846"/>
    <w:rsid w:val="005F5865"/>
    <w:rsid w:val="005F5B99"/>
    <w:rsid w:val="005F5ED9"/>
    <w:rsid w:val="005F630C"/>
    <w:rsid w:val="005F638B"/>
    <w:rsid w:val="006000D2"/>
    <w:rsid w:val="006011D3"/>
    <w:rsid w:val="006012BC"/>
    <w:rsid w:val="00603D9C"/>
    <w:rsid w:val="0060403E"/>
    <w:rsid w:val="00604532"/>
    <w:rsid w:val="00604F3E"/>
    <w:rsid w:val="00605542"/>
    <w:rsid w:val="0060631D"/>
    <w:rsid w:val="006066BF"/>
    <w:rsid w:val="006069FB"/>
    <w:rsid w:val="00606D1E"/>
    <w:rsid w:val="00607C67"/>
    <w:rsid w:val="00607CAF"/>
    <w:rsid w:val="006108AA"/>
    <w:rsid w:val="00610FDA"/>
    <w:rsid w:val="00611BCE"/>
    <w:rsid w:val="0061232D"/>
    <w:rsid w:val="0061326D"/>
    <w:rsid w:val="0061484E"/>
    <w:rsid w:val="006157AD"/>
    <w:rsid w:val="00615C07"/>
    <w:rsid w:val="00615E6B"/>
    <w:rsid w:val="006163F0"/>
    <w:rsid w:val="00616508"/>
    <w:rsid w:val="00616AA4"/>
    <w:rsid w:val="00616FCA"/>
    <w:rsid w:val="0061745E"/>
    <w:rsid w:val="0061778A"/>
    <w:rsid w:val="006177E0"/>
    <w:rsid w:val="0062036E"/>
    <w:rsid w:val="00620582"/>
    <w:rsid w:val="00621DEF"/>
    <w:rsid w:val="00622B82"/>
    <w:rsid w:val="00623800"/>
    <w:rsid w:val="006238BC"/>
    <w:rsid w:val="00626002"/>
    <w:rsid w:val="006263DC"/>
    <w:rsid w:val="006276A2"/>
    <w:rsid w:val="00627925"/>
    <w:rsid w:val="00627A89"/>
    <w:rsid w:val="00627B9B"/>
    <w:rsid w:val="00627CE0"/>
    <w:rsid w:val="006305E6"/>
    <w:rsid w:val="006306B6"/>
    <w:rsid w:val="00631828"/>
    <w:rsid w:val="00631D39"/>
    <w:rsid w:val="00632B90"/>
    <w:rsid w:val="006333A9"/>
    <w:rsid w:val="006353D1"/>
    <w:rsid w:val="006366ED"/>
    <w:rsid w:val="00636C8A"/>
    <w:rsid w:val="00636F80"/>
    <w:rsid w:val="006371E8"/>
    <w:rsid w:val="006372A9"/>
    <w:rsid w:val="006376A8"/>
    <w:rsid w:val="006402A8"/>
    <w:rsid w:val="006406D0"/>
    <w:rsid w:val="006411F9"/>
    <w:rsid w:val="00641A64"/>
    <w:rsid w:val="00641C98"/>
    <w:rsid w:val="006443FF"/>
    <w:rsid w:val="00644906"/>
    <w:rsid w:val="0064494F"/>
    <w:rsid w:val="00644EE4"/>
    <w:rsid w:val="00644F18"/>
    <w:rsid w:val="0064533F"/>
    <w:rsid w:val="00645584"/>
    <w:rsid w:val="00645AE5"/>
    <w:rsid w:val="00646610"/>
    <w:rsid w:val="00646B8E"/>
    <w:rsid w:val="00646D79"/>
    <w:rsid w:val="00646E31"/>
    <w:rsid w:val="00647434"/>
    <w:rsid w:val="006509DC"/>
    <w:rsid w:val="0065103A"/>
    <w:rsid w:val="00651743"/>
    <w:rsid w:val="00652A56"/>
    <w:rsid w:val="00652BCC"/>
    <w:rsid w:val="00654C17"/>
    <w:rsid w:val="00654C99"/>
    <w:rsid w:val="00654DA1"/>
    <w:rsid w:val="00655F9D"/>
    <w:rsid w:val="006561B4"/>
    <w:rsid w:val="006568DC"/>
    <w:rsid w:val="00657437"/>
    <w:rsid w:val="006578D0"/>
    <w:rsid w:val="00657DDC"/>
    <w:rsid w:val="006601AD"/>
    <w:rsid w:val="00660594"/>
    <w:rsid w:val="0066113D"/>
    <w:rsid w:val="00662D1F"/>
    <w:rsid w:val="00662F86"/>
    <w:rsid w:val="0066360E"/>
    <w:rsid w:val="006639D8"/>
    <w:rsid w:val="006643D5"/>
    <w:rsid w:val="00664BA1"/>
    <w:rsid w:val="0066500E"/>
    <w:rsid w:val="00666416"/>
    <w:rsid w:val="0066680B"/>
    <w:rsid w:val="00667128"/>
    <w:rsid w:val="00667158"/>
    <w:rsid w:val="00670057"/>
    <w:rsid w:val="00670BAA"/>
    <w:rsid w:val="00670C53"/>
    <w:rsid w:val="00670C67"/>
    <w:rsid w:val="00671FA8"/>
    <w:rsid w:val="00672278"/>
    <w:rsid w:val="0067292F"/>
    <w:rsid w:val="0067366F"/>
    <w:rsid w:val="00673DD7"/>
    <w:rsid w:val="00673FE2"/>
    <w:rsid w:val="00674326"/>
    <w:rsid w:val="0067432C"/>
    <w:rsid w:val="0067549F"/>
    <w:rsid w:val="00675F13"/>
    <w:rsid w:val="0067640C"/>
    <w:rsid w:val="00676803"/>
    <w:rsid w:val="00676AE8"/>
    <w:rsid w:val="00676B61"/>
    <w:rsid w:val="00677121"/>
    <w:rsid w:val="0067718D"/>
    <w:rsid w:val="0067743E"/>
    <w:rsid w:val="006779EA"/>
    <w:rsid w:val="0068132B"/>
    <w:rsid w:val="00681CDD"/>
    <w:rsid w:val="00682084"/>
    <w:rsid w:val="00682A1A"/>
    <w:rsid w:val="00682CBC"/>
    <w:rsid w:val="00682DF5"/>
    <w:rsid w:val="00683943"/>
    <w:rsid w:val="00683A27"/>
    <w:rsid w:val="00683E54"/>
    <w:rsid w:val="006844E0"/>
    <w:rsid w:val="00684B19"/>
    <w:rsid w:val="00684EB1"/>
    <w:rsid w:val="00685EBB"/>
    <w:rsid w:val="00685F28"/>
    <w:rsid w:val="0068631B"/>
    <w:rsid w:val="00686A41"/>
    <w:rsid w:val="00687690"/>
    <w:rsid w:val="0069032E"/>
    <w:rsid w:val="006907F6"/>
    <w:rsid w:val="00690E5D"/>
    <w:rsid w:val="0069118E"/>
    <w:rsid w:val="00691AB4"/>
    <w:rsid w:val="00691F6C"/>
    <w:rsid w:val="00692090"/>
    <w:rsid w:val="006925B4"/>
    <w:rsid w:val="00692C89"/>
    <w:rsid w:val="00692F6D"/>
    <w:rsid w:val="006933DF"/>
    <w:rsid w:val="00693EF3"/>
    <w:rsid w:val="00697209"/>
    <w:rsid w:val="0069768B"/>
    <w:rsid w:val="006A0305"/>
    <w:rsid w:val="006A2AD7"/>
    <w:rsid w:val="006A338F"/>
    <w:rsid w:val="006A3EF4"/>
    <w:rsid w:val="006A3F05"/>
    <w:rsid w:val="006A4B53"/>
    <w:rsid w:val="006A5294"/>
    <w:rsid w:val="006A58C7"/>
    <w:rsid w:val="006A62BA"/>
    <w:rsid w:val="006A6D18"/>
    <w:rsid w:val="006A7AFB"/>
    <w:rsid w:val="006B0EF3"/>
    <w:rsid w:val="006B26E0"/>
    <w:rsid w:val="006B2713"/>
    <w:rsid w:val="006B41BB"/>
    <w:rsid w:val="006B4F54"/>
    <w:rsid w:val="006B5399"/>
    <w:rsid w:val="006B59B5"/>
    <w:rsid w:val="006B6399"/>
    <w:rsid w:val="006B644D"/>
    <w:rsid w:val="006B6809"/>
    <w:rsid w:val="006B710E"/>
    <w:rsid w:val="006B73A4"/>
    <w:rsid w:val="006B74A3"/>
    <w:rsid w:val="006B74AF"/>
    <w:rsid w:val="006B7693"/>
    <w:rsid w:val="006C077C"/>
    <w:rsid w:val="006C08CD"/>
    <w:rsid w:val="006C0ECC"/>
    <w:rsid w:val="006C16DF"/>
    <w:rsid w:val="006C1D29"/>
    <w:rsid w:val="006C27CA"/>
    <w:rsid w:val="006C2945"/>
    <w:rsid w:val="006C33D1"/>
    <w:rsid w:val="006C4850"/>
    <w:rsid w:val="006C5B7F"/>
    <w:rsid w:val="006C6976"/>
    <w:rsid w:val="006C6982"/>
    <w:rsid w:val="006C6B3D"/>
    <w:rsid w:val="006C6DA2"/>
    <w:rsid w:val="006C6E8B"/>
    <w:rsid w:val="006C74B5"/>
    <w:rsid w:val="006C77EC"/>
    <w:rsid w:val="006C78CB"/>
    <w:rsid w:val="006C7B72"/>
    <w:rsid w:val="006D0C19"/>
    <w:rsid w:val="006D0C72"/>
    <w:rsid w:val="006D11DE"/>
    <w:rsid w:val="006D16D5"/>
    <w:rsid w:val="006D467B"/>
    <w:rsid w:val="006D48F4"/>
    <w:rsid w:val="006D4D06"/>
    <w:rsid w:val="006D5148"/>
    <w:rsid w:val="006D52A1"/>
    <w:rsid w:val="006D5F0D"/>
    <w:rsid w:val="006D60AE"/>
    <w:rsid w:val="006D718C"/>
    <w:rsid w:val="006D724C"/>
    <w:rsid w:val="006D7E1E"/>
    <w:rsid w:val="006E04AF"/>
    <w:rsid w:val="006E0535"/>
    <w:rsid w:val="006E151E"/>
    <w:rsid w:val="006E168D"/>
    <w:rsid w:val="006E1DF8"/>
    <w:rsid w:val="006E2C18"/>
    <w:rsid w:val="006E3024"/>
    <w:rsid w:val="006E3925"/>
    <w:rsid w:val="006E3DBC"/>
    <w:rsid w:val="006E41B4"/>
    <w:rsid w:val="006E47EF"/>
    <w:rsid w:val="006E524B"/>
    <w:rsid w:val="006E5D32"/>
    <w:rsid w:val="006E5F1A"/>
    <w:rsid w:val="006E6D4B"/>
    <w:rsid w:val="006E74B2"/>
    <w:rsid w:val="006F0421"/>
    <w:rsid w:val="006F232A"/>
    <w:rsid w:val="006F3106"/>
    <w:rsid w:val="006F3619"/>
    <w:rsid w:val="006F4994"/>
    <w:rsid w:val="006F5D7B"/>
    <w:rsid w:val="0070187B"/>
    <w:rsid w:val="0070206E"/>
    <w:rsid w:val="0070266B"/>
    <w:rsid w:val="0070355B"/>
    <w:rsid w:val="0070393C"/>
    <w:rsid w:val="007039B6"/>
    <w:rsid w:val="00704053"/>
    <w:rsid w:val="00704FB2"/>
    <w:rsid w:val="007058A6"/>
    <w:rsid w:val="00705F48"/>
    <w:rsid w:val="00705FDD"/>
    <w:rsid w:val="00706650"/>
    <w:rsid w:val="007075FA"/>
    <w:rsid w:val="00711611"/>
    <w:rsid w:val="00712106"/>
    <w:rsid w:val="007126E0"/>
    <w:rsid w:val="007136FE"/>
    <w:rsid w:val="0071437B"/>
    <w:rsid w:val="00714624"/>
    <w:rsid w:val="00714E16"/>
    <w:rsid w:val="0071589C"/>
    <w:rsid w:val="0071657D"/>
    <w:rsid w:val="007178B2"/>
    <w:rsid w:val="0072013B"/>
    <w:rsid w:val="00720414"/>
    <w:rsid w:val="0072281E"/>
    <w:rsid w:val="007228D7"/>
    <w:rsid w:val="00722C46"/>
    <w:rsid w:val="00724538"/>
    <w:rsid w:val="00724B5F"/>
    <w:rsid w:val="007254C6"/>
    <w:rsid w:val="00725B18"/>
    <w:rsid w:val="00725C23"/>
    <w:rsid w:val="00726D45"/>
    <w:rsid w:val="00726F31"/>
    <w:rsid w:val="007272F5"/>
    <w:rsid w:val="00727C0B"/>
    <w:rsid w:val="00730348"/>
    <w:rsid w:val="00730851"/>
    <w:rsid w:val="0073093C"/>
    <w:rsid w:val="00730D85"/>
    <w:rsid w:val="00730E0D"/>
    <w:rsid w:val="00730E4B"/>
    <w:rsid w:val="00731051"/>
    <w:rsid w:val="007318B3"/>
    <w:rsid w:val="007318CD"/>
    <w:rsid w:val="00731B5B"/>
    <w:rsid w:val="00731D1D"/>
    <w:rsid w:val="0073212B"/>
    <w:rsid w:val="00732328"/>
    <w:rsid w:val="00732AD4"/>
    <w:rsid w:val="00734313"/>
    <w:rsid w:val="007348B6"/>
    <w:rsid w:val="00734DFD"/>
    <w:rsid w:val="00734FBC"/>
    <w:rsid w:val="00735153"/>
    <w:rsid w:val="00735F4A"/>
    <w:rsid w:val="007365D3"/>
    <w:rsid w:val="00736F8B"/>
    <w:rsid w:val="007371DF"/>
    <w:rsid w:val="007376D9"/>
    <w:rsid w:val="00737A92"/>
    <w:rsid w:val="00740485"/>
    <w:rsid w:val="007404FE"/>
    <w:rsid w:val="00740C5F"/>
    <w:rsid w:val="00740D03"/>
    <w:rsid w:val="0074109F"/>
    <w:rsid w:val="007410ED"/>
    <w:rsid w:val="00741394"/>
    <w:rsid w:val="00743B4D"/>
    <w:rsid w:val="007440B7"/>
    <w:rsid w:val="007451F7"/>
    <w:rsid w:val="00745341"/>
    <w:rsid w:val="007458B3"/>
    <w:rsid w:val="0074594A"/>
    <w:rsid w:val="007465D9"/>
    <w:rsid w:val="00747687"/>
    <w:rsid w:val="00747A31"/>
    <w:rsid w:val="00747FA1"/>
    <w:rsid w:val="007504B7"/>
    <w:rsid w:val="0075066A"/>
    <w:rsid w:val="00750C90"/>
    <w:rsid w:val="00751359"/>
    <w:rsid w:val="0075159C"/>
    <w:rsid w:val="00751AB9"/>
    <w:rsid w:val="007524EE"/>
    <w:rsid w:val="00752512"/>
    <w:rsid w:val="007547B8"/>
    <w:rsid w:val="007547E3"/>
    <w:rsid w:val="00754DA8"/>
    <w:rsid w:val="00754DF7"/>
    <w:rsid w:val="00755022"/>
    <w:rsid w:val="007551B6"/>
    <w:rsid w:val="00755609"/>
    <w:rsid w:val="00755BAE"/>
    <w:rsid w:val="00756152"/>
    <w:rsid w:val="0075696F"/>
    <w:rsid w:val="00756E71"/>
    <w:rsid w:val="00757360"/>
    <w:rsid w:val="007576F9"/>
    <w:rsid w:val="00757A83"/>
    <w:rsid w:val="00763514"/>
    <w:rsid w:val="00764901"/>
    <w:rsid w:val="0076490C"/>
    <w:rsid w:val="00764A3A"/>
    <w:rsid w:val="00765A7D"/>
    <w:rsid w:val="00766B1F"/>
    <w:rsid w:val="00766DFA"/>
    <w:rsid w:val="007673F2"/>
    <w:rsid w:val="007714DB"/>
    <w:rsid w:val="00772958"/>
    <w:rsid w:val="007738CE"/>
    <w:rsid w:val="007742C8"/>
    <w:rsid w:val="0077467C"/>
    <w:rsid w:val="007757B2"/>
    <w:rsid w:val="0077698B"/>
    <w:rsid w:val="00776D94"/>
    <w:rsid w:val="00777FF8"/>
    <w:rsid w:val="0078019D"/>
    <w:rsid w:val="007809AF"/>
    <w:rsid w:val="007809CD"/>
    <w:rsid w:val="00780DBE"/>
    <w:rsid w:val="00780DFE"/>
    <w:rsid w:val="00780ED2"/>
    <w:rsid w:val="0078147A"/>
    <w:rsid w:val="00781B80"/>
    <w:rsid w:val="00782440"/>
    <w:rsid w:val="00782521"/>
    <w:rsid w:val="00782A27"/>
    <w:rsid w:val="00782C7C"/>
    <w:rsid w:val="007835F7"/>
    <w:rsid w:val="00783F19"/>
    <w:rsid w:val="00784162"/>
    <w:rsid w:val="00784678"/>
    <w:rsid w:val="00784909"/>
    <w:rsid w:val="00785383"/>
    <w:rsid w:val="007864B2"/>
    <w:rsid w:val="00786D2E"/>
    <w:rsid w:val="0078709C"/>
    <w:rsid w:val="00787DD4"/>
    <w:rsid w:val="00787F28"/>
    <w:rsid w:val="00790EDD"/>
    <w:rsid w:val="00791ED5"/>
    <w:rsid w:val="007920A4"/>
    <w:rsid w:val="00792971"/>
    <w:rsid w:val="00792A60"/>
    <w:rsid w:val="007931DA"/>
    <w:rsid w:val="00793A90"/>
    <w:rsid w:val="00793DF2"/>
    <w:rsid w:val="007940B5"/>
    <w:rsid w:val="007940C1"/>
    <w:rsid w:val="00794318"/>
    <w:rsid w:val="00794CDB"/>
    <w:rsid w:val="00794CDE"/>
    <w:rsid w:val="007960F2"/>
    <w:rsid w:val="007972D2"/>
    <w:rsid w:val="00797AF6"/>
    <w:rsid w:val="00797D6F"/>
    <w:rsid w:val="007A0878"/>
    <w:rsid w:val="007A0A2A"/>
    <w:rsid w:val="007A0AF2"/>
    <w:rsid w:val="007A1560"/>
    <w:rsid w:val="007A301B"/>
    <w:rsid w:val="007A3511"/>
    <w:rsid w:val="007A3617"/>
    <w:rsid w:val="007A3955"/>
    <w:rsid w:val="007A4211"/>
    <w:rsid w:val="007A42DD"/>
    <w:rsid w:val="007A4B3A"/>
    <w:rsid w:val="007A4C3D"/>
    <w:rsid w:val="007A4E41"/>
    <w:rsid w:val="007A5101"/>
    <w:rsid w:val="007A559D"/>
    <w:rsid w:val="007A60A5"/>
    <w:rsid w:val="007A67A3"/>
    <w:rsid w:val="007A68B4"/>
    <w:rsid w:val="007A6E35"/>
    <w:rsid w:val="007A7E7F"/>
    <w:rsid w:val="007B0C2D"/>
    <w:rsid w:val="007B11D2"/>
    <w:rsid w:val="007B1775"/>
    <w:rsid w:val="007B1E90"/>
    <w:rsid w:val="007B2078"/>
    <w:rsid w:val="007B20C9"/>
    <w:rsid w:val="007B34F3"/>
    <w:rsid w:val="007B3CAB"/>
    <w:rsid w:val="007B4C3C"/>
    <w:rsid w:val="007B510F"/>
    <w:rsid w:val="007B511F"/>
    <w:rsid w:val="007B5823"/>
    <w:rsid w:val="007B590C"/>
    <w:rsid w:val="007B593C"/>
    <w:rsid w:val="007B63C1"/>
    <w:rsid w:val="007B6AC6"/>
    <w:rsid w:val="007B7164"/>
    <w:rsid w:val="007B77F9"/>
    <w:rsid w:val="007B7B42"/>
    <w:rsid w:val="007C1574"/>
    <w:rsid w:val="007C1590"/>
    <w:rsid w:val="007C1A13"/>
    <w:rsid w:val="007C1A1B"/>
    <w:rsid w:val="007C3B52"/>
    <w:rsid w:val="007C42D7"/>
    <w:rsid w:val="007C438D"/>
    <w:rsid w:val="007C58D8"/>
    <w:rsid w:val="007C5E57"/>
    <w:rsid w:val="007C6738"/>
    <w:rsid w:val="007C6B55"/>
    <w:rsid w:val="007C6B58"/>
    <w:rsid w:val="007C6E03"/>
    <w:rsid w:val="007C7622"/>
    <w:rsid w:val="007C77C0"/>
    <w:rsid w:val="007C7F4B"/>
    <w:rsid w:val="007D08AA"/>
    <w:rsid w:val="007D238A"/>
    <w:rsid w:val="007D4345"/>
    <w:rsid w:val="007D465E"/>
    <w:rsid w:val="007D4750"/>
    <w:rsid w:val="007D51B4"/>
    <w:rsid w:val="007D602B"/>
    <w:rsid w:val="007D62C7"/>
    <w:rsid w:val="007D7062"/>
    <w:rsid w:val="007D71CA"/>
    <w:rsid w:val="007D775E"/>
    <w:rsid w:val="007E0874"/>
    <w:rsid w:val="007E094C"/>
    <w:rsid w:val="007E0B42"/>
    <w:rsid w:val="007E13B9"/>
    <w:rsid w:val="007E2CD5"/>
    <w:rsid w:val="007E33A9"/>
    <w:rsid w:val="007E3659"/>
    <w:rsid w:val="007E3F4C"/>
    <w:rsid w:val="007E4220"/>
    <w:rsid w:val="007E42E7"/>
    <w:rsid w:val="007E480F"/>
    <w:rsid w:val="007E4E85"/>
    <w:rsid w:val="007E5121"/>
    <w:rsid w:val="007E5610"/>
    <w:rsid w:val="007E5929"/>
    <w:rsid w:val="007E5ADB"/>
    <w:rsid w:val="007E6622"/>
    <w:rsid w:val="007E796E"/>
    <w:rsid w:val="007F0223"/>
    <w:rsid w:val="007F0609"/>
    <w:rsid w:val="007F10FF"/>
    <w:rsid w:val="007F19F4"/>
    <w:rsid w:val="007F1A00"/>
    <w:rsid w:val="007F1B25"/>
    <w:rsid w:val="007F2240"/>
    <w:rsid w:val="007F2914"/>
    <w:rsid w:val="007F3389"/>
    <w:rsid w:val="007F3A19"/>
    <w:rsid w:val="007F3F6E"/>
    <w:rsid w:val="007F3F9E"/>
    <w:rsid w:val="007F4460"/>
    <w:rsid w:val="007F4667"/>
    <w:rsid w:val="007F4D46"/>
    <w:rsid w:val="007F5A28"/>
    <w:rsid w:val="007F6F1F"/>
    <w:rsid w:val="007F70C3"/>
    <w:rsid w:val="007F75E9"/>
    <w:rsid w:val="007F7AFD"/>
    <w:rsid w:val="00800104"/>
    <w:rsid w:val="0080068F"/>
    <w:rsid w:val="00800950"/>
    <w:rsid w:val="00801069"/>
    <w:rsid w:val="008011C0"/>
    <w:rsid w:val="00801683"/>
    <w:rsid w:val="00801886"/>
    <w:rsid w:val="00801ABF"/>
    <w:rsid w:val="008027A2"/>
    <w:rsid w:val="008028A8"/>
    <w:rsid w:val="00802B7F"/>
    <w:rsid w:val="00802E84"/>
    <w:rsid w:val="00802FC7"/>
    <w:rsid w:val="008038EE"/>
    <w:rsid w:val="0080462E"/>
    <w:rsid w:val="00804FFA"/>
    <w:rsid w:val="008054E1"/>
    <w:rsid w:val="0080590B"/>
    <w:rsid w:val="0080603D"/>
    <w:rsid w:val="00806323"/>
    <w:rsid w:val="00807473"/>
    <w:rsid w:val="008076D6"/>
    <w:rsid w:val="008079D8"/>
    <w:rsid w:val="00810F5E"/>
    <w:rsid w:val="00811914"/>
    <w:rsid w:val="00811C38"/>
    <w:rsid w:val="0081256B"/>
    <w:rsid w:val="008125CF"/>
    <w:rsid w:val="00812CE7"/>
    <w:rsid w:val="008136A5"/>
    <w:rsid w:val="00813844"/>
    <w:rsid w:val="00813F4A"/>
    <w:rsid w:val="00814351"/>
    <w:rsid w:val="0081465B"/>
    <w:rsid w:val="00814FC2"/>
    <w:rsid w:val="00815EA6"/>
    <w:rsid w:val="008171B4"/>
    <w:rsid w:val="00817ABF"/>
    <w:rsid w:val="00817E92"/>
    <w:rsid w:val="0082005B"/>
    <w:rsid w:val="008201BA"/>
    <w:rsid w:val="0082031C"/>
    <w:rsid w:val="00820464"/>
    <w:rsid w:val="00820B4C"/>
    <w:rsid w:val="00821014"/>
    <w:rsid w:val="00821A4E"/>
    <w:rsid w:val="00822EC4"/>
    <w:rsid w:val="00823544"/>
    <w:rsid w:val="0082378A"/>
    <w:rsid w:val="008239BA"/>
    <w:rsid w:val="00823A9E"/>
    <w:rsid w:val="008250BD"/>
    <w:rsid w:val="00825C90"/>
    <w:rsid w:val="00825E2E"/>
    <w:rsid w:val="00825EB2"/>
    <w:rsid w:val="0082792F"/>
    <w:rsid w:val="00830573"/>
    <w:rsid w:val="00831DC0"/>
    <w:rsid w:val="00832459"/>
    <w:rsid w:val="0083247C"/>
    <w:rsid w:val="00832E8F"/>
    <w:rsid w:val="00832F78"/>
    <w:rsid w:val="008332D3"/>
    <w:rsid w:val="00833CAD"/>
    <w:rsid w:val="00833E6F"/>
    <w:rsid w:val="00833F63"/>
    <w:rsid w:val="00834E62"/>
    <w:rsid w:val="00834FCE"/>
    <w:rsid w:val="00835239"/>
    <w:rsid w:val="00835353"/>
    <w:rsid w:val="00835C51"/>
    <w:rsid w:val="00836539"/>
    <w:rsid w:val="00837894"/>
    <w:rsid w:val="00837E60"/>
    <w:rsid w:val="008401E5"/>
    <w:rsid w:val="0084038B"/>
    <w:rsid w:val="00840635"/>
    <w:rsid w:val="00840A1B"/>
    <w:rsid w:val="00841202"/>
    <w:rsid w:val="00841ABC"/>
    <w:rsid w:val="00841CFB"/>
    <w:rsid w:val="00842B02"/>
    <w:rsid w:val="00843357"/>
    <w:rsid w:val="0084385A"/>
    <w:rsid w:val="00843FF6"/>
    <w:rsid w:val="00844761"/>
    <w:rsid w:val="00845A29"/>
    <w:rsid w:val="00846EF8"/>
    <w:rsid w:val="00847070"/>
    <w:rsid w:val="0084753C"/>
    <w:rsid w:val="00847F2F"/>
    <w:rsid w:val="00850EAC"/>
    <w:rsid w:val="00850FC9"/>
    <w:rsid w:val="0085105D"/>
    <w:rsid w:val="0085180A"/>
    <w:rsid w:val="0085201B"/>
    <w:rsid w:val="00852616"/>
    <w:rsid w:val="00852ABF"/>
    <w:rsid w:val="0085307E"/>
    <w:rsid w:val="00853430"/>
    <w:rsid w:val="0085371F"/>
    <w:rsid w:val="00853DF5"/>
    <w:rsid w:val="00854409"/>
    <w:rsid w:val="00854546"/>
    <w:rsid w:val="0085576C"/>
    <w:rsid w:val="00856B6A"/>
    <w:rsid w:val="00856DD2"/>
    <w:rsid w:val="00856FE3"/>
    <w:rsid w:val="00857122"/>
    <w:rsid w:val="008600ED"/>
    <w:rsid w:val="00860CD6"/>
    <w:rsid w:val="00861700"/>
    <w:rsid w:val="00861ACC"/>
    <w:rsid w:val="00862060"/>
    <w:rsid w:val="00862181"/>
    <w:rsid w:val="00862437"/>
    <w:rsid w:val="00862697"/>
    <w:rsid w:val="008626F6"/>
    <w:rsid w:val="00862C55"/>
    <w:rsid w:val="0086503C"/>
    <w:rsid w:val="008663E8"/>
    <w:rsid w:val="00866CB2"/>
    <w:rsid w:val="008679A2"/>
    <w:rsid w:val="00867C1D"/>
    <w:rsid w:val="00867FA7"/>
    <w:rsid w:val="008703E1"/>
    <w:rsid w:val="0087060B"/>
    <w:rsid w:val="00870944"/>
    <w:rsid w:val="00870C5E"/>
    <w:rsid w:val="00870CF2"/>
    <w:rsid w:val="00871C20"/>
    <w:rsid w:val="00872E38"/>
    <w:rsid w:val="00873215"/>
    <w:rsid w:val="00873F57"/>
    <w:rsid w:val="008740C9"/>
    <w:rsid w:val="00874D79"/>
    <w:rsid w:val="008751DF"/>
    <w:rsid w:val="00876459"/>
    <w:rsid w:val="0087669E"/>
    <w:rsid w:val="008766A2"/>
    <w:rsid w:val="00876A7B"/>
    <w:rsid w:val="008775B5"/>
    <w:rsid w:val="00877915"/>
    <w:rsid w:val="00877E68"/>
    <w:rsid w:val="008800C5"/>
    <w:rsid w:val="0088014D"/>
    <w:rsid w:val="008801C3"/>
    <w:rsid w:val="00880630"/>
    <w:rsid w:val="0088066D"/>
    <w:rsid w:val="0088076E"/>
    <w:rsid w:val="00881382"/>
    <w:rsid w:val="0088190B"/>
    <w:rsid w:val="008829DA"/>
    <w:rsid w:val="0088369A"/>
    <w:rsid w:val="008849AA"/>
    <w:rsid w:val="008849FA"/>
    <w:rsid w:val="00884D97"/>
    <w:rsid w:val="00885154"/>
    <w:rsid w:val="008851EA"/>
    <w:rsid w:val="00885251"/>
    <w:rsid w:val="008852D9"/>
    <w:rsid w:val="008857A6"/>
    <w:rsid w:val="0088685D"/>
    <w:rsid w:val="008905F3"/>
    <w:rsid w:val="008907A5"/>
    <w:rsid w:val="00890914"/>
    <w:rsid w:val="00890E12"/>
    <w:rsid w:val="00891E5F"/>
    <w:rsid w:val="00891F36"/>
    <w:rsid w:val="0089212B"/>
    <w:rsid w:val="008933EB"/>
    <w:rsid w:val="00894A25"/>
    <w:rsid w:val="00895870"/>
    <w:rsid w:val="00895D4B"/>
    <w:rsid w:val="00895DB2"/>
    <w:rsid w:val="00895EFB"/>
    <w:rsid w:val="0089634D"/>
    <w:rsid w:val="00896E8E"/>
    <w:rsid w:val="008974F3"/>
    <w:rsid w:val="0089795C"/>
    <w:rsid w:val="008A0CD5"/>
    <w:rsid w:val="008A135D"/>
    <w:rsid w:val="008A1C99"/>
    <w:rsid w:val="008A215B"/>
    <w:rsid w:val="008A24BF"/>
    <w:rsid w:val="008A2C5F"/>
    <w:rsid w:val="008A34E2"/>
    <w:rsid w:val="008A3A04"/>
    <w:rsid w:val="008A3DCF"/>
    <w:rsid w:val="008A47BC"/>
    <w:rsid w:val="008A4C15"/>
    <w:rsid w:val="008A4D40"/>
    <w:rsid w:val="008A5A94"/>
    <w:rsid w:val="008A5CAF"/>
    <w:rsid w:val="008A5D64"/>
    <w:rsid w:val="008A6215"/>
    <w:rsid w:val="008A6BFF"/>
    <w:rsid w:val="008A6CD3"/>
    <w:rsid w:val="008A6D5C"/>
    <w:rsid w:val="008A7023"/>
    <w:rsid w:val="008A7278"/>
    <w:rsid w:val="008A7502"/>
    <w:rsid w:val="008A795D"/>
    <w:rsid w:val="008B0C61"/>
    <w:rsid w:val="008B16A0"/>
    <w:rsid w:val="008B174E"/>
    <w:rsid w:val="008B1BF1"/>
    <w:rsid w:val="008B2D4E"/>
    <w:rsid w:val="008B42B4"/>
    <w:rsid w:val="008B4DF2"/>
    <w:rsid w:val="008B55B2"/>
    <w:rsid w:val="008B55D4"/>
    <w:rsid w:val="008B6440"/>
    <w:rsid w:val="008B6C8A"/>
    <w:rsid w:val="008B7E3C"/>
    <w:rsid w:val="008B7E5B"/>
    <w:rsid w:val="008C0887"/>
    <w:rsid w:val="008C19AD"/>
    <w:rsid w:val="008C3042"/>
    <w:rsid w:val="008C3804"/>
    <w:rsid w:val="008C3AA7"/>
    <w:rsid w:val="008C403A"/>
    <w:rsid w:val="008C5464"/>
    <w:rsid w:val="008C546E"/>
    <w:rsid w:val="008C62E5"/>
    <w:rsid w:val="008C6CE8"/>
    <w:rsid w:val="008C6F7B"/>
    <w:rsid w:val="008C714C"/>
    <w:rsid w:val="008C7420"/>
    <w:rsid w:val="008C7951"/>
    <w:rsid w:val="008D1191"/>
    <w:rsid w:val="008D119F"/>
    <w:rsid w:val="008D1C2A"/>
    <w:rsid w:val="008D2353"/>
    <w:rsid w:val="008D2A63"/>
    <w:rsid w:val="008D2C20"/>
    <w:rsid w:val="008D2EC3"/>
    <w:rsid w:val="008D39A1"/>
    <w:rsid w:val="008D3C3F"/>
    <w:rsid w:val="008D4B75"/>
    <w:rsid w:val="008D4F40"/>
    <w:rsid w:val="008D5066"/>
    <w:rsid w:val="008D5418"/>
    <w:rsid w:val="008D5742"/>
    <w:rsid w:val="008D5AFD"/>
    <w:rsid w:val="008D69E0"/>
    <w:rsid w:val="008D6DC1"/>
    <w:rsid w:val="008D7152"/>
    <w:rsid w:val="008D7F0B"/>
    <w:rsid w:val="008E05AD"/>
    <w:rsid w:val="008E0DAB"/>
    <w:rsid w:val="008E23FA"/>
    <w:rsid w:val="008E3254"/>
    <w:rsid w:val="008E3C34"/>
    <w:rsid w:val="008E3E81"/>
    <w:rsid w:val="008E4028"/>
    <w:rsid w:val="008E4502"/>
    <w:rsid w:val="008E4A08"/>
    <w:rsid w:val="008E5759"/>
    <w:rsid w:val="008E5F64"/>
    <w:rsid w:val="008E7B55"/>
    <w:rsid w:val="008F05E4"/>
    <w:rsid w:val="008F1438"/>
    <w:rsid w:val="008F279B"/>
    <w:rsid w:val="008F2A77"/>
    <w:rsid w:val="008F30A8"/>
    <w:rsid w:val="008F33E2"/>
    <w:rsid w:val="008F415F"/>
    <w:rsid w:val="008F4678"/>
    <w:rsid w:val="008F5141"/>
    <w:rsid w:val="008F56F8"/>
    <w:rsid w:val="008F581B"/>
    <w:rsid w:val="008F676A"/>
    <w:rsid w:val="008F764D"/>
    <w:rsid w:val="00900195"/>
    <w:rsid w:val="00900F3B"/>
    <w:rsid w:val="009016E8"/>
    <w:rsid w:val="0090222A"/>
    <w:rsid w:val="00902449"/>
    <w:rsid w:val="00902839"/>
    <w:rsid w:val="00902B3E"/>
    <w:rsid w:val="00904279"/>
    <w:rsid w:val="009054C9"/>
    <w:rsid w:val="00905A67"/>
    <w:rsid w:val="009064EC"/>
    <w:rsid w:val="009072A0"/>
    <w:rsid w:val="009076B9"/>
    <w:rsid w:val="00910AD3"/>
    <w:rsid w:val="00910B86"/>
    <w:rsid w:val="00910BE5"/>
    <w:rsid w:val="00911734"/>
    <w:rsid w:val="00911C82"/>
    <w:rsid w:val="0091221E"/>
    <w:rsid w:val="009123FC"/>
    <w:rsid w:val="00912988"/>
    <w:rsid w:val="00912BF2"/>
    <w:rsid w:val="009134C5"/>
    <w:rsid w:val="00913C57"/>
    <w:rsid w:val="00914BF3"/>
    <w:rsid w:val="00915390"/>
    <w:rsid w:val="0091593D"/>
    <w:rsid w:val="00915FE3"/>
    <w:rsid w:val="0092003F"/>
    <w:rsid w:val="00920957"/>
    <w:rsid w:val="00922075"/>
    <w:rsid w:val="00922B65"/>
    <w:rsid w:val="00923CF6"/>
    <w:rsid w:val="009257B0"/>
    <w:rsid w:val="00926875"/>
    <w:rsid w:val="009269D5"/>
    <w:rsid w:val="00927010"/>
    <w:rsid w:val="009279BC"/>
    <w:rsid w:val="00927EF0"/>
    <w:rsid w:val="009301E8"/>
    <w:rsid w:val="00930C45"/>
    <w:rsid w:val="00930CBC"/>
    <w:rsid w:val="0093164D"/>
    <w:rsid w:val="009319F1"/>
    <w:rsid w:val="00931D38"/>
    <w:rsid w:val="00931E61"/>
    <w:rsid w:val="009320CB"/>
    <w:rsid w:val="0093322D"/>
    <w:rsid w:val="00934952"/>
    <w:rsid w:val="00934FE7"/>
    <w:rsid w:val="009354E9"/>
    <w:rsid w:val="009357DF"/>
    <w:rsid w:val="009359F3"/>
    <w:rsid w:val="00935F13"/>
    <w:rsid w:val="009366BB"/>
    <w:rsid w:val="00936754"/>
    <w:rsid w:val="00940186"/>
    <w:rsid w:val="00941658"/>
    <w:rsid w:val="00941DB5"/>
    <w:rsid w:val="00941F84"/>
    <w:rsid w:val="009420F7"/>
    <w:rsid w:val="009424F8"/>
    <w:rsid w:val="00942C66"/>
    <w:rsid w:val="00943146"/>
    <w:rsid w:val="0094380D"/>
    <w:rsid w:val="009440E6"/>
    <w:rsid w:val="00944332"/>
    <w:rsid w:val="0094451C"/>
    <w:rsid w:val="00945641"/>
    <w:rsid w:val="009462E2"/>
    <w:rsid w:val="00946E35"/>
    <w:rsid w:val="009474D3"/>
    <w:rsid w:val="00947671"/>
    <w:rsid w:val="00947BEF"/>
    <w:rsid w:val="00947C7C"/>
    <w:rsid w:val="00947E6F"/>
    <w:rsid w:val="00947F16"/>
    <w:rsid w:val="0095164F"/>
    <w:rsid w:val="00952EC0"/>
    <w:rsid w:val="00954D60"/>
    <w:rsid w:val="009552AD"/>
    <w:rsid w:val="00955C68"/>
    <w:rsid w:val="009563E7"/>
    <w:rsid w:val="00956B1A"/>
    <w:rsid w:val="0095781F"/>
    <w:rsid w:val="009616F5"/>
    <w:rsid w:val="00961DBB"/>
    <w:rsid w:val="009625D7"/>
    <w:rsid w:val="00962CBE"/>
    <w:rsid w:val="00962F8D"/>
    <w:rsid w:val="00963A6F"/>
    <w:rsid w:val="00963DDD"/>
    <w:rsid w:val="009640F5"/>
    <w:rsid w:val="00964321"/>
    <w:rsid w:val="00964C11"/>
    <w:rsid w:val="00964FB8"/>
    <w:rsid w:val="00965197"/>
    <w:rsid w:val="009651AD"/>
    <w:rsid w:val="00965FEA"/>
    <w:rsid w:val="009677B9"/>
    <w:rsid w:val="009677FA"/>
    <w:rsid w:val="009677FD"/>
    <w:rsid w:val="0097015E"/>
    <w:rsid w:val="009702B2"/>
    <w:rsid w:val="009707C8"/>
    <w:rsid w:val="00970E28"/>
    <w:rsid w:val="00971071"/>
    <w:rsid w:val="00971320"/>
    <w:rsid w:val="00971FFB"/>
    <w:rsid w:val="009729EE"/>
    <w:rsid w:val="00972FE2"/>
    <w:rsid w:val="00973D7B"/>
    <w:rsid w:val="00974EFE"/>
    <w:rsid w:val="00975433"/>
    <w:rsid w:val="0097576C"/>
    <w:rsid w:val="00975C5E"/>
    <w:rsid w:val="00975ECC"/>
    <w:rsid w:val="00976C8C"/>
    <w:rsid w:val="00976D84"/>
    <w:rsid w:val="00977658"/>
    <w:rsid w:val="009804AE"/>
    <w:rsid w:val="0098059D"/>
    <w:rsid w:val="00980C60"/>
    <w:rsid w:val="00982287"/>
    <w:rsid w:val="00982382"/>
    <w:rsid w:val="00982ADD"/>
    <w:rsid w:val="009836DC"/>
    <w:rsid w:val="009837E6"/>
    <w:rsid w:val="00985F54"/>
    <w:rsid w:val="00986797"/>
    <w:rsid w:val="009867C4"/>
    <w:rsid w:val="00987600"/>
    <w:rsid w:val="009915BD"/>
    <w:rsid w:val="00991991"/>
    <w:rsid w:val="00991AF5"/>
    <w:rsid w:val="00991D2D"/>
    <w:rsid w:val="00992654"/>
    <w:rsid w:val="00992774"/>
    <w:rsid w:val="0099296E"/>
    <w:rsid w:val="009936D8"/>
    <w:rsid w:val="009939AB"/>
    <w:rsid w:val="00994421"/>
    <w:rsid w:val="00994D2A"/>
    <w:rsid w:val="00994F54"/>
    <w:rsid w:val="00996B92"/>
    <w:rsid w:val="00996D31"/>
    <w:rsid w:val="00996E0B"/>
    <w:rsid w:val="009971EC"/>
    <w:rsid w:val="0099721C"/>
    <w:rsid w:val="00997754"/>
    <w:rsid w:val="00997772"/>
    <w:rsid w:val="00997931"/>
    <w:rsid w:val="009A045D"/>
    <w:rsid w:val="009A088F"/>
    <w:rsid w:val="009A09C1"/>
    <w:rsid w:val="009A0B26"/>
    <w:rsid w:val="009A0C21"/>
    <w:rsid w:val="009A0DBC"/>
    <w:rsid w:val="009A1404"/>
    <w:rsid w:val="009A1892"/>
    <w:rsid w:val="009A1B89"/>
    <w:rsid w:val="009A2093"/>
    <w:rsid w:val="009A27D3"/>
    <w:rsid w:val="009A3513"/>
    <w:rsid w:val="009A3ACA"/>
    <w:rsid w:val="009A3C7B"/>
    <w:rsid w:val="009A3D78"/>
    <w:rsid w:val="009A3FF9"/>
    <w:rsid w:val="009A4B09"/>
    <w:rsid w:val="009A5125"/>
    <w:rsid w:val="009A536D"/>
    <w:rsid w:val="009A5ABE"/>
    <w:rsid w:val="009A5F75"/>
    <w:rsid w:val="009A67C5"/>
    <w:rsid w:val="009A6F9B"/>
    <w:rsid w:val="009A73F5"/>
    <w:rsid w:val="009A7403"/>
    <w:rsid w:val="009B06FF"/>
    <w:rsid w:val="009B08B9"/>
    <w:rsid w:val="009B0BF1"/>
    <w:rsid w:val="009B0D5E"/>
    <w:rsid w:val="009B185E"/>
    <w:rsid w:val="009B18D8"/>
    <w:rsid w:val="009B1B93"/>
    <w:rsid w:val="009B1E6A"/>
    <w:rsid w:val="009B2148"/>
    <w:rsid w:val="009B2935"/>
    <w:rsid w:val="009B2E3B"/>
    <w:rsid w:val="009B3A3F"/>
    <w:rsid w:val="009B426E"/>
    <w:rsid w:val="009B461D"/>
    <w:rsid w:val="009B46D1"/>
    <w:rsid w:val="009B4AD0"/>
    <w:rsid w:val="009B50FE"/>
    <w:rsid w:val="009B564D"/>
    <w:rsid w:val="009B5EDF"/>
    <w:rsid w:val="009B61A2"/>
    <w:rsid w:val="009B677C"/>
    <w:rsid w:val="009B7F33"/>
    <w:rsid w:val="009B7F84"/>
    <w:rsid w:val="009C05DF"/>
    <w:rsid w:val="009C0F7C"/>
    <w:rsid w:val="009C16EB"/>
    <w:rsid w:val="009C187C"/>
    <w:rsid w:val="009C1ADA"/>
    <w:rsid w:val="009C1F30"/>
    <w:rsid w:val="009C2BCE"/>
    <w:rsid w:val="009C374A"/>
    <w:rsid w:val="009C3971"/>
    <w:rsid w:val="009C3C4D"/>
    <w:rsid w:val="009C42E8"/>
    <w:rsid w:val="009C48F6"/>
    <w:rsid w:val="009C51F0"/>
    <w:rsid w:val="009C5359"/>
    <w:rsid w:val="009C5824"/>
    <w:rsid w:val="009C6591"/>
    <w:rsid w:val="009C7124"/>
    <w:rsid w:val="009C757B"/>
    <w:rsid w:val="009C773C"/>
    <w:rsid w:val="009D144C"/>
    <w:rsid w:val="009D20A1"/>
    <w:rsid w:val="009D25EB"/>
    <w:rsid w:val="009D2D7C"/>
    <w:rsid w:val="009D3F39"/>
    <w:rsid w:val="009D445E"/>
    <w:rsid w:val="009D5DAF"/>
    <w:rsid w:val="009D66F0"/>
    <w:rsid w:val="009D6706"/>
    <w:rsid w:val="009D73F4"/>
    <w:rsid w:val="009D7F0B"/>
    <w:rsid w:val="009E00A3"/>
    <w:rsid w:val="009E00FA"/>
    <w:rsid w:val="009E0FFE"/>
    <w:rsid w:val="009E12BC"/>
    <w:rsid w:val="009E1CAE"/>
    <w:rsid w:val="009E2906"/>
    <w:rsid w:val="009E292C"/>
    <w:rsid w:val="009E2949"/>
    <w:rsid w:val="009E308D"/>
    <w:rsid w:val="009E3555"/>
    <w:rsid w:val="009E4479"/>
    <w:rsid w:val="009E49B3"/>
    <w:rsid w:val="009E5109"/>
    <w:rsid w:val="009E5171"/>
    <w:rsid w:val="009E56A4"/>
    <w:rsid w:val="009E5C4C"/>
    <w:rsid w:val="009E6D1B"/>
    <w:rsid w:val="009E70A4"/>
    <w:rsid w:val="009E7161"/>
    <w:rsid w:val="009E7F40"/>
    <w:rsid w:val="009F0868"/>
    <w:rsid w:val="009F1A50"/>
    <w:rsid w:val="009F1A8F"/>
    <w:rsid w:val="009F3108"/>
    <w:rsid w:val="009F354D"/>
    <w:rsid w:val="009F3B00"/>
    <w:rsid w:val="009F4465"/>
    <w:rsid w:val="009F4A78"/>
    <w:rsid w:val="009F4B46"/>
    <w:rsid w:val="009F4B59"/>
    <w:rsid w:val="009F4EA1"/>
    <w:rsid w:val="009F5700"/>
    <w:rsid w:val="009F5F40"/>
    <w:rsid w:val="009F6B7E"/>
    <w:rsid w:val="009F6C82"/>
    <w:rsid w:val="009F6D41"/>
    <w:rsid w:val="009F6DD6"/>
    <w:rsid w:val="009F7723"/>
    <w:rsid w:val="009F7735"/>
    <w:rsid w:val="009F7AB6"/>
    <w:rsid w:val="00A00262"/>
    <w:rsid w:val="00A00514"/>
    <w:rsid w:val="00A00798"/>
    <w:rsid w:val="00A00D1C"/>
    <w:rsid w:val="00A014AC"/>
    <w:rsid w:val="00A02591"/>
    <w:rsid w:val="00A025D7"/>
    <w:rsid w:val="00A02663"/>
    <w:rsid w:val="00A02A45"/>
    <w:rsid w:val="00A033CA"/>
    <w:rsid w:val="00A0397D"/>
    <w:rsid w:val="00A03A43"/>
    <w:rsid w:val="00A03C93"/>
    <w:rsid w:val="00A03D78"/>
    <w:rsid w:val="00A07B8F"/>
    <w:rsid w:val="00A10DB7"/>
    <w:rsid w:val="00A10F00"/>
    <w:rsid w:val="00A12506"/>
    <w:rsid w:val="00A139D3"/>
    <w:rsid w:val="00A13A0F"/>
    <w:rsid w:val="00A13BEF"/>
    <w:rsid w:val="00A13E61"/>
    <w:rsid w:val="00A14489"/>
    <w:rsid w:val="00A1478C"/>
    <w:rsid w:val="00A1483C"/>
    <w:rsid w:val="00A14B3D"/>
    <w:rsid w:val="00A16B38"/>
    <w:rsid w:val="00A172A4"/>
    <w:rsid w:val="00A17EA6"/>
    <w:rsid w:val="00A20253"/>
    <w:rsid w:val="00A2064E"/>
    <w:rsid w:val="00A208B1"/>
    <w:rsid w:val="00A20AD5"/>
    <w:rsid w:val="00A2183E"/>
    <w:rsid w:val="00A21BC4"/>
    <w:rsid w:val="00A21E7D"/>
    <w:rsid w:val="00A2373C"/>
    <w:rsid w:val="00A23A9F"/>
    <w:rsid w:val="00A242B8"/>
    <w:rsid w:val="00A24A97"/>
    <w:rsid w:val="00A24CD9"/>
    <w:rsid w:val="00A252D0"/>
    <w:rsid w:val="00A25B27"/>
    <w:rsid w:val="00A2645A"/>
    <w:rsid w:val="00A267B9"/>
    <w:rsid w:val="00A2709A"/>
    <w:rsid w:val="00A27590"/>
    <w:rsid w:val="00A275CA"/>
    <w:rsid w:val="00A27CFE"/>
    <w:rsid w:val="00A30708"/>
    <w:rsid w:val="00A30D08"/>
    <w:rsid w:val="00A31BF3"/>
    <w:rsid w:val="00A31F1A"/>
    <w:rsid w:val="00A339D1"/>
    <w:rsid w:val="00A34467"/>
    <w:rsid w:val="00A347D8"/>
    <w:rsid w:val="00A35C61"/>
    <w:rsid w:val="00A36213"/>
    <w:rsid w:val="00A36D27"/>
    <w:rsid w:val="00A37535"/>
    <w:rsid w:val="00A3761F"/>
    <w:rsid w:val="00A37DA9"/>
    <w:rsid w:val="00A4091A"/>
    <w:rsid w:val="00A40BEB"/>
    <w:rsid w:val="00A412D7"/>
    <w:rsid w:val="00A419B0"/>
    <w:rsid w:val="00A419B5"/>
    <w:rsid w:val="00A41A36"/>
    <w:rsid w:val="00A424C8"/>
    <w:rsid w:val="00A425E9"/>
    <w:rsid w:val="00A427BF"/>
    <w:rsid w:val="00A43870"/>
    <w:rsid w:val="00A43EED"/>
    <w:rsid w:val="00A441AC"/>
    <w:rsid w:val="00A44D7E"/>
    <w:rsid w:val="00A44D96"/>
    <w:rsid w:val="00A45355"/>
    <w:rsid w:val="00A454FE"/>
    <w:rsid w:val="00A456EF"/>
    <w:rsid w:val="00A4714D"/>
    <w:rsid w:val="00A474DD"/>
    <w:rsid w:val="00A476A5"/>
    <w:rsid w:val="00A47FFD"/>
    <w:rsid w:val="00A51728"/>
    <w:rsid w:val="00A51A84"/>
    <w:rsid w:val="00A5240E"/>
    <w:rsid w:val="00A5263D"/>
    <w:rsid w:val="00A53288"/>
    <w:rsid w:val="00A537A8"/>
    <w:rsid w:val="00A53806"/>
    <w:rsid w:val="00A5389D"/>
    <w:rsid w:val="00A54ECF"/>
    <w:rsid w:val="00A55203"/>
    <w:rsid w:val="00A560F1"/>
    <w:rsid w:val="00A5646E"/>
    <w:rsid w:val="00A56FA2"/>
    <w:rsid w:val="00A6049F"/>
    <w:rsid w:val="00A608F6"/>
    <w:rsid w:val="00A60CF0"/>
    <w:rsid w:val="00A61319"/>
    <w:rsid w:val="00A6159D"/>
    <w:rsid w:val="00A617FA"/>
    <w:rsid w:val="00A619B5"/>
    <w:rsid w:val="00A61E2A"/>
    <w:rsid w:val="00A61E85"/>
    <w:rsid w:val="00A62833"/>
    <w:rsid w:val="00A62954"/>
    <w:rsid w:val="00A638AF"/>
    <w:rsid w:val="00A6416E"/>
    <w:rsid w:val="00A64560"/>
    <w:rsid w:val="00A65555"/>
    <w:rsid w:val="00A66596"/>
    <w:rsid w:val="00A674CB"/>
    <w:rsid w:val="00A6761D"/>
    <w:rsid w:val="00A67D28"/>
    <w:rsid w:val="00A70C9D"/>
    <w:rsid w:val="00A70FC0"/>
    <w:rsid w:val="00A71C3F"/>
    <w:rsid w:val="00A71C9D"/>
    <w:rsid w:val="00A71FFB"/>
    <w:rsid w:val="00A72156"/>
    <w:rsid w:val="00A72E84"/>
    <w:rsid w:val="00A7344C"/>
    <w:rsid w:val="00A743A6"/>
    <w:rsid w:val="00A74722"/>
    <w:rsid w:val="00A749FE"/>
    <w:rsid w:val="00A75133"/>
    <w:rsid w:val="00A7513E"/>
    <w:rsid w:val="00A7535B"/>
    <w:rsid w:val="00A76021"/>
    <w:rsid w:val="00A76832"/>
    <w:rsid w:val="00A76E28"/>
    <w:rsid w:val="00A774A2"/>
    <w:rsid w:val="00A775AD"/>
    <w:rsid w:val="00A77651"/>
    <w:rsid w:val="00A8093F"/>
    <w:rsid w:val="00A80FF2"/>
    <w:rsid w:val="00A813FB"/>
    <w:rsid w:val="00A81984"/>
    <w:rsid w:val="00A822F5"/>
    <w:rsid w:val="00A823F7"/>
    <w:rsid w:val="00A83145"/>
    <w:rsid w:val="00A833E0"/>
    <w:rsid w:val="00A833E5"/>
    <w:rsid w:val="00A838B4"/>
    <w:rsid w:val="00A83D27"/>
    <w:rsid w:val="00A840F7"/>
    <w:rsid w:val="00A8468C"/>
    <w:rsid w:val="00A847C2"/>
    <w:rsid w:val="00A84E5A"/>
    <w:rsid w:val="00A85183"/>
    <w:rsid w:val="00A86277"/>
    <w:rsid w:val="00A867E0"/>
    <w:rsid w:val="00A86AC6"/>
    <w:rsid w:val="00A86EAB"/>
    <w:rsid w:val="00A87444"/>
    <w:rsid w:val="00A874AB"/>
    <w:rsid w:val="00A87541"/>
    <w:rsid w:val="00A87B8D"/>
    <w:rsid w:val="00A90E7F"/>
    <w:rsid w:val="00A9381E"/>
    <w:rsid w:val="00A93AE3"/>
    <w:rsid w:val="00A93BC7"/>
    <w:rsid w:val="00A9406C"/>
    <w:rsid w:val="00A94311"/>
    <w:rsid w:val="00A94C3A"/>
    <w:rsid w:val="00A94E0B"/>
    <w:rsid w:val="00A95214"/>
    <w:rsid w:val="00A954F5"/>
    <w:rsid w:val="00A967FC"/>
    <w:rsid w:val="00A96AE7"/>
    <w:rsid w:val="00A96BEC"/>
    <w:rsid w:val="00A96C8D"/>
    <w:rsid w:val="00A97CAF"/>
    <w:rsid w:val="00AA1551"/>
    <w:rsid w:val="00AA1D42"/>
    <w:rsid w:val="00AA2560"/>
    <w:rsid w:val="00AA2F7C"/>
    <w:rsid w:val="00AA3050"/>
    <w:rsid w:val="00AA3FAF"/>
    <w:rsid w:val="00AA58BC"/>
    <w:rsid w:val="00AA5AB2"/>
    <w:rsid w:val="00AA5E03"/>
    <w:rsid w:val="00AA60E8"/>
    <w:rsid w:val="00AB011C"/>
    <w:rsid w:val="00AB07D4"/>
    <w:rsid w:val="00AB09DA"/>
    <w:rsid w:val="00AB1E2D"/>
    <w:rsid w:val="00AB1E96"/>
    <w:rsid w:val="00AB1EA1"/>
    <w:rsid w:val="00AB2A3F"/>
    <w:rsid w:val="00AB2E39"/>
    <w:rsid w:val="00AB30D8"/>
    <w:rsid w:val="00AB428A"/>
    <w:rsid w:val="00AB5005"/>
    <w:rsid w:val="00AB5237"/>
    <w:rsid w:val="00AB5D96"/>
    <w:rsid w:val="00AB5E43"/>
    <w:rsid w:val="00AB65F8"/>
    <w:rsid w:val="00AB6F1D"/>
    <w:rsid w:val="00AB7608"/>
    <w:rsid w:val="00AB7C02"/>
    <w:rsid w:val="00AC15FC"/>
    <w:rsid w:val="00AC33A8"/>
    <w:rsid w:val="00AC3F16"/>
    <w:rsid w:val="00AC4DB1"/>
    <w:rsid w:val="00AC6973"/>
    <w:rsid w:val="00AC69A6"/>
    <w:rsid w:val="00AC6F28"/>
    <w:rsid w:val="00AC6F30"/>
    <w:rsid w:val="00AC7303"/>
    <w:rsid w:val="00AC7490"/>
    <w:rsid w:val="00AD003A"/>
    <w:rsid w:val="00AD01D0"/>
    <w:rsid w:val="00AD105E"/>
    <w:rsid w:val="00AD1EF1"/>
    <w:rsid w:val="00AD28DF"/>
    <w:rsid w:val="00AD2C58"/>
    <w:rsid w:val="00AD3A52"/>
    <w:rsid w:val="00AD4455"/>
    <w:rsid w:val="00AD4CF9"/>
    <w:rsid w:val="00AD5739"/>
    <w:rsid w:val="00AD5A1B"/>
    <w:rsid w:val="00AD7148"/>
    <w:rsid w:val="00AD72CC"/>
    <w:rsid w:val="00AD789D"/>
    <w:rsid w:val="00AD7E51"/>
    <w:rsid w:val="00AE0347"/>
    <w:rsid w:val="00AE2331"/>
    <w:rsid w:val="00AE3CAB"/>
    <w:rsid w:val="00AE3EA3"/>
    <w:rsid w:val="00AE4DB0"/>
    <w:rsid w:val="00AE4EAF"/>
    <w:rsid w:val="00AE52DC"/>
    <w:rsid w:val="00AE5C47"/>
    <w:rsid w:val="00AE63DF"/>
    <w:rsid w:val="00AE7AB6"/>
    <w:rsid w:val="00AF0BB2"/>
    <w:rsid w:val="00AF0D7A"/>
    <w:rsid w:val="00AF22A9"/>
    <w:rsid w:val="00AF26BC"/>
    <w:rsid w:val="00AF3535"/>
    <w:rsid w:val="00AF3E06"/>
    <w:rsid w:val="00AF59C9"/>
    <w:rsid w:val="00AF5CC5"/>
    <w:rsid w:val="00AF5D36"/>
    <w:rsid w:val="00AF5F84"/>
    <w:rsid w:val="00AF62AB"/>
    <w:rsid w:val="00AF6462"/>
    <w:rsid w:val="00AF671E"/>
    <w:rsid w:val="00B006AB"/>
    <w:rsid w:val="00B00A74"/>
    <w:rsid w:val="00B0116B"/>
    <w:rsid w:val="00B016A4"/>
    <w:rsid w:val="00B01BA5"/>
    <w:rsid w:val="00B02298"/>
    <w:rsid w:val="00B0240C"/>
    <w:rsid w:val="00B029AF"/>
    <w:rsid w:val="00B04F12"/>
    <w:rsid w:val="00B050BB"/>
    <w:rsid w:val="00B05791"/>
    <w:rsid w:val="00B058CB"/>
    <w:rsid w:val="00B06223"/>
    <w:rsid w:val="00B06269"/>
    <w:rsid w:val="00B0627D"/>
    <w:rsid w:val="00B0636D"/>
    <w:rsid w:val="00B0656D"/>
    <w:rsid w:val="00B0727A"/>
    <w:rsid w:val="00B072C8"/>
    <w:rsid w:val="00B073B2"/>
    <w:rsid w:val="00B073F6"/>
    <w:rsid w:val="00B07626"/>
    <w:rsid w:val="00B1068E"/>
    <w:rsid w:val="00B1081F"/>
    <w:rsid w:val="00B119D1"/>
    <w:rsid w:val="00B11C99"/>
    <w:rsid w:val="00B11DE8"/>
    <w:rsid w:val="00B12469"/>
    <w:rsid w:val="00B12BD1"/>
    <w:rsid w:val="00B1303E"/>
    <w:rsid w:val="00B130BF"/>
    <w:rsid w:val="00B1317E"/>
    <w:rsid w:val="00B13BA0"/>
    <w:rsid w:val="00B146B3"/>
    <w:rsid w:val="00B14702"/>
    <w:rsid w:val="00B15D46"/>
    <w:rsid w:val="00B16160"/>
    <w:rsid w:val="00B20568"/>
    <w:rsid w:val="00B2071E"/>
    <w:rsid w:val="00B213D1"/>
    <w:rsid w:val="00B21900"/>
    <w:rsid w:val="00B2280C"/>
    <w:rsid w:val="00B23707"/>
    <w:rsid w:val="00B25A2A"/>
    <w:rsid w:val="00B26603"/>
    <w:rsid w:val="00B26B9C"/>
    <w:rsid w:val="00B26FED"/>
    <w:rsid w:val="00B305CB"/>
    <w:rsid w:val="00B31ACB"/>
    <w:rsid w:val="00B31F2E"/>
    <w:rsid w:val="00B32145"/>
    <w:rsid w:val="00B324A1"/>
    <w:rsid w:val="00B33370"/>
    <w:rsid w:val="00B33453"/>
    <w:rsid w:val="00B33950"/>
    <w:rsid w:val="00B33DB5"/>
    <w:rsid w:val="00B33DF2"/>
    <w:rsid w:val="00B35D20"/>
    <w:rsid w:val="00B36065"/>
    <w:rsid w:val="00B36D6C"/>
    <w:rsid w:val="00B377A3"/>
    <w:rsid w:val="00B377C8"/>
    <w:rsid w:val="00B37B6E"/>
    <w:rsid w:val="00B40879"/>
    <w:rsid w:val="00B40CE8"/>
    <w:rsid w:val="00B41714"/>
    <w:rsid w:val="00B417F4"/>
    <w:rsid w:val="00B43505"/>
    <w:rsid w:val="00B4376D"/>
    <w:rsid w:val="00B43E86"/>
    <w:rsid w:val="00B44FF1"/>
    <w:rsid w:val="00B4573A"/>
    <w:rsid w:val="00B457B0"/>
    <w:rsid w:val="00B458EB"/>
    <w:rsid w:val="00B45AC0"/>
    <w:rsid w:val="00B47E41"/>
    <w:rsid w:val="00B5126D"/>
    <w:rsid w:val="00B51938"/>
    <w:rsid w:val="00B51ADF"/>
    <w:rsid w:val="00B51C5E"/>
    <w:rsid w:val="00B51E74"/>
    <w:rsid w:val="00B521A4"/>
    <w:rsid w:val="00B532A8"/>
    <w:rsid w:val="00B53675"/>
    <w:rsid w:val="00B53B78"/>
    <w:rsid w:val="00B53CAB"/>
    <w:rsid w:val="00B53E0C"/>
    <w:rsid w:val="00B53F6F"/>
    <w:rsid w:val="00B54CBB"/>
    <w:rsid w:val="00B556D3"/>
    <w:rsid w:val="00B55B34"/>
    <w:rsid w:val="00B55DBB"/>
    <w:rsid w:val="00B60867"/>
    <w:rsid w:val="00B6096C"/>
    <w:rsid w:val="00B60A0A"/>
    <w:rsid w:val="00B6156A"/>
    <w:rsid w:val="00B61AD9"/>
    <w:rsid w:val="00B6294B"/>
    <w:rsid w:val="00B63519"/>
    <w:rsid w:val="00B6372A"/>
    <w:rsid w:val="00B6386C"/>
    <w:rsid w:val="00B642CA"/>
    <w:rsid w:val="00B64601"/>
    <w:rsid w:val="00B648B1"/>
    <w:rsid w:val="00B650FC"/>
    <w:rsid w:val="00B65BD3"/>
    <w:rsid w:val="00B65FE6"/>
    <w:rsid w:val="00B664B3"/>
    <w:rsid w:val="00B66A7B"/>
    <w:rsid w:val="00B67AE9"/>
    <w:rsid w:val="00B7178D"/>
    <w:rsid w:val="00B71E53"/>
    <w:rsid w:val="00B731D6"/>
    <w:rsid w:val="00B737DD"/>
    <w:rsid w:val="00B7410A"/>
    <w:rsid w:val="00B741B8"/>
    <w:rsid w:val="00B7431B"/>
    <w:rsid w:val="00B75224"/>
    <w:rsid w:val="00B75456"/>
    <w:rsid w:val="00B76515"/>
    <w:rsid w:val="00B76EF7"/>
    <w:rsid w:val="00B77F68"/>
    <w:rsid w:val="00B80433"/>
    <w:rsid w:val="00B80DC9"/>
    <w:rsid w:val="00B815F5"/>
    <w:rsid w:val="00B81DFA"/>
    <w:rsid w:val="00B83243"/>
    <w:rsid w:val="00B835CA"/>
    <w:rsid w:val="00B836EB"/>
    <w:rsid w:val="00B84BEE"/>
    <w:rsid w:val="00B84DF9"/>
    <w:rsid w:val="00B84FF3"/>
    <w:rsid w:val="00B85DA0"/>
    <w:rsid w:val="00B8667B"/>
    <w:rsid w:val="00B86745"/>
    <w:rsid w:val="00B875D1"/>
    <w:rsid w:val="00B87ABC"/>
    <w:rsid w:val="00B87F62"/>
    <w:rsid w:val="00B905C4"/>
    <w:rsid w:val="00B90636"/>
    <w:rsid w:val="00B909AE"/>
    <w:rsid w:val="00B90B64"/>
    <w:rsid w:val="00B90C30"/>
    <w:rsid w:val="00B912DB"/>
    <w:rsid w:val="00B91BFC"/>
    <w:rsid w:val="00B927B4"/>
    <w:rsid w:val="00B92D6D"/>
    <w:rsid w:val="00B92DD3"/>
    <w:rsid w:val="00B940A5"/>
    <w:rsid w:val="00B942EC"/>
    <w:rsid w:val="00B94C80"/>
    <w:rsid w:val="00B951CC"/>
    <w:rsid w:val="00B95E4D"/>
    <w:rsid w:val="00B97603"/>
    <w:rsid w:val="00BA00D4"/>
    <w:rsid w:val="00BA0B20"/>
    <w:rsid w:val="00BA3F51"/>
    <w:rsid w:val="00BA49CC"/>
    <w:rsid w:val="00BA4E63"/>
    <w:rsid w:val="00BA6DA3"/>
    <w:rsid w:val="00BA6DDE"/>
    <w:rsid w:val="00BA6E54"/>
    <w:rsid w:val="00BB082B"/>
    <w:rsid w:val="00BB0ABA"/>
    <w:rsid w:val="00BB1E27"/>
    <w:rsid w:val="00BB1F91"/>
    <w:rsid w:val="00BB21E0"/>
    <w:rsid w:val="00BB28D8"/>
    <w:rsid w:val="00BB2F68"/>
    <w:rsid w:val="00BB31C5"/>
    <w:rsid w:val="00BB46E7"/>
    <w:rsid w:val="00BB4E20"/>
    <w:rsid w:val="00BB4E34"/>
    <w:rsid w:val="00BB51E2"/>
    <w:rsid w:val="00BB51E6"/>
    <w:rsid w:val="00BB5807"/>
    <w:rsid w:val="00BB5A76"/>
    <w:rsid w:val="00BB7AA1"/>
    <w:rsid w:val="00BB7D68"/>
    <w:rsid w:val="00BB7D6B"/>
    <w:rsid w:val="00BC00FD"/>
    <w:rsid w:val="00BC013D"/>
    <w:rsid w:val="00BC19D3"/>
    <w:rsid w:val="00BC26E3"/>
    <w:rsid w:val="00BC34E0"/>
    <w:rsid w:val="00BC3A40"/>
    <w:rsid w:val="00BC3AD4"/>
    <w:rsid w:val="00BC4D35"/>
    <w:rsid w:val="00BC5AA6"/>
    <w:rsid w:val="00BC5C79"/>
    <w:rsid w:val="00BC5CC1"/>
    <w:rsid w:val="00BC63A8"/>
    <w:rsid w:val="00BC6828"/>
    <w:rsid w:val="00BC6961"/>
    <w:rsid w:val="00BC6F6E"/>
    <w:rsid w:val="00BD02AF"/>
    <w:rsid w:val="00BD0BBC"/>
    <w:rsid w:val="00BD1A7F"/>
    <w:rsid w:val="00BD1C55"/>
    <w:rsid w:val="00BD226D"/>
    <w:rsid w:val="00BD22AD"/>
    <w:rsid w:val="00BD36F8"/>
    <w:rsid w:val="00BD3E4D"/>
    <w:rsid w:val="00BD3EB7"/>
    <w:rsid w:val="00BD5D67"/>
    <w:rsid w:val="00BD66EA"/>
    <w:rsid w:val="00BD6871"/>
    <w:rsid w:val="00BD6CF0"/>
    <w:rsid w:val="00BD6D30"/>
    <w:rsid w:val="00BD6E6F"/>
    <w:rsid w:val="00BD710B"/>
    <w:rsid w:val="00BD740B"/>
    <w:rsid w:val="00BD7AD7"/>
    <w:rsid w:val="00BD7C69"/>
    <w:rsid w:val="00BE0247"/>
    <w:rsid w:val="00BE038F"/>
    <w:rsid w:val="00BE0894"/>
    <w:rsid w:val="00BE2556"/>
    <w:rsid w:val="00BE2586"/>
    <w:rsid w:val="00BE26CE"/>
    <w:rsid w:val="00BE2988"/>
    <w:rsid w:val="00BE2C57"/>
    <w:rsid w:val="00BE3877"/>
    <w:rsid w:val="00BE38D1"/>
    <w:rsid w:val="00BE4C43"/>
    <w:rsid w:val="00BE538C"/>
    <w:rsid w:val="00BE64F7"/>
    <w:rsid w:val="00BF05FD"/>
    <w:rsid w:val="00BF0740"/>
    <w:rsid w:val="00BF0D77"/>
    <w:rsid w:val="00BF157A"/>
    <w:rsid w:val="00BF1B95"/>
    <w:rsid w:val="00BF200C"/>
    <w:rsid w:val="00BF289E"/>
    <w:rsid w:val="00BF2D52"/>
    <w:rsid w:val="00BF33BD"/>
    <w:rsid w:val="00BF3F12"/>
    <w:rsid w:val="00BF4985"/>
    <w:rsid w:val="00BF4E74"/>
    <w:rsid w:val="00BF5061"/>
    <w:rsid w:val="00BF5C35"/>
    <w:rsid w:val="00BF7293"/>
    <w:rsid w:val="00BF7A94"/>
    <w:rsid w:val="00BF7AB3"/>
    <w:rsid w:val="00BF7FD5"/>
    <w:rsid w:val="00C00AFD"/>
    <w:rsid w:val="00C00CDF"/>
    <w:rsid w:val="00C01D24"/>
    <w:rsid w:val="00C0201D"/>
    <w:rsid w:val="00C031B2"/>
    <w:rsid w:val="00C033BE"/>
    <w:rsid w:val="00C0375B"/>
    <w:rsid w:val="00C03A30"/>
    <w:rsid w:val="00C03DF2"/>
    <w:rsid w:val="00C04CB6"/>
    <w:rsid w:val="00C06562"/>
    <w:rsid w:val="00C07EB1"/>
    <w:rsid w:val="00C10165"/>
    <w:rsid w:val="00C1134C"/>
    <w:rsid w:val="00C1156D"/>
    <w:rsid w:val="00C1194E"/>
    <w:rsid w:val="00C12092"/>
    <w:rsid w:val="00C123EE"/>
    <w:rsid w:val="00C126A6"/>
    <w:rsid w:val="00C1282E"/>
    <w:rsid w:val="00C12F75"/>
    <w:rsid w:val="00C131C7"/>
    <w:rsid w:val="00C14139"/>
    <w:rsid w:val="00C143EE"/>
    <w:rsid w:val="00C1458C"/>
    <w:rsid w:val="00C149DB"/>
    <w:rsid w:val="00C1622F"/>
    <w:rsid w:val="00C1683C"/>
    <w:rsid w:val="00C16A8C"/>
    <w:rsid w:val="00C20559"/>
    <w:rsid w:val="00C20926"/>
    <w:rsid w:val="00C20CC1"/>
    <w:rsid w:val="00C20E3E"/>
    <w:rsid w:val="00C218BE"/>
    <w:rsid w:val="00C21AE9"/>
    <w:rsid w:val="00C21F14"/>
    <w:rsid w:val="00C22AFF"/>
    <w:rsid w:val="00C22C6D"/>
    <w:rsid w:val="00C22EEB"/>
    <w:rsid w:val="00C231BF"/>
    <w:rsid w:val="00C2327B"/>
    <w:rsid w:val="00C2343D"/>
    <w:rsid w:val="00C23C42"/>
    <w:rsid w:val="00C23C4C"/>
    <w:rsid w:val="00C23FFE"/>
    <w:rsid w:val="00C244E2"/>
    <w:rsid w:val="00C255DB"/>
    <w:rsid w:val="00C2588C"/>
    <w:rsid w:val="00C25A22"/>
    <w:rsid w:val="00C25B68"/>
    <w:rsid w:val="00C26D5C"/>
    <w:rsid w:val="00C2733A"/>
    <w:rsid w:val="00C30B2E"/>
    <w:rsid w:val="00C313FD"/>
    <w:rsid w:val="00C31BD8"/>
    <w:rsid w:val="00C32417"/>
    <w:rsid w:val="00C3259B"/>
    <w:rsid w:val="00C3281D"/>
    <w:rsid w:val="00C3322C"/>
    <w:rsid w:val="00C3335A"/>
    <w:rsid w:val="00C339CC"/>
    <w:rsid w:val="00C33C60"/>
    <w:rsid w:val="00C34048"/>
    <w:rsid w:val="00C3480B"/>
    <w:rsid w:val="00C3493A"/>
    <w:rsid w:val="00C35515"/>
    <w:rsid w:val="00C358DE"/>
    <w:rsid w:val="00C40932"/>
    <w:rsid w:val="00C40954"/>
    <w:rsid w:val="00C40FC3"/>
    <w:rsid w:val="00C41957"/>
    <w:rsid w:val="00C41B24"/>
    <w:rsid w:val="00C42831"/>
    <w:rsid w:val="00C42D43"/>
    <w:rsid w:val="00C44041"/>
    <w:rsid w:val="00C44968"/>
    <w:rsid w:val="00C44BE8"/>
    <w:rsid w:val="00C450DF"/>
    <w:rsid w:val="00C45184"/>
    <w:rsid w:val="00C45249"/>
    <w:rsid w:val="00C45A5D"/>
    <w:rsid w:val="00C45BA8"/>
    <w:rsid w:val="00C461EB"/>
    <w:rsid w:val="00C46F12"/>
    <w:rsid w:val="00C47426"/>
    <w:rsid w:val="00C47441"/>
    <w:rsid w:val="00C47CF8"/>
    <w:rsid w:val="00C5012B"/>
    <w:rsid w:val="00C50645"/>
    <w:rsid w:val="00C5114B"/>
    <w:rsid w:val="00C51507"/>
    <w:rsid w:val="00C51974"/>
    <w:rsid w:val="00C51A6A"/>
    <w:rsid w:val="00C51C97"/>
    <w:rsid w:val="00C52307"/>
    <w:rsid w:val="00C52333"/>
    <w:rsid w:val="00C5253F"/>
    <w:rsid w:val="00C529B7"/>
    <w:rsid w:val="00C52CEA"/>
    <w:rsid w:val="00C53033"/>
    <w:rsid w:val="00C530C5"/>
    <w:rsid w:val="00C53CB9"/>
    <w:rsid w:val="00C54175"/>
    <w:rsid w:val="00C551CC"/>
    <w:rsid w:val="00C5581F"/>
    <w:rsid w:val="00C55EC0"/>
    <w:rsid w:val="00C601E8"/>
    <w:rsid w:val="00C6058D"/>
    <w:rsid w:val="00C6089C"/>
    <w:rsid w:val="00C61391"/>
    <w:rsid w:val="00C61A03"/>
    <w:rsid w:val="00C61E65"/>
    <w:rsid w:val="00C62CC0"/>
    <w:rsid w:val="00C643D3"/>
    <w:rsid w:val="00C64699"/>
    <w:rsid w:val="00C65263"/>
    <w:rsid w:val="00C65BF2"/>
    <w:rsid w:val="00C66290"/>
    <w:rsid w:val="00C6673D"/>
    <w:rsid w:val="00C6731E"/>
    <w:rsid w:val="00C6760C"/>
    <w:rsid w:val="00C676A5"/>
    <w:rsid w:val="00C702F9"/>
    <w:rsid w:val="00C71D42"/>
    <w:rsid w:val="00C7249D"/>
    <w:rsid w:val="00C7258E"/>
    <w:rsid w:val="00C725DA"/>
    <w:rsid w:val="00C726BE"/>
    <w:rsid w:val="00C72F23"/>
    <w:rsid w:val="00C73B38"/>
    <w:rsid w:val="00C74360"/>
    <w:rsid w:val="00C7498B"/>
    <w:rsid w:val="00C75767"/>
    <w:rsid w:val="00C75CFA"/>
    <w:rsid w:val="00C7646A"/>
    <w:rsid w:val="00C77447"/>
    <w:rsid w:val="00C7797F"/>
    <w:rsid w:val="00C82A6E"/>
    <w:rsid w:val="00C82CF1"/>
    <w:rsid w:val="00C840BC"/>
    <w:rsid w:val="00C84505"/>
    <w:rsid w:val="00C84928"/>
    <w:rsid w:val="00C84BAD"/>
    <w:rsid w:val="00C8527D"/>
    <w:rsid w:val="00C85BA7"/>
    <w:rsid w:val="00C85C57"/>
    <w:rsid w:val="00C86548"/>
    <w:rsid w:val="00C86AAF"/>
    <w:rsid w:val="00C874A7"/>
    <w:rsid w:val="00C90F6A"/>
    <w:rsid w:val="00C90F6D"/>
    <w:rsid w:val="00C910F6"/>
    <w:rsid w:val="00C917FE"/>
    <w:rsid w:val="00C91D81"/>
    <w:rsid w:val="00C9233F"/>
    <w:rsid w:val="00C9316D"/>
    <w:rsid w:val="00C93376"/>
    <w:rsid w:val="00C9370C"/>
    <w:rsid w:val="00C93C6B"/>
    <w:rsid w:val="00C94093"/>
    <w:rsid w:val="00C9435A"/>
    <w:rsid w:val="00C9461D"/>
    <w:rsid w:val="00C94EA9"/>
    <w:rsid w:val="00C95674"/>
    <w:rsid w:val="00C95E53"/>
    <w:rsid w:val="00C9656C"/>
    <w:rsid w:val="00C966ED"/>
    <w:rsid w:val="00C969E3"/>
    <w:rsid w:val="00C976BF"/>
    <w:rsid w:val="00CA0D76"/>
    <w:rsid w:val="00CA0EDE"/>
    <w:rsid w:val="00CA1CEE"/>
    <w:rsid w:val="00CA21BA"/>
    <w:rsid w:val="00CA2C53"/>
    <w:rsid w:val="00CA2DD0"/>
    <w:rsid w:val="00CA2F0E"/>
    <w:rsid w:val="00CA4A3D"/>
    <w:rsid w:val="00CA4DAE"/>
    <w:rsid w:val="00CA5010"/>
    <w:rsid w:val="00CA5AA6"/>
    <w:rsid w:val="00CA5F2A"/>
    <w:rsid w:val="00CA75A2"/>
    <w:rsid w:val="00CA7D4E"/>
    <w:rsid w:val="00CA7E9C"/>
    <w:rsid w:val="00CB0371"/>
    <w:rsid w:val="00CB07D1"/>
    <w:rsid w:val="00CB08A3"/>
    <w:rsid w:val="00CB08AB"/>
    <w:rsid w:val="00CB0D8B"/>
    <w:rsid w:val="00CB1166"/>
    <w:rsid w:val="00CB20E6"/>
    <w:rsid w:val="00CB246F"/>
    <w:rsid w:val="00CB2758"/>
    <w:rsid w:val="00CB27BB"/>
    <w:rsid w:val="00CB35B0"/>
    <w:rsid w:val="00CB42D3"/>
    <w:rsid w:val="00CB4797"/>
    <w:rsid w:val="00CB737E"/>
    <w:rsid w:val="00CB73F9"/>
    <w:rsid w:val="00CC0845"/>
    <w:rsid w:val="00CC0E7A"/>
    <w:rsid w:val="00CC0F1D"/>
    <w:rsid w:val="00CC1586"/>
    <w:rsid w:val="00CC2CD8"/>
    <w:rsid w:val="00CC305F"/>
    <w:rsid w:val="00CC37AE"/>
    <w:rsid w:val="00CC3F25"/>
    <w:rsid w:val="00CC4BF3"/>
    <w:rsid w:val="00CC4F79"/>
    <w:rsid w:val="00CC51F5"/>
    <w:rsid w:val="00CC57F2"/>
    <w:rsid w:val="00CC5BCA"/>
    <w:rsid w:val="00CC64F2"/>
    <w:rsid w:val="00CC73FF"/>
    <w:rsid w:val="00CC75AE"/>
    <w:rsid w:val="00CC7B29"/>
    <w:rsid w:val="00CC7F92"/>
    <w:rsid w:val="00CD002D"/>
    <w:rsid w:val="00CD1E8A"/>
    <w:rsid w:val="00CD1F13"/>
    <w:rsid w:val="00CD22CC"/>
    <w:rsid w:val="00CD3111"/>
    <w:rsid w:val="00CD45EC"/>
    <w:rsid w:val="00CD53B9"/>
    <w:rsid w:val="00CD672A"/>
    <w:rsid w:val="00CD6F47"/>
    <w:rsid w:val="00CD6F5E"/>
    <w:rsid w:val="00CD7991"/>
    <w:rsid w:val="00CE0710"/>
    <w:rsid w:val="00CE07F5"/>
    <w:rsid w:val="00CE0807"/>
    <w:rsid w:val="00CE1057"/>
    <w:rsid w:val="00CE1C00"/>
    <w:rsid w:val="00CE1F6B"/>
    <w:rsid w:val="00CE2221"/>
    <w:rsid w:val="00CE2312"/>
    <w:rsid w:val="00CE274A"/>
    <w:rsid w:val="00CE32BD"/>
    <w:rsid w:val="00CE3518"/>
    <w:rsid w:val="00CE3787"/>
    <w:rsid w:val="00CE39FF"/>
    <w:rsid w:val="00CE4159"/>
    <w:rsid w:val="00CE4581"/>
    <w:rsid w:val="00CE531B"/>
    <w:rsid w:val="00CE5B1A"/>
    <w:rsid w:val="00CE6354"/>
    <w:rsid w:val="00CE6BC4"/>
    <w:rsid w:val="00CE7716"/>
    <w:rsid w:val="00CE7914"/>
    <w:rsid w:val="00CF0550"/>
    <w:rsid w:val="00CF085E"/>
    <w:rsid w:val="00CF0EFE"/>
    <w:rsid w:val="00CF1728"/>
    <w:rsid w:val="00CF1B8F"/>
    <w:rsid w:val="00CF24EC"/>
    <w:rsid w:val="00CF29EA"/>
    <w:rsid w:val="00CF3D5F"/>
    <w:rsid w:val="00CF4751"/>
    <w:rsid w:val="00CF648A"/>
    <w:rsid w:val="00CF67BC"/>
    <w:rsid w:val="00CF6CAC"/>
    <w:rsid w:val="00CF704A"/>
    <w:rsid w:val="00CF7654"/>
    <w:rsid w:val="00D00531"/>
    <w:rsid w:val="00D02605"/>
    <w:rsid w:val="00D029EE"/>
    <w:rsid w:val="00D04861"/>
    <w:rsid w:val="00D04A46"/>
    <w:rsid w:val="00D04E92"/>
    <w:rsid w:val="00D05BF5"/>
    <w:rsid w:val="00D072DA"/>
    <w:rsid w:val="00D07464"/>
    <w:rsid w:val="00D07A56"/>
    <w:rsid w:val="00D07ED6"/>
    <w:rsid w:val="00D10A9B"/>
    <w:rsid w:val="00D11085"/>
    <w:rsid w:val="00D1369E"/>
    <w:rsid w:val="00D14F82"/>
    <w:rsid w:val="00D15CBA"/>
    <w:rsid w:val="00D15DC4"/>
    <w:rsid w:val="00D1613B"/>
    <w:rsid w:val="00D16712"/>
    <w:rsid w:val="00D17235"/>
    <w:rsid w:val="00D1761D"/>
    <w:rsid w:val="00D20198"/>
    <w:rsid w:val="00D20DD7"/>
    <w:rsid w:val="00D216D4"/>
    <w:rsid w:val="00D219EC"/>
    <w:rsid w:val="00D22253"/>
    <w:rsid w:val="00D22476"/>
    <w:rsid w:val="00D22FBB"/>
    <w:rsid w:val="00D2314B"/>
    <w:rsid w:val="00D23884"/>
    <w:rsid w:val="00D23E88"/>
    <w:rsid w:val="00D23F3A"/>
    <w:rsid w:val="00D24590"/>
    <w:rsid w:val="00D25E59"/>
    <w:rsid w:val="00D25FA3"/>
    <w:rsid w:val="00D2688F"/>
    <w:rsid w:val="00D26B27"/>
    <w:rsid w:val="00D2720B"/>
    <w:rsid w:val="00D2724B"/>
    <w:rsid w:val="00D274E2"/>
    <w:rsid w:val="00D27679"/>
    <w:rsid w:val="00D2773B"/>
    <w:rsid w:val="00D2782E"/>
    <w:rsid w:val="00D3031A"/>
    <w:rsid w:val="00D304F8"/>
    <w:rsid w:val="00D314E2"/>
    <w:rsid w:val="00D325BF"/>
    <w:rsid w:val="00D325FC"/>
    <w:rsid w:val="00D3263E"/>
    <w:rsid w:val="00D326CC"/>
    <w:rsid w:val="00D3304E"/>
    <w:rsid w:val="00D335C7"/>
    <w:rsid w:val="00D3380C"/>
    <w:rsid w:val="00D34075"/>
    <w:rsid w:val="00D3412D"/>
    <w:rsid w:val="00D34606"/>
    <w:rsid w:val="00D358B6"/>
    <w:rsid w:val="00D35CBD"/>
    <w:rsid w:val="00D35EA9"/>
    <w:rsid w:val="00D362AB"/>
    <w:rsid w:val="00D36992"/>
    <w:rsid w:val="00D36DBF"/>
    <w:rsid w:val="00D36ED3"/>
    <w:rsid w:val="00D415DB"/>
    <w:rsid w:val="00D418D5"/>
    <w:rsid w:val="00D419B1"/>
    <w:rsid w:val="00D4223D"/>
    <w:rsid w:val="00D42600"/>
    <w:rsid w:val="00D42AC7"/>
    <w:rsid w:val="00D43EF6"/>
    <w:rsid w:val="00D4420D"/>
    <w:rsid w:val="00D446C2"/>
    <w:rsid w:val="00D44A15"/>
    <w:rsid w:val="00D45726"/>
    <w:rsid w:val="00D475CD"/>
    <w:rsid w:val="00D47CB6"/>
    <w:rsid w:val="00D504C3"/>
    <w:rsid w:val="00D506CC"/>
    <w:rsid w:val="00D50769"/>
    <w:rsid w:val="00D5117B"/>
    <w:rsid w:val="00D51456"/>
    <w:rsid w:val="00D5166B"/>
    <w:rsid w:val="00D51B52"/>
    <w:rsid w:val="00D5201A"/>
    <w:rsid w:val="00D536C6"/>
    <w:rsid w:val="00D539A7"/>
    <w:rsid w:val="00D545D5"/>
    <w:rsid w:val="00D55351"/>
    <w:rsid w:val="00D55F2F"/>
    <w:rsid w:val="00D56125"/>
    <w:rsid w:val="00D568A3"/>
    <w:rsid w:val="00D57274"/>
    <w:rsid w:val="00D57406"/>
    <w:rsid w:val="00D574DF"/>
    <w:rsid w:val="00D5770E"/>
    <w:rsid w:val="00D601AA"/>
    <w:rsid w:val="00D60393"/>
    <w:rsid w:val="00D604FB"/>
    <w:rsid w:val="00D60E60"/>
    <w:rsid w:val="00D60F9F"/>
    <w:rsid w:val="00D61296"/>
    <w:rsid w:val="00D621E5"/>
    <w:rsid w:val="00D623E7"/>
    <w:rsid w:val="00D6251D"/>
    <w:rsid w:val="00D62680"/>
    <w:rsid w:val="00D628A8"/>
    <w:rsid w:val="00D6392C"/>
    <w:rsid w:val="00D648D8"/>
    <w:rsid w:val="00D65567"/>
    <w:rsid w:val="00D657A5"/>
    <w:rsid w:val="00D65814"/>
    <w:rsid w:val="00D66600"/>
    <w:rsid w:val="00D669FD"/>
    <w:rsid w:val="00D66A23"/>
    <w:rsid w:val="00D67350"/>
    <w:rsid w:val="00D6746D"/>
    <w:rsid w:val="00D67D8E"/>
    <w:rsid w:val="00D70FCF"/>
    <w:rsid w:val="00D718FC"/>
    <w:rsid w:val="00D719DA"/>
    <w:rsid w:val="00D7203B"/>
    <w:rsid w:val="00D72AC6"/>
    <w:rsid w:val="00D731C5"/>
    <w:rsid w:val="00D73A80"/>
    <w:rsid w:val="00D743E5"/>
    <w:rsid w:val="00D74806"/>
    <w:rsid w:val="00D74DE6"/>
    <w:rsid w:val="00D75509"/>
    <w:rsid w:val="00D75A7F"/>
    <w:rsid w:val="00D75E8E"/>
    <w:rsid w:val="00D75F7A"/>
    <w:rsid w:val="00D771F3"/>
    <w:rsid w:val="00D7787E"/>
    <w:rsid w:val="00D778D5"/>
    <w:rsid w:val="00D77BA1"/>
    <w:rsid w:val="00D77C82"/>
    <w:rsid w:val="00D80682"/>
    <w:rsid w:val="00D812D9"/>
    <w:rsid w:val="00D8142F"/>
    <w:rsid w:val="00D81D06"/>
    <w:rsid w:val="00D8214A"/>
    <w:rsid w:val="00D8216D"/>
    <w:rsid w:val="00D826F1"/>
    <w:rsid w:val="00D84E71"/>
    <w:rsid w:val="00D8594E"/>
    <w:rsid w:val="00D85AB8"/>
    <w:rsid w:val="00D85DBB"/>
    <w:rsid w:val="00D875F0"/>
    <w:rsid w:val="00D87879"/>
    <w:rsid w:val="00D9073D"/>
    <w:rsid w:val="00D91761"/>
    <w:rsid w:val="00D91ED6"/>
    <w:rsid w:val="00D92245"/>
    <w:rsid w:val="00D936F4"/>
    <w:rsid w:val="00D93929"/>
    <w:rsid w:val="00D93936"/>
    <w:rsid w:val="00D9398F"/>
    <w:rsid w:val="00D93C4B"/>
    <w:rsid w:val="00D93D11"/>
    <w:rsid w:val="00D9416C"/>
    <w:rsid w:val="00D9423B"/>
    <w:rsid w:val="00D945B7"/>
    <w:rsid w:val="00D94FC0"/>
    <w:rsid w:val="00D950D2"/>
    <w:rsid w:val="00D95194"/>
    <w:rsid w:val="00D95D56"/>
    <w:rsid w:val="00D96359"/>
    <w:rsid w:val="00D96564"/>
    <w:rsid w:val="00D96B24"/>
    <w:rsid w:val="00D97DC3"/>
    <w:rsid w:val="00D97FF3"/>
    <w:rsid w:val="00DA0153"/>
    <w:rsid w:val="00DA060E"/>
    <w:rsid w:val="00DA083F"/>
    <w:rsid w:val="00DA0E79"/>
    <w:rsid w:val="00DA1260"/>
    <w:rsid w:val="00DA1D16"/>
    <w:rsid w:val="00DA3AB3"/>
    <w:rsid w:val="00DA3EB0"/>
    <w:rsid w:val="00DA7283"/>
    <w:rsid w:val="00DA7AC6"/>
    <w:rsid w:val="00DB0907"/>
    <w:rsid w:val="00DB0D2F"/>
    <w:rsid w:val="00DB0DEF"/>
    <w:rsid w:val="00DB0DF3"/>
    <w:rsid w:val="00DB179A"/>
    <w:rsid w:val="00DB212C"/>
    <w:rsid w:val="00DB4107"/>
    <w:rsid w:val="00DB42E6"/>
    <w:rsid w:val="00DB52DF"/>
    <w:rsid w:val="00DB6060"/>
    <w:rsid w:val="00DB6712"/>
    <w:rsid w:val="00DB7382"/>
    <w:rsid w:val="00DC015D"/>
    <w:rsid w:val="00DC0DBB"/>
    <w:rsid w:val="00DC1259"/>
    <w:rsid w:val="00DC140B"/>
    <w:rsid w:val="00DC1856"/>
    <w:rsid w:val="00DC1AA1"/>
    <w:rsid w:val="00DC2D42"/>
    <w:rsid w:val="00DC2D76"/>
    <w:rsid w:val="00DC2FA0"/>
    <w:rsid w:val="00DC3807"/>
    <w:rsid w:val="00DC39C9"/>
    <w:rsid w:val="00DC456C"/>
    <w:rsid w:val="00DC5873"/>
    <w:rsid w:val="00DC5DD7"/>
    <w:rsid w:val="00DC5FBA"/>
    <w:rsid w:val="00DC67ED"/>
    <w:rsid w:val="00DD009D"/>
    <w:rsid w:val="00DD0673"/>
    <w:rsid w:val="00DD0775"/>
    <w:rsid w:val="00DD1757"/>
    <w:rsid w:val="00DD1AEF"/>
    <w:rsid w:val="00DD1C38"/>
    <w:rsid w:val="00DD2143"/>
    <w:rsid w:val="00DD23D2"/>
    <w:rsid w:val="00DD243C"/>
    <w:rsid w:val="00DD2D7C"/>
    <w:rsid w:val="00DD2F22"/>
    <w:rsid w:val="00DD311E"/>
    <w:rsid w:val="00DD4082"/>
    <w:rsid w:val="00DD41ED"/>
    <w:rsid w:val="00DD4BE3"/>
    <w:rsid w:val="00DD54A3"/>
    <w:rsid w:val="00DD55C1"/>
    <w:rsid w:val="00DD6488"/>
    <w:rsid w:val="00DD6A51"/>
    <w:rsid w:val="00DD6DDF"/>
    <w:rsid w:val="00DE0A82"/>
    <w:rsid w:val="00DE0E5B"/>
    <w:rsid w:val="00DE112A"/>
    <w:rsid w:val="00DE194F"/>
    <w:rsid w:val="00DE1C00"/>
    <w:rsid w:val="00DE1CB0"/>
    <w:rsid w:val="00DE2730"/>
    <w:rsid w:val="00DE27E8"/>
    <w:rsid w:val="00DE2C0E"/>
    <w:rsid w:val="00DE2E8B"/>
    <w:rsid w:val="00DE371F"/>
    <w:rsid w:val="00DE3E1A"/>
    <w:rsid w:val="00DE4BA1"/>
    <w:rsid w:val="00DE4D69"/>
    <w:rsid w:val="00DE5400"/>
    <w:rsid w:val="00DE5405"/>
    <w:rsid w:val="00DE564F"/>
    <w:rsid w:val="00DE66E4"/>
    <w:rsid w:val="00DE6849"/>
    <w:rsid w:val="00DE6DB4"/>
    <w:rsid w:val="00DE7137"/>
    <w:rsid w:val="00DE766F"/>
    <w:rsid w:val="00DF056B"/>
    <w:rsid w:val="00DF0E79"/>
    <w:rsid w:val="00DF1F3C"/>
    <w:rsid w:val="00DF212D"/>
    <w:rsid w:val="00DF24B7"/>
    <w:rsid w:val="00DF2A7A"/>
    <w:rsid w:val="00DF2D18"/>
    <w:rsid w:val="00DF32AC"/>
    <w:rsid w:val="00DF4999"/>
    <w:rsid w:val="00DF4FDE"/>
    <w:rsid w:val="00DF5C0F"/>
    <w:rsid w:val="00DF5FAF"/>
    <w:rsid w:val="00DF67BB"/>
    <w:rsid w:val="00DF6D55"/>
    <w:rsid w:val="00DF747D"/>
    <w:rsid w:val="00DF76ED"/>
    <w:rsid w:val="00DF7866"/>
    <w:rsid w:val="00DF7EB1"/>
    <w:rsid w:val="00E00180"/>
    <w:rsid w:val="00E001A2"/>
    <w:rsid w:val="00E00B45"/>
    <w:rsid w:val="00E0145D"/>
    <w:rsid w:val="00E025C0"/>
    <w:rsid w:val="00E02948"/>
    <w:rsid w:val="00E02CF4"/>
    <w:rsid w:val="00E031F2"/>
    <w:rsid w:val="00E03203"/>
    <w:rsid w:val="00E0328A"/>
    <w:rsid w:val="00E03D0F"/>
    <w:rsid w:val="00E045A0"/>
    <w:rsid w:val="00E04D14"/>
    <w:rsid w:val="00E04D7B"/>
    <w:rsid w:val="00E052AD"/>
    <w:rsid w:val="00E053E6"/>
    <w:rsid w:val="00E062E6"/>
    <w:rsid w:val="00E069F8"/>
    <w:rsid w:val="00E11239"/>
    <w:rsid w:val="00E11857"/>
    <w:rsid w:val="00E11B9F"/>
    <w:rsid w:val="00E12112"/>
    <w:rsid w:val="00E12ACC"/>
    <w:rsid w:val="00E12B5E"/>
    <w:rsid w:val="00E12DF6"/>
    <w:rsid w:val="00E13E9C"/>
    <w:rsid w:val="00E14E81"/>
    <w:rsid w:val="00E14FFD"/>
    <w:rsid w:val="00E151B8"/>
    <w:rsid w:val="00E157DA"/>
    <w:rsid w:val="00E17FEE"/>
    <w:rsid w:val="00E20C83"/>
    <w:rsid w:val="00E211AA"/>
    <w:rsid w:val="00E21228"/>
    <w:rsid w:val="00E218BE"/>
    <w:rsid w:val="00E219CE"/>
    <w:rsid w:val="00E21C78"/>
    <w:rsid w:val="00E21E75"/>
    <w:rsid w:val="00E22B14"/>
    <w:rsid w:val="00E2382F"/>
    <w:rsid w:val="00E2416D"/>
    <w:rsid w:val="00E24803"/>
    <w:rsid w:val="00E24813"/>
    <w:rsid w:val="00E249F2"/>
    <w:rsid w:val="00E24E89"/>
    <w:rsid w:val="00E256A4"/>
    <w:rsid w:val="00E25D37"/>
    <w:rsid w:val="00E25D41"/>
    <w:rsid w:val="00E25D6D"/>
    <w:rsid w:val="00E25E80"/>
    <w:rsid w:val="00E25EC9"/>
    <w:rsid w:val="00E260BE"/>
    <w:rsid w:val="00E267DE"/>
    <w:rsid w:val="00E26816"/>
    <w:rsid w:val="00E268A0"/>
    <w:rsid w:val="00E26B85"/>
    <w:rsid w:val="00E26D80"/>
    <w:rsid w:val="00E3041B"/>
    <w:rsid w:val="00E30771"/>
    <w:rsid w:val="00E30B56"/>
    <w:rsid w:val="00E3156F"/>
    <w:rsid w:val="00E31826"/>
    <w:rsid w:val="00E31924"/>
    <w:rsid w:val="00E31953"/>
    <w:rsid w:val="00E333F0"/>
    <w:rsid w:val="00E33D16"/>
    <w:rsid w:val="00E33E17"/>
    <w:rsid w:val="00E34514"/>
    <w:rsid w:val="00E34D59"/>
    <w:rsid w:val="00E34D5E"/>
    <w:rsid w:val="00E35A56"/>
    <w:rsid w:val="00E35C05"/>
    <w:rsid w:val="00E36E9F"/>
    <w:rsid w:val="00E37A96"/>
    <w:rsid w:val="00E402B3"/>
    <w:rsid w:val="00E40B54"/>
    <w:rsid w:val="00E41A25"/>
    <w:rsid w:val="00E43500"/>
    <w:rsid w:val="00E43685"/>
    <w:rsid w:val="00E4488F"/>
    <w:rsid w:val="00E4495A"/>
    <w:rsid w:val="00E45289"/>
    <w:rsid w:val="00E45318"/>
    <w:rsid w:val="00E45872"/>
    <w:rsid w:val="00E461E6"/>
    <w:rsid w:val="00E4621C"/>
    <w:rsid w:val="00E46458"/>
    <w:rsid w:val="00E46A0E"/>
    <w:rsid w:val="00E46C35"/>
    <w:rsid w:val="00E46FB9"/>
    <w:rsid w:val="00E50B87"/>
    <w:rsid w:val="00E50E36"/>
    <w:rsid w:val="00E52B72"/>
    <w:rsid w:val="00E5344D"/>
    <w:rsid w:val="00E53559"/>
    <w:rsid w:val="00E54158"/>
    <w:rsid w:val="00E54A91"/>
    <w:rsid w:val="00E54F48"/>
    <w:rsid w:val="00E551B0"/>
    <w:rsid w:val="00E551FD"/>
    <w:rsid w:val="00E57226"/>
    <w:rsid w:val="00E578AA"/>
    <w:rsid w:val="00E609B7"/>
    <w:rsid w:val="00E609EA"/>
    <w:rsid w:val="00E61052"/>
    <w:rsid w:val="00E614D1"/>
    <w:rsid w:val="00E61699"/>
    <w:rsid w:val="00E61C42"/>
    <w:rsid w:val="00E61CC0"/>
    <w:rsid w:val="00E61CF6"/>
    <w:rsid w:val="00E61F66"/>
    <w:rsid w:val="00E62EF6"/>
    <w:rsid w:val="00E6320E"/>
    <w:rsid w:val="00E64248"/>
    <w:rsid w:val="00E645A3"/>
    <w:rsid w:val="00E65828"/>
    <w:rsid w:val="00E66209"/>
    <w:rsid w:val="00E664AA"/>
    <w:rsid w:val="00E66F55"/>
    <w:rsid w:val="00E675D1"/>
    <w:rsid w:val="00E676DD"/>
    <w:rsid w:val="00E70054"/>
    <w:rsid w:val="00E7087B"/>
    <w:rsid w:val="00E70A19"/>
    <w:rsid w:val="00E70AF6"/>
    <w:rsid w:val="00E71035"/>
    <w:rsid w:val="00E71810"/>
    <w:rsid w:val="00E71B66"/>
    <w:rsid w:val="00E7291B"/>
    <w:rsid w:val="00E72E03"/>
    <w:rsid w:val="00E734AF"/>
    <w:rsid w:val="00E73689"/>
    <w:rsid w:val="00E748F7"/>
    <w:rsid w:val="00E74D38"/>
    <w:rsid w:val="00E7510B"/>
    <w:rsid w:val="00E75BCB"/>
    <w:rsid w:val="00E76A9D"/>
    <w:rsid w:val="00E76CEE"/>
    <w:rsid w:val="00E7726C"/>
    <w:rsid w:val="00E77553"/>
    <w:rsid w:val="00E77EEC"/>
    <w:rsid w:val="00E814C5"/>
    <w:rsid w:val="00E82288"/>
    <w:rsid w:val="00E82A90"/>
    <w:rsid w:val="00E82C1D"/>
    <w:rsid w:val="00E82DF2"/>
    <w:rsid w:val="00E8354C"/>
    <w:rsid w:val="00E84814"/>
    <w:rsid w:val="00E84B0F"/>
    <w:rsid w:val="00E85391"/>
    <w:rsid w:val="00E8594D"/>
    <w:rsid w:val="00E860B0"/>
    <w:rsid w:val="00E8761C"/>
    <w:rsid w:val="00E87D23"/>
    <w:rsid w:val="00E87F2B"/>
    <w:rsid w:val="00E87FC6"/>
    <w:rsid w:val="00E90A08"/>
    <w:rsid w:val="00E90C18"/>
    <w:rsid w:val="00E9127F"/>
    <w:rsid w:val="00E91366"/>
    <w:rsid w:val="00E913DE"/>
    <w:rsid w:val="00E9191E"/>
    <w:rsid w:val="00E92126"/>
    <w:rsid w:val="00E921F1"/>
    <w:rsid w:val="00E928F4"/>
    <w:rsid w:val="00E9376A"/>
    <w:rsid w:val="00E93D25"/>
    <w:rsid w:val="00E949DC"/>
    <w:rsid w:val="00E94ED4"/>
    <w:rsid w:val="00E96D19"/>
    <w:rsid w:val="00EA086D"/>
    <w:rsid w:val="00EA0C31"/>
    <w:rsid w:val="00EA1752"/>
    <w:rsid w:val="00EA2189"/>
    <w:rsid w:val="00EA2491"/>
    <w:rsid w:val="00EA26A4"/>
    <w:rsid w:val="00EA308B"/>
    <w:rsid w:val="00EA30D1"/>
    <w:rsid w:val="00EA34C9"/>
    <w:rsid w:val="00EA3CF9"/>
    <w:rsid w:val="00EA41F7"/>
    <w:rsid w:val="00EA46C7"/>
    <w:rsid w:val="00EA473B"/>
    <w:rsid w:val="00EA49DE"/>
    <w:rsid w:val="00EA4B87"/>
    <w:rsid w:val="00EA631A"/>
    <w:rsid w:val="00EA6874"/>
    <w:rsid w:val="00EA6CEA"/>
    <w:rsid w:val="00EA7CAC"/>
    <w:rsid w:val="00EB0E10"/>
    <w:rsid w:val="00EB10E0"/>
    <w:rsid w:val="00EB133E"/>
    <w:rsid w:val="00EB146E"/>
    <w:rsid w:val="00EB14AB"/>
    <w:rsid w:val="00EB24B1"/>
    <w:rsid w:val="00EB39F7"/>
    <w:rsid w:val="00EB3ED0"/>
    <w:rsid w:val="00EB5A4C"/>
    <w:rsid w:val="00EB79A1"/>
    <w:rsid w:val="00EB7A93"/>
    <w:rsid w:val="00EC01F5"/>
    <w:rsid w:val="00EC098A"/>
    <w:rsid w:val="00EC14DC"/>
    <w:rsid w:val="00EC1E16"/>
    <w:rsid w:val="00EC2016"/>
    <w:rsid w:val="00EC29E8"/>
    <w:rsid w:val="00EC2C7D"/>
    <w:rsid w:val="00EC393D"/>
    <w:rsid w:val="00EC3EE5"/>
    <w:rsid w:val="00EC3EFA"/>
    <w:rsid w:val="00EC5C80"/>
    <w:rsid w:val="00EC7608"/>
    <w:rsid w:val="00EC7A20"/>
    <w:rsid w:val="00EC7ABC"/>
    <w:rsid w:val="00EC7E6E"/>
    <w:rsid w:val="00ED0CC8"/>
    <w:rsid w:val="00ED0F36"/>
    <w:rsid w:val="00ED15B2"/>
    <w:rsid w:val="00ED170D"/>
    <w:rsid w:val="00ED2094"/>
    <w:rsid w:val="00ED37B0"/>
    <w:rsid w:val="00ED3C12"/>
    <w:rsid w:val="00ED4BE7"/>
    <w:rsid w:val="00ED559B"/>
    <w:rsid w:val="00ED5FF3"/>
    <w:rsid w:val="00ED6069"/>
    <w:rsid w:val="00ED6662"/>
    <w:rsid w:val="00ED6B89"/>
    <w:rsid w:val="00ED7002"/>
    <w:rsid w:val="00ED7692"/>
    <w:rsid w:val="00EE01DB"/>
    <w:rsid w:val="00EE01E6"/>
    <w:rsid w:val="00EE0549"/>
    <w:rsid w:val="00EE0CD0"/>
    <w:rsid w:val="00EE1CD0"/>
    <w:rsid w:val="00EE1CD3"/>
    <w:rsid w:val="00EE3B11"/>
    <w:rsid w:val="00EE4966"/>
    <w:rsid w:val="00EE5289"/>
    <w:rsid w:val="00EE5458"/>
    <w:rsid w:val="00EE6161"/>
    <w:rsid w:val="00EE6E34"/>
    <w:rsid w:val="00EE74CA"/>
    <w:rsid w:val="00EE77B7"/>
    <w:rsid w:val="00EE7B30"/>
    <w:rsid w:val="00EF06D1"/>
    <w:rsid w:val="00EF0C78"/>
    <w:rsid w:val="00EF2A9E"/>
    <w:rsid w:val="00EF301A"/>
    <w:rsid w:val="00EF3790"/>
    <w:rsid w:val="00EF4064"/>
    <w:rsid w:val="00EF4E9A"/>
    <w:rsid w:val="00EF569F"/>
    <w:rsid w:val="00EF5AD3"/>
    <w:rsid w:val="00EF63EA"/>
    <w:rsid w:val="00EF66FA"/>
    <w:rsid w:val="00EF6F28"/>
    <w:rsid w:val="00EF6F47"/>
    <w:rsid w:val="00F00845"/>
    <w:rsid w:val="00F01B00"/>
    <w:rsid w:val="00F02014"/>
    <w:rsid w:val="00F024E5"/>
    <w:rsid w:val="00F0330B"/>
    <w:rsid w:val="00F0453B"/>
    <w:rsid w:val="00F05825"/>
    <w:rsid w:val="00F077EB"/>
    <w:rsid w:val="00F10047"/>
    <w:rsid w:val="00F10104"/>
    <w:rsid w:val="00F11D15"/>
    <w:rsid w:val="00F11E71"/>
    <w:rsid w:val="00F124AD"/>
    <w:rsid w:val="00F1259F"/>
    <w:rsid w:val="00F13EFD"/>
    <w:rsid w:val="00F14046"/>
    <w:rsid w:val="00F1414C"/>
    <w:rsid w:val="00F145ED"/>
    <w:rsid w:val="00F15D08"/>
    <w:rsid w:val="00F16B5E"/>
    <w:rsid w:val="00F17403"/>
    <w:rsid w:val="00F17B5B"/>
    <w:rsid w:val="00F2056B"/>
    <w:rsid w:val="00F20A0F"/>
    <w:rsid w:val="00F2158E"/>
    <w:rsid w:val="00F21D3C"/>
    <w:rsid w:val="00F22103"/>
    <w:rsid w:val="00F2262A"/>
    <w:rsid w:val="00F22B7C"/>
    <w:rsid w:val="00F22CDB"/>
    <w:rsid w:val="00F22D01"/>
    <w:rsid w:val="00F22D61"/>
    <w:rsid w:val="00F22F70"/>
    <w:rsid w:val="00F23674"/>
    <w:rsid w:val="00F23695"/>
    <w:rsid w:val="00F23CF3"/>
    <w:rsid w:val="00F23D76"/>
    <w:rsid w:val="00F24268"/>
    <w:rsid w:val="00F24679"/>
    <w:rsid w:val="00F246FC"/>
    <w:rsid w:val="00F25730"/>
    <w:rsid w:val="00F25D78"/>
    <w:rsid w:val="00F26A3B"/>
    <w:rsid w:val="00F26F56"/>
    <w:rsid w:val="00F2707C"/>
    <w:rsid w:val="00F27117"/>
    <w:rsid w:val="00F27359"/>
    <w:rsid w:val="00F2747E"/>
    <w:rsid w:val="00F2768A"/>
    <w:rsid w:val="00F305A9"/>
    <w:rsid w:val="00F30957"/>
    <w:rsid w:val="00F309FB"/>
    <w:rsid w:val="00F324CE"/>
    <w:rsid w:val="00F32857"/>
    <w:rsid w:val="00F335CC"/>
    <w:rsid w:val="00F3366B"/>
    <w:rsid w:val="00F33F6B"/>
    <w:rsid w:val="00F34F7E"/>
    <w:rsid w:val="00F35A4E"/>
    <w:rsid w:val="00F35EE8"/>
    <w:rsid w:val="00F3694E"/>
    <w:rsid w:val="00F3709B"/>
    <w:rsid w:val="00F37234"/>
    <w:rsid w:val="00F37677"/>
    <w:rsid w:val="00F379B0"/>
    <w:rsid w:val="00F37B6E"/>
    <w:rsid w:val="00F401BD"/>
    <w:rsid w:val="00F41287"/>
    <w:rsid w:val="00F421D4"/>
    <w:rsid w:val="00F42936"/>
    <w:rsid w:val="00F4299D"/>
    <w:rsid w:val="00F42E18"/>
    <w:rsid w:val="00F4379C"/>
    <w:rsid w:val="00F43A72"/>
    <w:rsid w:val="00F43AD0"/>
    <w:rsid w:val="00F449CD"/>
    <w:rsid w:val="00F45998"/>
    <w:rsid w:val="00F4655B"/>
    <w:rsid w:val="00F46A85"/>
    <w:rsid w:val="00F470A4"/>
    <w:rsid w:val="00F47506"/>
    <w:rsid w:val="00F47BB9"/>
    <w:rsid w:val="00F47C6F"/>
    <w:rsid w:val="00F50D2B"/>
    <w:rsid w:val="00F51D52"/>
    <w:rsid w:val="00F5231A"/>
    <w:rsid w:val="00F5267A"/>
    <w:rsid w:val="00F52E52"/>
    <w:rsid w:val="00F530E8"/>
    <w:rsid w:val="00F53E83"/>
    <w:rsid w:val="00F5422D"/>
    <w:rsid w:val="00F5424A"/>
    <w:rsid w:val="00F54A17"/>
    <w:rsid w:val="00F54D28"/>
    <w:rsid w:val="00F5641B"/>
    <w:rsid w:val="00F56967"/>
    <w:rsid w:val="00F56F5B"/>
    <w:rsid w:val="00F57747"/>
    <w:rsid w:val="00F5786A"/>
    <w:rsid w:val="00F579EE"/>
    <w:rsid w:val="00F601EE"/>
    <w:rsid w:val="00F60629"/>
    <w:rsid w:val="00F6071C"/>
    <w:rsid w:val="00F6081B"/>
    <w:rsid w:val="00F60B7A"/>
    <w:rsid w:val="00F60EA9"/>
    <w:rsid w:val="00F613C6"/>
    <w:rsid w:val="00F6149F"/>
    <w:rsid w:val="00F614B2"/>
    <w:rsid w:val="00F62060"/>
    <w:rsid w:val="00F6296B"/>
    <w:rsid w:val="00F62B30"/>
    <w:rsid w:val="00F63897"/>
    <w:rsid w:val="00F63B0D"/>
    <w:rsid w:val="00F63DCD"/>
    <w:rsid w:val="00F657DD"/>
    <w:rsid w:val="00F660BC"/>
    <w:rsid w:val="00F662B4"/>
    <w:rsid w:val="00F6656A"/>
    <w:rsid w:val="00F66BEF"/>
    <w:rsid w:val="00F67B53"/>
    <w:rsid w:val="00F67FE8"/>
    <w:rsid w:val="00F700B1"/>
    <w:rsid w:val="00F70F67"/>
    <w:rsid w:val="00F72185"/>
    <w:rsid w:val="00F72293"/>
    <w:rsid w:val="00F72503"/>
    <w:rsid w:val="00F7254E"/>
    <w:rsid w:val="00F729B4"/>
    <w:rsid w:val="00F73857"/>
    <w:rsid w:val="00F741CF"/>
    <w:rsid w:val="00F745EF"/>
    <w:rsid w:val="00F768F5"/>
    <w:rsid w:val="00F76AE9"/>
    <w:rsid w:val="00F771A4"/>
    <w:rsid w:val="00F80632"/>
    <w:rsid w:val="00F80BE9"/>
    <w:rsid w:val="00F814A6"/>
    <w:rsid w:val="00F81B18"/>
    <w:rsid w:val="00F81B9B"/>
    <w:rsid w:val="00F82900"/>
    <w:rsid w:val="00F83104"/>
    <w:rsid w:val="00F833AC"/>
    <w:rsid w:val="00F8383F"/>
    <w:rsid w:val="00F84820"/>
    <w:rsid w:val="00F85E0F"/>
    <w:rsid w:val="00F864FF"/>
    <w:rsid w:val="00F865F9"/>
    <w:rsid w:val="00F866B6"/>
    <w:rsid w:val="00F86BC9"/>
    <w:rsid w:val="00F86BEA"/>
    <w:rsid w:val="00F86E73"/>
    <w:rsid w:val="00F87D99"/>
    <w:rsid w:val="00F90DDD"/>
    <w:rsid w:val="00F92B02"/>
    <w:rsid w:val="00F92D7C"/>
    <w:rsid w:val="00F937F9"/>
    <w:rsid w:val="00F93987"/>
    <w:rsid w:val="00F93E17"/>
    <w:rsid w:val="00F93F2D"/>
    <w:rsid w:val="00F9414A"/>
    <w:rsid w:val="00F94683"/>
    <w:rsid w:val="00F9474C"/>
    <w:rsid w:val="00F9490D"/>
    <w:rsid w:val="00F95029"/>
    <w:rsid w:val="00F95208"/>
    <w:rsid w:val="00F95A28"/>
    <w:rsid w:val="00F95EE1"/>
    <w:rsid w:val="00F96009"/>
    <w:rsid w:val="00F96234"/>
    <w:rsid w:val="00F963F4"/>
    <w:rsid w:val="00F966C8"/>
    <w:rsid w:val="00F970DA"/>
    <w:rsid w:val="00F970F8"/>
    <w:rsid w:val="00F97A2D"/>
    <w:rsid w:val="00F97EE2"/>
    <w:rsid w:val="00FA0048"/>
    <w:rsid w:val="00FA0189"/>
    <w:rsid w:val="00FA08BD"/>
    <w:rsid w:val="00FA0A97"/>
    <w:rsid w:val="00FA0CCF"/>
    <w:rsid w:val="00FA1977"/>
    <w:rsid w:val="00FA22F8"/>
    <w:rsid w:val="00FA2AA1"/>
    <w:rsid w:val="00FA4197"/>
    <w:rsid w:val="00FA46FA"/>
    <w:rsid w:val="00FA48CC"/>
    <w:rsid w:val="00FA49B5"/>
    <w:rsid w:val="00FA4F9A"/>
    <w:rsid w:val="00FA5374"/>
    <w:rsid w:val="00FA5B29"/>
    <w:rsid w:val="00FA5BAD"/>
    <w:rsid w:val="00FA6B40"/>
    <w:rsid w:val="00FA6BCA"/>
    <w:rsid w:val="00FA6FFF"/>
    <w:rsid w:val="00FA72DE"/>
    <w:rsid w:val="00FB14BE"/>
    <w:rsid w:val="00FB16EF"/>
    <w:rsid w:val="00FB17E4"/>
    <w:rsid w:val="00FB19DF"/>
    <w:rsid w:val="00FB27E5"/>
    <w:rsid w:val="00FB2EFD"/>
    <w:rsid w:val="00FB3815"/>
    <w:rsid w:val="00FB3B4E"/>
    <w:rsid w:val="00FB3BFC"/>
    <w:rsid w:val="00FB3EF6"/>
    <w:rsid w:val="00FB4FFE"/>
    <w:rsid w:val="00FB5EA4"/>
    <w:rsid w:val="00FB6975"/>
    <w:rsid w:val="00FB6C1D"/>
    <w:rsid w:val="00FB6F23"/>
    <w:rsid w:val="00FB7082"/>
    <w:rsid w:val="00FB7992"/>
    <w:rsid w:val="00FB7AC9"/>
    <w:rsid w:val="00FC0026"/>
    <w:rsid w:val="00FC0BA6"/>
    <w:rsid w:val="00FC0EEB"/>
    <w:rsid w:val="00FC1EA8"/>
    <w:rsid w:val="00FC1EAB"/>
    <w:rsid w:val="00FC1F58"/>
    <w:rsid w:val="00FC2643"/>
    <w:rsid w:val="00FC30C6"/>
    <w:rsid w:val="00FC3268"/>
    <w:rsid w:val="00FC4263"/>
    <w:rsid w:val="00FC4369"/>
    <w:rsid w:val="00FC4536"/>
    <w:rsid w:val="00FC4AA3"/>
    <w:rsid w:val="00FC4E40"/>
    <w:rsid w:val="00FC5939"/>
    <w:rsid w:val="00FC5AE5"/>
    <w:rsid w:val="00FC6616"/>
    <w:rsid w:val="00FC69B1"/>
    <w:rsid w:val="00FC711C"/>
    <w:rsid w:val="00FD0557"/>
    <w:rsid w:val="00FD15D7"/>
    <w:rsid w:val="00FD1705"/>
    <w:rsid w:val="00FD1DCA"/>
    <w:rsid w:val="00FD332B"/>
    <w:rsid w:val="00FD36AF"/>
    <w:rsid w:val="00FD42E1"/>
    <w:rsid w:val="00FD462E"/>
    <w:rsid w:val="00FD49B9"/>
    <w:rsid w:val="00FD5D7F"/>
    <w:rsid w:val="00FD6307"/>
    <w:rsid w:val="00FD7AC8"/>
    <w:rsid w:val="00FD7ECA"/>
    <w:rsid w:val="00FE0A73"/>
    <w:rsid w:val="00FE392A"/>
    <w:rsid w:val="00FE3E98"/>
    <w:rsid w:val="00FE46E4"/>
    <w:rsid w:val="00FE47A5"/>
    <w:rsid w:val="00FE47D7"/>
    <w:rsid w:val="00FE51EC"/>
    <w:rsid w:val="00FE5B8B"/>
    <w:rsid w:val="00FE611B"/>
    <w:rsid w:val="00FE7D8B"/>
    <w:rsid w:val="00FF006C"/>
    <w:rsid w:val="00FF2254"/>
    <w:rsid w:val="00FF3B62"/>
    <w:rsid w:val="00FF4816"/>
    <w:rsid w:val="00FF4AD6"/>
    <w:rsid w:val="00FF50EB"/>
    <w:rsid w:val="00FF5428"/>
    <w:rsid w:val="00FF573B"/>
    <w:rsid w:val="00FF5AC0"/>
    <w:rsid w:val="00FF5B07"/>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874B9"/>
  <w15:docId w15:val="{644AF26F-339E-4376-9EE4-CD76C85B6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F7FD5"/>
    <w:rPr>
      <w:rFonts w:ascii="Times New Roman" w:hAnsi="Times New Roman"/>
      <w:sz w:val="24"/>
    </w:rPr>
  </w:style>
  <w:style w:type="paragraph" w:styleId="Nagwek1">
    <w:name w:val="heading 1"/>
    <w:basedOn w:val="Normalny"/>
    <w:next w:val="Normalny"/>
    <w:link w:val="Nagwek1Znak"/>
    <w:qFormat/>
    <w:rsid w:val="00BF157A"/>
    <w:pPr>
      <w:keepNext/>
      <w:spacing w:before="240" w:after="60"/>
      <w:outlineLvl w:val="0"/>
    </w:pPr>
    <w:rPr>
      <w:rFonts w:eastAsia="Times New Roman" w:cs="Times New Roman"/>
      <w:b/>
      <w:bCs/>
      <w:kern w:val="32"/>
      <w:sz w:val="26"/>
      <w:szCs w:val="32"/>
    </w:rPr>
  </w:style>
  <w:style w:type="paragraph" w:styleId="Nagwek2">
    <w:name w:val="heading 2"/>
    <w:basedOn w:val="Normalny"/>
    <w:next w:val="Normalny"/>
    <w:link w:val="Nagwek2Znak"/>
    <w:unhideWhenUsed/>
    <w:qFormat/>
    <w:rsid w:val="00E02CF4"/>
    <w:pPr>
      <w:keepNext/>
      <w:spacing w:before="240" w:after="60"/>
      <w:outlineLvl w:val="1"/>
    </w:pPr>
    <w:rPr>
      <w:rFonts w:eastAsia="Times New Roman" w:cs="Times New Roman"/>
      <w:b/>
      <w:bCs/>
      <w:iCs/>
      <w:szCs w:val="28"/>
    </w:rPr>
  </w:style>
  <w:style w:type="paragraph" w:styleId="Nagwek3">
    <w:name w:val="heading 3"/>
    <w:basedOn w:val="Normalny"/>
    <w:next w:val="Normalny"/>
    <w:link w:val="Nagwek3Znak"/>
    <w:uiPriority w:val="9"/>
    <w:unhideWhenUsed/>
    <w:qFormat/>
    <w:rsid w:val="00CE1C00"/>
    <w:pPr>
      <w:keepNext/>
      <w:spacing w:before="240" w:after="60"/>
      <w:outlineLvl w:val="2"/>
    </w:pPr>
    <w:rPr>
      <w:rFonts w:eastAsia="Times New Roman" w:cs="Times New Roman"/>
      <w:b/>
      <w:bCs/>
      <w:szCs w:val="26"/>
    </w:rPr>
  </w:style>
  <w:style w:type="paragraph" w:styleId="Nagwek4">
    <w:name w:val="heading 4"/>
    <w:basedOn w:val="Normalny"/>
    <w:next w:val="Normalny"/>
    <w:link w:val="Nagwek4Znak"/>
    <w:unhideWhenUsed/>
    <w:qFormat/>
    <w:rsid w:val="0061484E"/>
    <w:pPr>
      <w:keepNext/>
      <w:spacing w:before="240" w:after="60"/>
      <w:outlineLvl w:val="3"/>
    </w:pPr>
    <w:rPr>
      <w:rFonts w:eastAsia="Times New Roman" w:cs="Times New Roman"/>
      <w:b/>
      <w:bCs/>
      <w:szCs w:val="28"/>
    </w:rPr>
  </w:style>
  <w:style w:type="paragraph" w:styleId="Nagwek5">
    <w:name w:val="heading 5"/>
    <w:basedOn w:val="Normalny"/>
    <w:next w:val="Normalny"/>
    <w:link w:val="Nagwek5Znak"/>
    <w:qFormat/>
    <w:rsid w:val="00E70AF6"/>
    <w:pPr>
      <w:keepNext/>
      <w:tabs>
        <w:tab w:val="center" w:pos="4536"/>
        <w:tab w:val="right" w:pos="9072"/>
      </w:tabs>
      <w:spacing w:before="120"/>
      <w:outlineLvl w:val="4"/>
    </w:pPr>
    <w:rPr>
      <w:rFonts w:eastAsia="Times New Roman" w:cs="Times New Roman"/>
      <w:b/>
      <w:color w:val="FF0000"/>
      <w:u w:val="single"/>
      <w:lang w:val="x-none" w:eastAsia="x-none"/>
    </w:rPr>
  </w:style>
  <w:style w:type="paragraph" w:styleId="Nagwek6">
    <w:name w:val="heading 6"/>
    <w:basedOn w:val="Normalny"/>
    <w:next w:val="Normalny"/>
    <w:link w:val="Nagwek6Znak"/>
    <w:qFormat/>
    <w:rsid w:val="00E70AF6"/>
    <w:pPr>
      <w:keepNext/>
      <w:tabs>
        <w:tab w:val="center" w:pos="4536"/>
        <w:tab w:val="right" w:pos="9072"/>
      </w:tabs>
      <w:spacing w:before="120"/>
      <w:outlineLvl w:val="5"/>
    </w:pPr>
    <w:rPr>
      <w:rFonts w:eastAsia="Times New Roman" w:cs="Times New Roman"/>
      <w:b/>
      <w:lang w:val="x-none" w:eastAsia="x-none"/>
    </w:rPr>
  </w:style>
  <w:style w:type="paragraph" w:styleId="Nagwek7">
    <w:name w:val="heading 7"/>
    <w:basedOn w:val="Normalny"/>
    <w:next w:val="Normalny"/>
    <w:link w:val="Nagwek7Znak"/>
    <w:qFormat/>
    <w:rsid w:val="00E70AF6"/>
    <w:pPr>
      <w:keepNext/>
      <w:tabs>
        <w:tab w:val="left" w:pos="638"/>
        <w:tab w:val="center" w:pos="4536"/>
        <w:tab w:val="right" w:pos="9072"/>
      </w:tabs>
      <w:spacing w:before="120"/>
      <w:ind w:left="2056" w:hanging="2056"/>
      <w:jc w:val="both"/>
      <w:outlineLvl w:val="6"/>
    </w:pPr>
    <w:rPr>
      <w:rFonts w:eastAsia="Times New Roman" w:cs="Times New Roman"/>
      <w:color w:val="000000"/>
      <w:u w:val="single"/>
      <w:lang w:val="x-none" w:eastAsia="x-none"/>
    </w:rPr>
  </w:style>
  <w:style w:type="paragraph" w:styleId="Nagwek8">
    <w:name w:val="heading 8"/>
    <w:basedOn w:val="Normalny"/>
    <w:next w:val="Normalny"/>
    <w:link w:val="Nagwek8Znak"/>
    <w:qFormat/>
    <w:rsid w:val="00E70AF6"/>
    <w:pPr>
      <w:keepNext/>
      <w:tabs>
        <w:tab w:val="center" w:pos="4536"/>
        <w:tab w:val="right" w:pos="9072"/>
      </w:tabs>
      <w:spacing w:before="120"/>
      <w:jc w:val="both"/>
      <w:outlineLvl w:val="7"/>
    </w:pPr>
    <w:rPr>
      <w:rFonts w:eastAsia="Times New Roman" w:cs="Times New Roman"/>
      <w:color w:val="000000"/>
      <w:u w:val="single"/>
      <w:lang w:val="x-none" w:eastAsia="x-none"/>
    </w:rPr>
  </w:style>
  <w:style w:type="paragraph" w:styleId="Nagwek9">
    <w:name w:val="heading 9"/>
    <w:basedOn w:val="Normalny"/>
    <w:next w:val="Normalny"/>
    <w:link w:val="Nagwek9Znak"/>
    <w:qFormat/>
    <w:rsid w:val="00E70AF6"/>
    <w:pPr>
      <w:keepNext/>
      <w:tabs>
        <w:tab w:val="center" w:pos="4536"/>
        <w:tab w:val="right" w:pos="9072"/>
      </w:tabs>
      <w:spacing w:before="120"/>
      <w:ind w:right="-1" w:firstLine="425"/>
      <w:jc w:val="right"/>
      <w:outlineLvl w:val="8"/>
    </w:pPr>
    <w:rPr>
      <w:rFonts w:eastAsia="Times New Roman" w:cs="Times New Roman"/>
      <w:b/>
      <w:color w:val="00000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F310D"/>
    <w:pPr>
      <w:tabs>
        <w:tab w:val="center" w:pos="4536"/>
        <w:tab w:val="right" w:pos="9072"/>
      </w:tabs>
    </w:pPr>
  </w:style>
  <w:style w:type="character" w:customStyle="1" w:styleId="NagwekZnak">
    <w:name w:val="Nagłówek Znak"/>
    <w:basedOn w:val="Domylnaczcionkaakapitu"/>
    <w:link w:val="Nagwek"/>
    <w:uiPriority w:val="99"/>
    <w:rsid w:val="003F310D"/>
  </w:style>
  <w:style w:type="paragraph" w:styleId="Stopka">
    <w:name w:val="footer"/>
    <w:basedOn w:val="Normalny"/>
    <w:link w:val="StopkaZnak"/>
    <w:unhideWhenUsed/>
    <w:rsid w:val="003F310D"/>
    <w:pPr>
      <w:tabs>
        <w:tab w:val="center" w:pos="4536"/>
        <w:tab w:val="right" w:pos="9072"/>
      </w:tabs>
    </w:pPr>
  </w:style>
  <w:style w:type="character" w:customStyle="1" w:styleId="StopkaZnak">
    <w:name w:val="Stopka Znak"/>
    <w:basedOn w:val="Domylnaczcionkaakapitu"/>
    <w:link w:val="Stopka"/>
    <w:rsid w:val="003F310D"/>
  </w:style>
  <w:style w:type="character" w:styleId="Numerstrony">
    <w:name w:val="page number"/>
    <w:rsid w:val="003F310D"/>
  </w:style>
  <w:style w:type="character" w:customStyle="1" w:styleId="Nagwek1Znak">
    <w:name w:val="Nagłówek 1 Znak"/>
    <w:link w:val="Nagwek1"/>
    <w:rsid w:val="00BF157A"/>
    <w:rPr>
      <w:rFonts w:ascii="Times New Roman" w:eastAsia="Times New Roman" w:hAnsi="Times New Roman" w:cs="Times New Roman"/>
      <w:b/>
      <w:bCs/>
      <w:kern w:val="32"/>
      <w:sz w:val="26"/>
      <w:szCs w:val="32"/>
    </w:rPr>
  </w:style>
  <w:style w:type="character" w:customStyle="1" w:styleId="Nagwek2Znak">
    <w:name w:val="Nagłówek 2 Znak"/>
    <w:link w:val="Nagwek2"/>
    <w:rsid w:val="00E02CF4"/>
    <w:rPr>
      <w:rFonts w:ascii="Times New Roman" w:eastAsia="Times New Roman" w:hAnsi="Times New Roman" w:cs="Times New Roman"/>
      <w:b/>
      <w:bCs/>
      <w:iCs/>
      <w:sz w:val="24"/>
      <w:szCs w:val="28"/>
    </w:rPr>
  </w:style>
  <w:style w:type="paragraph" w:styleId="Akapitzlist">
    <w:name w:val="List Paragraph"/>
    <w:basedOn w:val="Normalny"/>
    <w:uiPriority w:val="1"/>
    <w:qFormat/>
    <w:rsid w:val="00E21C78"/>
    <w:pPr>
      <w:ind w:left="708"/>
    </w:pPr>
  </w:style>
  <w:style w:type="character" w:styleId="Hipercze">
    <w:name w:val="Hyperlink"/>
    <w:uiPriority w:val="99"/>
    <w:unhideWhenUsed/>
    <w:rsid w:val="00CA5AA6"/>
    <w:rPr>
      <w:color w:val="0563C1"/>
      <w:u w:val="single"/>
    </w:rPr>
  </w:style>
  <w:style w:type="character" w:customStyle="1" w:styleId="Nierozpoznanawzmianka1">
    <w:name w:val="Nierozpoznana wzmianka1"/>
    <w:uiPriority w:val="99"/>
    <w:semiHidden/>
    <w:unhideWhenUsed/>
    <w:rsid w:val="00CA5AA6"/>
    <w:rPr>
      <w:color w:val="605E5C"/>
      <w:shd w:val="clear" w:color="auto" w:fill="E1DFDD"/>
    </w:rPr>
  </w:style>
  <w:style w:type="paragraph" w:styleId="Tekstprzypisukocowego">
    <w:name w:val="endnote text"/>
    <w:basedOn w:val="Normalny"/>
    <w:link w:val="TekstprzypisukocowegoZnak"/>
    <w:uiPriority w:val="99"/>
    <w:semiHidden/>
    <w:unhideWhenUsed/>
    <w:rsid w:val="0073212B"/>
  </w:style>
  <w:style w:type="character" w:customStyle="1" w:styleId="TekstprzypisukocowegoZnak">
    <w:name w:val="Tekst przypisu końcowego Znak"/>
    <w:basedOn w:val="Domylnaczcionkaakapitu"/>
    <w:link w:val="Tekstprzypisukocowego"/>
    <w:uiPriority w:val="99"/>
    <w:semiHidden/>
    <w:rsid w:val="0073212B"/>
  </w:style>
  <w:style w:type="character" w:styleId="Odwoanieprzypisukocowego">
    <w:name w:val="endnote reference"/>
    <w:semiHidden/>
    <w:unhideWhenUsed/>
    <w:rsid w:val="0073212B"/>
    <w:rPr>
      <w:vertAlign w:val="superscript"/>
    </w:rPr>
  </w:style>
  <w:style w:type="paragraph" w:customStyle="1" w:styleId="Default">
    <w:name w:val="Default"/>
    <w:rsid w:val="0006507D"/>
    <w:pPr>
      <w:autoSpaceDE w:val="0"/>
      <w:autoSpaceDN w:val="0"/>
      <w:adjustRightInd w:val="0"/>
    </w:pPr>
    <w:rPr>
      <w:rFonts w:ascii="Times New Roman" w:hAnsi="Times New Roman" w:cs="Times New Roman"/>
      <w:color w:val="000000"/>
      <w:sz w:val="24"/>
      <w:szCs w:val="24"/>
    </w:rPr>
  </w:style>
  <w:style w:type="character" w:customStyle="1" w:styleId="Nagwek3Znak">
    <w:name w:val="Nagłówek 3 Znak"/>
    <w:link w:val="Nagwek3"/>
    <w:uiPriority w:val="9"/>
    <w:rsid w:val="00CE1C00"/>
    <w:rPr>
      <w:rFonts w:ascii="Times New Roman" w:eastAsia="Times New Roman" w:hAnsi="Times New Roman" w:cs="Times New Roman"/>
      <w:b/>
      <w:bCs/>
      <w:sz w:val="24"/>
      <w:szCs w:val="26"/>
    </w:rPr>
  </w:style>
  <w:style w:type="character" w:customStyle="1" w:styleId="Nagwek4Znak">
    <w:name w:val="Nagłówek 4 Znak"/>
    <w:link w:val="Nagwek4"/>
    <w:rsid w:val="0061484E"/>
    <w:rPr>
      <w:rFonts w:ascii="Times New Roman" w:eastAsia="Times New Roman" w:hAnsi="Times New Roman" w:cs="Times New Roman"/>
      <w:b/>
      <w:bCs/>
      <w:sz w:val="24"/>
      <w:szCs w:val="28"/>
    </w:rPr>
  </w:style>
  <w:style w:type="paragraph" w:styleId="Nagwekspisutreci">
    <w:name w:val="TOC Heading"/>
    <w:next w:val="Normalny"/>
    <w:uiPriority w:val="39"/>
    <w:unhideWhenUsed/>
    <w:qFormat/>
    <w:rsid w:val="008B7E3C"/>
    <w:pPr>
      <w:keepLines/>
      <w:spacing w:line="259" w:lineRule="auto"/>
    </w:pPr>
    <w:rPr>
      <w:rFonts w:ascii="Times New Roman" w:eastAsia="Times New Roman" w:hAnsi="Times New Roman" w:cs="Times New Roman"/>
      <w:color w:val="000000"/>
      <w:sz w:val="24"/>
      <w:szCs w:val="32"/>
    </w:rPr>
  </w:style>
  <w:style w:type="paragraph" w:styleId="Spistreci1">
    <w:name w:val="toc 1"/>
    <w:basedOn w:val="Normalny"/>
    <w:next w:val="Normalny"/>
    <w:autoRedefine/>
    <w:uiPriority w:val="39"/>
    <w:unhideWhenUsed/>
    <w:rsid w:val="00BE2556"/>
    <w:pPr>
      <w:tabs>
        <w:tab w:val="right" w:leader="dot" w:pos="9038"/>
      </w:tabs>
      <w:ind w:left="426" w:hanging="426"/>
    </w:pPr>
    <w:rPr>
      <w:color w:val="000000"/>
    </w:rPr>
  </w:style>
  <w:style w:type="paragraph" w:styleId="Spistreci2">
    <w:name w:val="toc 2"/>
    <w:basedOn w:val="Normalny"/>
    <w:next w:val="Normalny"/>
    <w:autoRedefine/>
    <w:uiPriority w:val="39"/>
    <w:unhideWhenUsed/>
    <w:rsid w:val="006844E0"/>
    <w:pPr>
      <w:tabs>
        <w:tab w:val="left" w:pos="1200"/>
        <w:tab w:val="right" w:leader="dot" w:pos="9038"/>
      </w:tabs>
      <w:ind w:left="851" w:hanging="611"/>
    </w:pPr>
  </w:style>
  <w:style w:type="paragraph" w:styleId="Spistreci3">
    <w:name w:val="toc 3"/>
    <w:basedOn w:val="Normalny"/>
    <w:next w:val="Normalny"/>
    <w:autoRedefine/>
    <w:uiPriority w:val="39"/>
    <w:unhideWhenUsed/>
    <w:rsid w:val="00353B2B"/>
    <w:pPr>
      <w:ind w:left="480"/>
    </w:pPr>
  </w:style>
  <w:style w:type="character" w:styleId="Odwoaniedokomentarza">
    <w:name w:val="annotation reference"/>
    <w:semiHidden/>
    <w:unhideWhenUsed/>
    <w:rsid w:val="00AA5E03"/>
    <w:rPr>
      <w:sz w:val="16"/>
      <w:szCs w:val="16"/>
    </w:rPr>
  </w:style>
  <w:style w:type="paragraph" w:styleId="Tekstkomentarza">
    <w:name w:val="annotation text"/>
    <w:basedOn w:val="Normalny"/>
    <w:link w:val="TekstkomentarzaZnak"/>
    <w:semiHidden/>
    <w:unhideWhenUsed/>
    <w:rsid w:val="00AA5E03"/>
    <w:rPr>
      <w:sz w:val="20"/>
    </w:rPr>
  </w:style>
  <w:style w:type="character" w:customStyle="1" w:styleId="TekstkomentarzaZnak">
    <w:name w:val="Tekst komentarza Znak"/>
    <w:link w:val="Tekstkomentarza"/>
    <w:semiHidden/>
    <w:rsid w:val="00AA5E03"/>
    <w:rPr>
      <w:rFonts w:ascii="Times New Roman" w:hAnsi="Times New Roman"/>
    </w:rPr>
  </w:style>
  <w:style w:type="paragraph" w:styleId="Tematkomentarza">
    <w:name w:val="annotation subject"/>
    <w:basedOn w:val="Tekstkomentarza"/>
    <w:next w:val="Tekstkomentarza"/>
    <w:link w:val="TematkomentarzaZnak"/>
    <w:semiHidden/>
    <w:unhideWhenUsed/>
    <w:rsid w:val="00AA5E03"/>
    <w:rPr>
      <w:b/>
      <w:bCs/>
    </w:rPr>
  </w:style>
  <w:style w:type="character" w:customStyle="1" w:styleId="TematkomentarzaZnak">
    <w:name w:val="Temat komentarza Znak"/>
    <w:link w:val="Tematkomentarza"/>
    <w:semiHidden/>
    <w:rsid w:val="00AA5E03"/>
    <w:rPr>
      <w:rFonts w:ascii="Times New Roman" w:hAnsi="Times New Roman"/>
      <w:b/>
      <w:bCs/>
    </w:rPr>
  </w:style>
  <w:style w:type="paragraph" w:styleId="Tekstdymka">
    <w:name w:val="Balloon Text"/>
    <w:basedOn w:val="Normalny"/>
    <w:link w:val="TekstdymkaZnak"/>
    <w:semiHidden/>
    <w:unhideWhenUsed/>
    <w:rsid w:val="00AA5E03"/>
    <w:rPr>
      <w:rFonts w:ascii="Segoe UI" w:hAnsi="Segoe UI" w:cs="Segoe UI"/>
      <w:sz w:val="18"/>
      <w:szCs w:val="18"/>
    </w:rPr>
  </w:style>
  <w:style w:type="character" w:customStyle="1" w:styleId="TekstdymkaZnak">
    <w:name w:val="Tekst dymka Znak"/>
    <w:link w:val="Tekstdymka"/>
    <w:semiHidden/>
    <w:rsid w:val="00AA5E03"/>
    <w:rPr>
      <w:rFonts w:ascii="Segoe UI" w:hAnsi="Segoe UI" w:cs="Segoe UI"/>
      <w:sz w:val="18"/>
      <w:szCs w:val="18"/>
    </w:rPr>
  </w:style>
  <w:style w:type="paragraph" w:customStyle="1" w:styleId="styl0">
    <w:name w:val="styl0"/>
    <w:basedOn w:val="Normalny"/>
    <w:rsid w:val="00977658"/>
    <w:pPr>
      <w:tabs>
        <w:tab w:val="center" w:pos="4536"/>
        <w:tab w:val="right" w:pos="9072"/>
      </w:tabs>
      <w:jc w:val="both"/>
    </w:pPr>
    <w:rPr>
      <w:rFonts w:eastAsia="Times New Roman" w:cs="Times New Roman"/>
    </w:rPr>
  </w:style>
  <w:style w:type="paragraph" w:customStyle="1" w:styleId="Stylwyliczanie">
    <w:name w:val="Styl wyliczanie"/>
    <w:basedOn w:val="Normalny"/>
    <w:rsid w:val="00977658"/>
    <w:pPr>
      <w:keepNext/>
      <w:widowControl w:val="0"/>
      <w:tabs>
        <w:tab w:val="num" w:pos="360"/>
        <w:tab w:val="left" w:pos="1276"/>
        <w:tab w:val="left" w:pos="2552"/>
        <w:tab w:val="left" w:pos="3261"/>
        <w:tab w:val="center" w:pos="4536"/>
        <w:tab w:val="right" w:pos="9072"/>
      </w:tabs>
      <w:spacing w:before="120"/>
      <w:ind w:left="357" w:hanging="357"/>
      <w:jc w:val="both"/>
    </w:pPr>
    <w:rPr>
      <w:rFonts w:eastAsia="Times New Roman" w:cs="Times New Roman"/>
      <w:color w:val="000000"/>
    </w:rPr>
  </w:style>
  <w:style w:type="paragraph" w:styleId="Tekstpodstawowy">
    <w:name w:val="Body Text"/>
    <w:basedOn w:val="Normalny"/>
    <w:link w:val="TekstpodstawowyZnak"/>
    <w:uiPriority w:val="1"/>
    <w:qFormat/>
    <w:rsid w:val="00977658"/>
    <w:pPr>
      <w:tabs>
        <w:tab w:val="center" w:pos="4536"/>
        <w:tab w:val="right" w:pos="9072"/>
      </w:tabs>
      <w:spacing w:before="120" w:line="360" w:lineRule="auto"/>
      <w:jc w:val="both"/>
    </w:pPr>
    <w:rPr>
      <w:rFonts w:eastAsia="Times New Roman" w:cs="Times New Roman"/>
      <w:color w:val="000000"/>
      <w:lang w:val="x-none" w:eastAsia="x-none"/>
    </w:rPr>
  </w:style>
  <w:style w:type="character" w:customStyle="1" w:styleId="TekstpodstawowyZnak">
    <w:name w:val="Tekst podstawowy Znak"/>
    <w:link w:val="Tekstpodstawowy"/>
    <w:rsid w:val="00977658"/>
    <w:rPr>
      <w:rFonts w:ascii="Times New Roman" w:eastAsia="Times New Roman" w:hAnsi="Times New Roman" w:cs="Times New Roman"/>
      <w:color w:val="000000"/>
      <w:sz w:val="24"/>
      <w:lang w:val="x-none" w:eastAsia="x-none"/>
    </w:rPr>
  </w:style>
  <w:style w:type="paragraph" w:styleId="NormalnyWeb">
    <w:name w:val="Normal (Web)"/>
    <w:basedOn w:val="Normalny"/>
    <w:uiPriority w:val="99"/>
    <w:unhideWhenUsed/>
    <w:rsid w:val="00977658"/>
    <w:pPr>
      <w:spacing w:before="100" w:beforeAutospacing="1" w:after="100" w:afterAutospacing="1"/>
    </w:pPr>
    <w:rPr>
      <w:rFonts w:cs="Times New Roman"/>
      <w:szCs w:val="24"/>
    </w:rPr>
  </w:style>
  <w:style w:type="character" w:customStyle="1" w:styleId="Nagwek5Znak">
    <w:name w:val="Nagłówek 5 Znak"/>
    <w:link w:val="Nagwek5"/>
    <w:rsid w:val="00E70AF6"/>
    <w:rPr>
      <w:rFonts w:ascii="Times New Roman" w:eastAsia="Times New Roman" w:hAnsi="Times New Roman" w:cs="Times New Roman"/>
      <w:b/>
      <w:color w:val="FF0000"/>
      <w:sz w:val="24"/>
      <w:u w:val="single"/>
      <w:lang w:val="x-none" w:eastAsia="x-none"/>
    </w:rPr>
  </w:style>
  <w:style w:type="character" w:customStyle="1" w:styleId="Nagwek6Znak">
    <w:name w:val="Nagłówek 6 Znak"/>
    <w:link w:val="Nagwek6"/>
    <w:rsid w:val="00E70AF6"/>
    <w:rPr>
      <w:rFonts w:ascii="Times New Roman" w:eastAsia="Times New Roman" w:hAnsi="Times New Roman" w:cs="Times New Roman"/>
      <w:b/>
      <w:sz w:val="24"/>
      <w:lang w:val="x-none" w:eastAsia="x-none"/>
    </w:rPr>
  </w:style>
  <w:style w:type="character" w:customStyle="1" w:styleId="Nagwek7Znak">
    <w:name w:val="Nagłówek 7 Znak"/>
    <w:link w:val="Nagwek7"/>
    <w:rsid w:val="00E70AF6"/>
    <w:rPr>
      <w:rFonts w:ascii="Times New Roman" w:eastAsia="Times New Roman" w:hAnsi="Times New Roman" w:cs="Times New Roman"/>
      <w:color w:val="000000"/>
      <w:sz w:val="24"/>
      <w:u w:val="single"/>
      <w:lang w:val="x-none" w:eastAsia="x-none"/>
    </w:rPr>
  </w:style>
  <w:style w:type="character" w:customStyle="1" w:styleId="Nagwek8Znak">
    <w:name w:val="Nagłówek 8 Znak"/>
    <w:link w:val="Nagwek8"/>
    <w:rsid w:val="00E70AF6"/>
    <w:rPr>
      <w:rFonts w:ascii="Times New Roman" w:eastAsia="Times New Roman" w:hAnsi="Times New Roman" w:cs="Times New Roman"/>
      <w:color w:val="000000"/>
      <w:sz w:val="24"/>
      <w:u w:val="single"/>
      <w:lang w:val="x-none" w:eastAsia="x-none"/>
    </w:rPr>
  </w:style>
  <w:style w:type="character" w:customStyle="1" w:styleId="Nagwek9Znak">
    <w:name w:val="Nagłówek 9 Znak"/>
    <w:link w:val="Nagwek9"/>
    <w:rsid w:val="00E70AF6"/>
    <w:rPr>
      <w:rFonts w:ascii="Times New Roman" w:eastAsia="Times New Roman" w:hAnsi="Times New Roman" w:cs="Times New Roman"/>
      <w:b/>
      <w:color w:val="000000"/>
      <w:sz w:val="24"/>
      <w:lang w:val="x-none" w:eastAsia="x-none"/>
    </w:rPr>
  </w:style>
  <w:style w:type="table" w:styleId="Tabela-Siatka">
    <w:name w:val="Table Grid"/>
    <w:basedOn w:val="Standardowy"/>
    <w:rsid w:val="00E70AF6"/>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rsid w:val="00E70AF6"/>
    <w:pPr>
      <w:numPr>
        <w:ilvl w:val="1"/>
        <w:numId w:val="158"/>
      </w:numPr>
      <w:tabs>
        <w:tab w:val="clear" w:pos="360"/>
      </w:tabs>
      <w:ind w:left="720" w:firstLine="0"/>
    </w:pPr>
    <w:rPr>
      <w:rFonts w:eastAsia="SimSun" w:cs="Times New Roman"/>
      <w:sz w:val="20"/>
      <w:szCs w:val="24"/>
      <w:lang w:eastAsia="zh-CN"/>
    </w:rPr>
  </w:style>
  <w:style w:type="paragraph" w:styleId="Spistreci5">
    <w:name w:val="toc 5"/>
    <w:basedOn w:val="Normalny"/>
    <w:next w:val="Normalny"/>
    <w:autoRedefine/>
    <w:uiPriority w:val="39"/>
    <w:rsid w:val="00E70AF6"/>
    <w:pPr>
      <w:ind w:left="960"/>
    </w:pPr>
    <w:rPr>
      <w:rFonts w:eastAsia="SimSun" w:cs="Times New Roman"/>
      <w:sz w:val="20"/>
      <w:szCs w:val="24"/>
      <w:lang w:eastAsia="zh-CN"/>
    </w:rPr>
  </w:style>
  <w:style w:type="paragraph" w:styleId="Spistreci6">
    <w:name w:val="toc 6"/>
    <w:basedOn w:val="Normalny"/>
    <w:next w:val="Normalny"/>
    <w:autoRedefine/>
    <w:uiPriority w:val="39"/>
    <w:rsid w:val="00E70AF6"/>
    <w:pPr>
      <w:ind w:left="1200"/>
    </w:pPr>
    <w:rPr>
      <w:rFonts w:eastAsia="SimSun" w:cs="Times New Roman"/>
      <w:sz w:val="20"/>
      <w:szCs w:val="24"/>
      <w:lang w:eastAsia="zh-CN"/>
    </w:rPr>
  </w:style>
  <w:style w:type="paragraph" w:styleId="Spistreci7">
    <w:name w:val="toc 7"/>
    <w:basedOn w:val="Normalny"/>
    <w:next w:val="Normalny"/>
    <w:autoRedefine/>
    <w:uiPriority w:val="39"/>
    <w:rsid w:val="00E70AF6"/>
    <w:pPr>
      <w:ind w:left="1440"/>
    </w:pPr>
    <w:rPr>
      <w:rFonts w:eastAsia="SimSun" w:cs="Times New Roman"/>
      <w:sz w:val="20"/>
      <w:szCs w:val="24"/>
      <w:lang w:eastAsia="zh-CN"/>
    </w:rPr>
  </w:style>
  <w:style w:type="paragraph" w:styleId="Spistreci8">
    <w:name w:val="toc 8"/>
    <w:basedOn w:val="Normalny"/>
    <w:next w:val="Normalny"/>
    <w:autoRedefine/>
    <w:uiPriority w:val="39"/>
    <w:rsid w:val="00E70AF6"/>
    <w:pPr>
      <w:ind w:left="1680"/>
    </w:pPr>
    <w:rPr>
      <w:rFonts w:eastAsia="SimSun" w:cs="Times New Roman"/>
      <w:sz w:val="20"/>
      <w:szCs w:val="24"/>
      <w:lang w:eastAsia="zh-CN"/>
    </w:rPr>
  </w:style>
  <w:style w:type="paragraph" w:styleId="Spistreci9">
    <w:name w:val="toc 9"/>
    <w:basedOn w:val="Normalny"/>
    <w:next w:val="Normalny"/>
    <w:autoRedefine/>
    <w:uiPriority w:val="39"/>
    <w:rsid w:val="00E70AF6"/>
    <w:pPr>
      <w:ind w:left="1920"/>
    </w:pPr>
    <w:rPr>
      <w:rFonts w:eastAsia="SimSun" w:cs="Times New Roman"/>
      <w:sz w:val="20"/>
      <w:szCs w:val="24"/>
      <w:lang w:eastAsia="zh-CN"/>
    </w:rPr>
  </w:style>
  <w:style w:type="paragraph" w:customStyle="1" w:styleId="StylwyliczanieZnak">
    <w:name w:val="Styl wyliczanie Znak"/>
    <w:basedOn w:val="Normalny"/>
    <w:link w:val="StylwyliczanieZnakZnak"/>
    <w:rsid w:val="00E70AF6"/>
    <w:pPr>
      <w:keepNext/>
      <w:widowControl w:val="0"/>
      <w:numPr>
        <w:ilvl w:val="1"/>
        <w:numId w:val="9"/>
      </w:numPr>
      <w:tabs>
        <w:tab w:val="left" w:pos="1276"/>
        <w:tab w:val="left" w:pos="2552"/>
        <w:tab w:val="left" w:pos="3261"/>
        <w:tab w:val="center" w:pos="4536"/>
        <w:tab w:val="right" w:pos="9072"/>
      </w:tabs>
      <w:spacing w:before="120"/>
      <w:jc w:val="both"/>
    </w:pPr>
    <w:rPr>
      <w:rFonts w:eastAsia="SimSun" w:cs="Times New Roman"/>
      <w:color w:val="000000"/>
      <w:szCs w:val="24"/>
      <w:lang w:val="x-none" w:eastAsia="x-none"/>
    </w:rPr>
  </w:style>
  <w:style w:type="character" w:customStyle="1" w:styleId="StylwyliczanieZnakZnak">
    <w:name w:val="Styl wyliczanie Znak Znak"/>
    <w:link w:val="StylwyliczanieZnak"/>
    <w:rsid w:val="00E70AF6"/>
    <w:rPr>
      <w:rFonts w:ascii="Times New Roman" w:eastAsia="SimSun" w:hAnsi="Times New Roman" w:cs="Times New Roman"/>
      <w:color w:val="000000"/>
      <w:sz w:val="24"/>
      <w:szCs w:val="24"/>
      <w:lang w:val="x-none" w:eastAsia="x-none"/>
    </w:rPr>
  </w:style>
  <w:style w:type="paragraph" w:styleId="Poprawka">
    <w:name w:val="Revision"/>
    <w:hidden/>
    <w:semiHidden/>
    <w:rsid w:val="00E70AF6"/>
    <w:rPr>
      <w:rFonts w:ascii="Times New Roman" w:eastAsia="SimSun" w:hAnsi="Times New Roman" w:cs="Times New Roman"/>
      <w:sz w:val="24"/>
      <w:szCs w:val="24"/>
      <w:lang w:eastAsia="zh-CN"/>
    </w:rPr>
  </w:style>
  <w:style w:type="paragraph" w:styleId="Tytu">
    <w:name w:val="Title"/>
    <w:basedOn w:val="Normalny"/>
    <w:link w:val="TytuZnak"/>
    <w:qFormat/>
    <w:rsid w:val="00E70AF6"/>
    <w:pPr>
      <w:jc w:val="center"/>
      <w:outlineLvl w:val="0"/>
    </w:pPr>
    <w:rPr>
      <w:rFonts w:ascii="Arial" w:eastAsia="Times New Roman" w:hAnsi="Arial" w:cs="Times New Roman"/>
      <w:b/>
      <w:sz w:val="36"/>
      <w:lang w:val="x-none" w:eastAsia="x-none"/>
    </w:rPr>
  </w:style>
  <w:style w:type="character" w:customStyle="1" w:styleId="TytuZnak">
    <w:name w:val="Tytuł Znak"/>
    <w:link w:val="Tytu"/>
    <w:rsid w:val="00E70AF6"/>
    <w:rPr>
      <w:rFonts w:ascii="Arial" w:eastAsia="Times New Roman" w:hAnsi="Arial" w:cs="Times New Roman"/>
      <w:b/>
      <w:sz w:val="36"/>
      <w:lang w:val="x-none" w:eastAsia="x-none"/>
    </w:rPr>
  </w:style>
  <w:style w:type="character" w:customStyle="1" w:styleId="ZnakZnak2">
    <w:name w:val="Znak Znak2"/>
    <w:rsid w:val="00E70AF6"/>
    <w:rPr>
      <w:rFonts w:ascii="Arial" w:hAnsi="Arial" w:cs="Arial"/>
      <w:b/>
      <w:bCs/>
      <w:i/>
      <w:iCs/>
      <w:noProof w:val="0"/>
      <w:sz w:val="28"/>
      <w:szCs w:val="28"/>
      <w:lang w:val="pl-PL" w:eastAsia="pl-PL" w:bidi="ar-SA"/>
    </w:rPr>
  </w:style>
  <w:style w:type="character" w:customStyle="1" w:styleId="styl0Znak">
    <w:name w:val="styl0 Znak"/>
    <w:rsid w:val="00E70AF6"/>
    <w:rPr>
      <w:noProof w:val="0"/>
      <w:sz w:val="24"/>
      <w:lang w:val="pl-PL" w:eastAsia="pl-PL" w:bidi="ar-SA"/>
    </w:rPr>
  </w:style>
  <w:style w:type="character" w:customStyle="1" w:styleId="ZnakZnak1">
    <w:name w:val="Znak Znak1"/>
    <w:rsid w:val="00E70AF6"/>
    <w:rPr>
      <w:noProof w:val="0"/>
      <w:sz w:val="24"/>
      <w:szCs w:val="24"/>
      <w:lang w:val="pl-PL" w:eastAsia="pl-PL" w:bidi="ar-SA"/>
    </w:rPr>
  </w:style>
  <w:style w:type="paragraph" w:customStyle="1" w:styleId="BodyText23">
    <w:name w:val="Body Text 23"/>
    <w:basedOn w:val="Normalny"/>
    <w:rsid w:val="00E70AF6"/>
    <w:pPr>
      <w:tabs>
        <w:tab w:val="center" w:pos="4536"/>
        <w:tab w:val="right" w:pos="9072"/>
      </w:tabs>
      <w:spacing w:before="120"/>
      <w:ind w:firstLine="425"/>
      <w:jc w:val="center"/>
    </w:pPr>
    <w:rPr>
      <w:rFonts w:eastAsia="Times New Roman" w:cs="Times New Roman"/>
      <w:b/>
      <w:color w:val="000000"/>
      <w:sz w:val="36"/>
    </w:rPr>
  </w:style>
  <w:style w:type="paragraph" w:customStyle="1" w:styleId="StylTcd">
    <w:name w:val="StylTcd"/>
    <w:basedOn w:val="Normalny"/>
    <w:next w:val="styl0"/>
    <w:rsid w:val="00E70AF6"/>
    <w:pPr>
      <w:keepLines/>
      <w:pageBreakBefore/>
      <w:tabs>
        <w:tab w:val="center" w:pos="4536"/>
        <w:tab w:val="right" w:pos="9072"/>
      </w:tabs>
      <w:spacing w:before="120" w:after="120"/>
      <w:jc w:val="right"/>
    </w:pPr>
    <w:rPr>
      <w:rFonts w:eastAsia="Times New Roman" w:cs="Times New Roman"/>
      <w:color w:val="000000"/>
    </w:rPr>
  </w:style>
  <w:style w:type="paragraph" w:customStyle="1" w:styleId="Style1">
    <w:name w:val="Style1"/>
    <w:basedOn w:val="Normalny"/>
    <w:rsid w:val="00E70AF6"/>
    <w:pPr>
      <w:tabs>
        <w:tab w:val="center" w:pos="4536"/>
        <w:tab w:val="right" w:pos="9072"/>
      </w:tabs>
      <w:spacing w:before="120"/>
      <w:ind w:left="284" w:hanging="284"/>
      <w:jc w:val="both"/>
    </w:pPr>
    <w:rPr>
      <w:rFonts w:eastAsia="Times New Roman" w:cs="Times New Roman"/>
      <w:color w:val="000000"/>
    </w:rPr>
  </w:style>
  <w:style w:type="paragraph" w:customStyle="1" w:styleId="styl2">
    <w:name w:val="styl2"/>
    <w:basedOn w:val="Normalny"/>
    <w:rsid w:val="00E70AF6"/>
    <w:pPr>
      <w:tabs>
        <w:tab w:val="center" w:pos="4536"/>
        <w:tab w:val="right" w:pos="9072"/>
      </w:tabs>
      <w:ind w:left="340" w:hanging="340"/>
      <w:jc w:val="both"/>
    </w:pPr>
    <w:rPr>
      <w:rFonts w:eastAsia="Times New Roman" w:cs="Times New Roman"/>
    </w:rPr>
  </w:style>
  <w:style w:type="paragraph" w:customStyle="1" w:styleId="Styl1">
    <w:name w:val="Styl1"/>
    <w:basedOn w:val="Normalny"/>
    <w:rsid w:val="00E70AF6"/>
    <w:pPr>
      <w:tabs>
        <w:tab w:val="center" w:pos="4536"/>
        <w:tab w:val="right" w:pos="9072"/>
      </w:tabs>
      <w:ind w:left="227" w:hanging="227"/>
      <w:jc w:val="both"/>
    </w:pPr>
    <w:rPr>
      <w:rFonts w:eastAsia="Times New Roman" w:cs="Times New Roman"/>
    </w:rPr>
  </w:style>
  <w:style w:type="paragraph" w:customStyle="1" w:styleId="Styl3">
    <w:name w:val="Styl3"/>
    <w:basedOn w:val="Styl1"/>
    <w:rsid w:val="00E70AF6"/>
    <w:pPr>
      <w:ind w:left="340" w:hanging="113"/>
    </w:pPr>
  </w:style>
  <w:style w:type="paragraph" w:customStyle="1" w:styleId="Styl4">
    <w:name w:val="Styl4"/>
    <w:basedOn w:val="styl2"/>
    <w:rsid w:val="00E70AF6"/>
    <w:pPr>
      <w:ind w:left="453" w:hanging="113"/>
    </w:pPr>
  </w:style>
  <w:style w:type="paragraph" w:customStyle="1" w:styleId="stylT">
    <w:name w:val="stylT"/>
    <w:basedOn w:val="Normalny"/>
    <w:next w:val="stylTN"/>
    <w:rsid w:val="00E70AF6"/>
    <w:pPr>
      <w:keepLines/>
      <w:pageBreakBefore/>
      <w:tabs>
        <w:tab w:val="center" w:pos="4536"/>
        <w:tab w:val="right" w:pos="9072"/>
      </w:tabs>
      <w:spacing w:before="120" w:after="120"/>
      <w:jc w:val="center"/>
    </w:pPr>
    <w:rPr>
      <w:rFonts w:eastAsia="Times New Roman" w:cs="Times New Roman"/>
      <w:color w:val="000000"/>
    </w:rPr>
  </w:style>
  <w:style w:type="paragraph" w:customStyle="1" w:styleId="stylTN">
    <w:name w:val="stylTN"/>
    <w:basedOn w:val="Normalny"/>
    <w:next w:val="styl0"/>
    <w:rsid w:val="00E70AF6"/>
    <w:pPr>
      <w:keepLines/>
      <w:tabs>
        <w:tab w:val="center" w:pos="4536"/>
      </w:tabs>
      <w:spacing w:after="120"/>
      <w:jc w:val="center"/>
    </w:pPr>
    <w:rPr>
      <w:rFonts w:eastAsia="Times New Roman" w:cs="Times New Roman"/>
      <w:color w:val="000000"/>
    </w:rPr>
  </w:style>
  <w:style w:type="paragraph" w:customStyle="1" w:styleId="StyleT">
    <w:name w:val="StyleT"/>
    <w:basedOn w:val="styl0"/>
    <w:next w:val="stylTN"/>
    <w:rsid w:val="00E70AF6"/>
    <w:pPr>
      <w:keepLines/>
      <w:tabs>
        <w:tab w:val="clear" w:pos="9072"/>
      </w:tabs>
      <w:spacing w:before="240"/>
      <w:jc w:val="right"/>
    </w:pPr>
  </w:style>
  <w:style w:type="paragraph" w:customStyle="1" w:styleId="BodyText24">
    <w:name w:val="Body Text 24"/>
    <w:basedOn w:val="Normalny"/>
    <w:rsid w:val="00E70AF6"/>
    <w:pPr>
      <w:tabs>
        <w:tab w:val="center" w:pos="4536"/>
        <w:tab w:val="right" w:pos="9072"/>
      </w:tabs>
      <w:spacing w:before="120"/>
      <w:ind w:right="-57"/>
      <w:jc w:val="both"/>
    </w:pPr>
    <w:rPr>
      <w:rFonts w:eastAsia="Times New Roman" w:cs="Times New Roman"/>
      <w:b/>
      <w:color w:val="000000"/>
    </w:rPr>
  </w:style>
  <w:style w:type="paragraph" w:customStyle="1" w:styleId="BodyText31">
    <w:name w:val="Body Text 31"/>
    <w:basedOn w:val="Normalny"/>
    <w:rsid w:val="00E70AF6"/>
    <w:pPr>
      <w:tabs>
        <w:tab w:val="center" w:pos="4536"/>
        <w:tab w:val="right" w:pos="9072"/>
      </w:tabs>
      <w:spacing w:before="120"/>
      <w:jc w:val="both"/>
    </w:pPr>
    <w:rPr>
      <w:rFonts w:eastAsia="Times New Roman" w:cs="Times New Roman"/>
      <w:b/>
      <w:color w:val="000000"/>
    </w:rPr>
  </w:style>
  <w:style w:type="paragraph" w:customStyle="1" w:styleId="BodyTextIndent22">
    <w:name w:val="Body Text Indent 22"/>
    <w:basedOn w:val="Normalny"/>
    <w:rsid w:val="00E70AF6"/>
    <w:pPr>
      <w:tabs>
        <w:tab w:val="center" w:pos="4536"/>
        <w:tab w:val="right" w:pos="9072"/>
      </w:tabs>
      <w:spacing w:before="120"/>
      <w:ind w:firstLine="425"/>
      <w:jc w:val="both"/>
    </w:pPr>
    <w:rPr>
      <w:rFonts w:eastAsia="Times New Roman" w:cs="Times New Roman"/>
      <w:color w:val="000000"/>
    </w:rPr>
  </w:style>
  <w:style w:type="paragraph" w:customStyle="1" w:styleId="BodyText21">
    <w:name w:val="Body Text 21"/>
    <w:basedOn w:val="Normalny"/>
    <w:rsid w:val="00E70AF6"/>
    <w:rPr>
      <w:rFonts w:eastAsia="Times New Roman" w:cs="Times New Roman"/>
    </w:rPr>
  </w:style>
  <w:style w:type="paragraph" w:customStyle="1" w:styleId="BodyText22">
    <w:name w:val="Body Text 22"/>
    <w:basedOn w:val="Normalny"/>
    <w:rsid w:val="00E70AF6"/>
    <w:pPr>
      <w:ind w:left="284" w:hanging="284"/>
    </w:pPr>
    <w:rPr>
      <w:rFonts w:eastAsia="Times New Roman" w:cs="Times New Roman"/>
    </w:rPr>
  </w:style>
  <w:style w:type="paragraph" w:customStyle="1" w:styleId="BodyTextIndent21">
    <w:name w:val="Body Text Indent 21"/>
    <w:basedOn w:val="Normalny"/>
    <w:rsid w:val="00E70AF6"/>
    <w:pPr>
      <w:tabs>
        <w:tab w:val="left" w:pos="567"/>
      </w:tabs>
      <w:ind w:left="567" w:hanging="283"/>
      <w:jc w:val="both"/>
    </w:pPr>
    <w:rPr>
      <w:rFonts w:eastAsia="Times New Roman" w:cs="Times New Roman"/>
    </w:rPr>
  </w:style>
  <w:style w:type="paragraph" w:customStyle="1" w:styleId="BodyTextIndent31">
    <w:name w:val="Body Text Indent 31"/>
    <w:basedOn w:val="Normalny"/>
    <w:rsid w:val="00E70AF6"/>
    <w:pPr>
      <w:ind w:left="426"/>
      <w:jc w:val="both"/>
    </w:pPr>
    <w:rPr>
      <w:rFonts w:eastAsia="Times New Roman" w:cs="Times New Roman"/>
    </w:rPr>
  </w:style>
  <w:style w:type="paragraph" w:styleId="Tekstpodstawowy2">
    <w:name w:val="Body Text 2"/>
    <w:basedOn w:val="Normalny"/>
    <w:link w:val="Tekstpodstawowy2Znak"/>
    <w:rsid w:val="00E70AF6"/>
    <w:rPr>
      <w:rFonts w:eastAsia="Times New Roman" w:cs="Times New Roman"/>
      <w:b/>
      <w:color w:val="FF0000"/>
      <w:lang w:val="x-none" w:eastAsia="x-none"/>
    </w:rPr>
  </w:style>
  <w:style w:type="character" w:customStyle="1" w:styleId="Tekstpodstawowy2Znak">
    <w:name w:val="Tekst podstawowy 2 Znak"/>
    <w:link w:val="Tekstpodstawowy2"/>
    <w:rsid w:val="00E70AF6"/>
    <w:rPr>
      <w:rFonts w:ascii="Times New Roman" w:eastAsia="Times New Roman" w:hAnsi="Times New Roman" w:cs="Times New Roman"/>
      <w:b/>
      <w:color w:val="FF0000"/>
      <w:sz w:val="24"/>
      <w:lang w:val="x-none" w:eastAsia="x-none"/>
    </w:rPr>
  </w:style>
  <w:style w:type="paragraph" w:styleId="Tekstpodstawowy3">
    <w:name w:val="Body Text 3"/>
    <w:basedOn w:val="Normalny"/>
    <w:link w:val="Tekstpodstawowy3Znak"/>
    <w:rsid w:val="00E70AF6"/>
    <w:pPr>
      <w:tabs>
        <w:tab w:val="center" w:pos="4536"/>
        <w:tab w:val="right" w:pos="9072"/>
      </w:tabs>
      <w:spacing w:before="120"/>
      <w:jc w:val="both"/>
    </w:pPr>
    <w:rPr>
      <w:rFonts w:eastAsia="Times New Roman" w:cs="Times New Roman"/>
      <w:b/>
      <w:color w:val="000000"/>
      <w:lang w:val="x-none" w:eastAsia="x-none"/>
    </w:rPr>
  </w:style>
  <w:style w:type="character" w:customStyle="1" w:styleId="Tekstpodstawowy3Znak">
    <w:name w:val="Tekst podstawowy 3 Znak"/>
    <w:link w:val="Tekstpodstawowy3"/>
    <w:rsid w:val="00E70AF6"/>
    <w:rPr>
      <w:rFonts w:ascii="Times New Roman" w:eastAsia="Times New Roman" w:hAnsi="Times New Roman" w:cs="Times New Roman"/>
      <w:b/>
      <w:color w:val="000000"/>
      <w:sz w:val="24"/>
      <w:lang w:val="x-none" w:eastAsia="x-none"/>
    </w:rPr>
  </w:style>
  <w:style w:type="paragraph" w:customStyle="1" w:styleId="Stylakapit">
    <w:name w:val="Styl akapit"/>
    <w:basedOn w:val="Normalny"/>
    <w:rsid w:val="00E70AF6"/>
    <w:pPr>
      <w:tabs>
        <w:tab w:val="center" w:pos="4536"/>
        <w:tab w:val="right" w:pos="9072"/>
      </w:tabs>
      <w:spacing w:before="120"/>
      <w:ind w:firstLine="425"/>
      <w:jc w:val="both"/>
    </w:pPr>
    <w:rPr>
      <w:rFonts w:eastAsia="Times New Roman" w:cs="Times New Roman"/>
      <w:color w:val="000000"/>
    </w:rPr>
  </w:style>
  <w:style w:type="paragraph" w:customStyle="1" w:styleId="Akapit">
    <w:name w:val="Akapit"/>
    <w:basedOn w:val="Normalny"/>
    <w:rsid w:val="00E70AF6"/>
    <w:pPr>
      <w:tabs>
        <w:tab w:val="center" w:pos="4536"/>
        <w:tab w:val="right" w:pos="9072"/>
      </w:tabs>
      <w:spacing w:before="120"/>
      <w:ind w:firstLine="425"/>
      <w:jc w:val="both"/>
    </w:pPr>
    <w:rPr>
      <w:rFonts w:eastAsia="Times New Roman" w:cs="Times New Roman"/>
      <w:color w:val="000000"/>
    </w:rPr>
  </w:style>
  <w:style w:type="paragraph" w:styleId="Tekstblokowy">
    <w:name w:val="Block Text"/>
    <w:basedOn w:val="Normalny"/>
    <w:rsid w:val="00E70AF6"/>
    <w:pPr>
      <w:tabs>
        <w:tab w:val="center" w:pos="4536"/>
        <w:tab w:val="right" w:pos="8505"/>
      </w:tabs>
      <w:spacing w:before="120"/>
      <w:ind w:left="2552" w:right="565" w:hanging="2552"/>
      <w:jc w:val="both"/>
    </w:pPr>
    <w:rPr>
      <w:rFonts w:eastAsia="Times New Roman" w:cs="Times New Roman"/>
      <w:b/>
      <w:color w:val="000000"/>
    </w:rPr>
  </w:style>
  <w:style w:type="paragraph" w:customStyle="1" w:styleId="Stylwyliczanie1">
    <w:name w:val="Styl wyliczanie1"/>
    <w:basedOn w:val="Normalny"/>
    <w:next w:val="Stylakapit"/>
    <w:link w:val="Stylwyliczanie1Znak"/>
    <w:rsid w:val="00E70AF6"/>
    <w:pPr>
      <w:tabs>
        <w:tab w:val="center" w:pos="4536"/>
        <w:tab w:val="right" w:pos="9072"/>
      </w:tabs>
      <w:spacing w:before="120"/>
      <w:jc w:val="both"/>
    </w:pPr>
    <w:rPr>
      <w:rFonts w:eastAsia="Times New Roman" w:cs="Times New Roman"/>
      <w:color w:val="000000"/>
      <w:lang w:val="x-none" w:eastAsia="x-none"/>
    </w:rPr>
  </w:style>
  <w:style w:type="character" w:customStyle="1" w:styleId="Stylwyliczanie1Znak">
    <w:name w:val="Styl wyliczanie1 Znak"/>
    <w:link w:val="Stylwyliczanie1"/>
    <w:rsid w:val="00E70AF6"/>
    <w:rPr>
      <w:rFonts w:ascii="Times New Roman" w:eastAsia="Times New Roman" w:hAnsi="Times New Roman" w:cs="Times New Roman"/>
      <w:color w:val="000000"/>
      <w:sz w:val="24"/>
      <w:lang w:val="x-none" w:eastAsia="x-none"/>
    </w:rPr>
  </w:style>
  <w:style w:type="paragraph" w:styleId="Tekstpodstawowywcity">
    <w:name w:val="Body Text Indent"/>
    <w:basedOn w:val="Normalny"/>
    <w:link w:val="TekstpodstawowywcityZnak"/>
    <w:rsid w:val="00E70AF6"/>
    <w:pPr>
      <w:tabs>
        <w:tab w:val="left" w:pos="1370"/>
      </w:tabs>
      <w:spacing w:before="120"/>
      <w:ind w:left="164" w:hanging="164"/>
      <w:jc w:val="both"/>
    </w:pPr>
    <w:rPr>
      <w:rFonts w:eastAsia="Times New Roman" w:cs="Times New Roman"/>
      <w:color w:val="FF0000"/>
      <w:lang w:val="x-none" w:eastAsia="x-none"/>
    </w:rPr>
  </w:style>
  <w:style w:type="character" w:customStyle="1" w:styleId="TekstpodstawowywcityZnak">
    <w:name w:val="Tekst podstawowy wcięty Znak"/>
    <w:link w:val="Tekstpodstawowywcity"/>
    <w:rsid w:val="00E70AF6"/>
    <w:rPr>
      <w:rFonts w:ascii="Times New Roman" w:eastAsia="Times New Roman" w:hAnsi="Times New Roman" w:cs="Times New Roman"/>
      <w:color w:val="FF0000"/>
      <w:sz w:val="24"/>
      <w:lang w:val="x-none" w:eastAsia="x-none"/>
    </w:rPr>
  </w:style>
  <w:style w:type="paragraph" w:styleId="Tekstpodstawowywcity2">
    <w:name w:val="Body Text Indent 2"/>
    <w:basedOn w:val="Normalny"/>
    <w:link w:val="Tekstpodstawowywcity2Znak"/>
    <w:rsid w:val="00E70AF6"/>
    <w:pPr>
      <w:spacing w:before="120"/>
      <w:ind w:firstLine="71"/>
      <w:jc w:val="both"/>
    </w:pPr>
    <w:rPr>
      <w:rFonts w:eastAsia="Times New Roman" w:cs="Times New Roman"/>
      <w:lang w:val="x-none" w:eastAsia="x-none"/>
    </w:rPr>
  </w:style>
  <w:style w:type="character" w:customStyle="1" w:styleId="Tekstpodstawowywcity2Znak">
    <w:name w:val="Tekst podstawowy wcięty 2 Znak"/>
    <w:link w:val="Tekstpodstawowywcity2"/>
    <w:rsid w:val="00E70AF6"/>
    <w:rPr>
      <w:rFonts w:ascii="Times New Roman" w:eastAsia="Times New Roman" w:hAnsi="Times New Roman" w:cs="Times New Roman"/>
      <w:sz w:val="24"/>
      <w:lang w:val="x-none" w:eastAsia="x-none"/>
    </w:rPr>
  </w:style>
  <w:style w:type="paragraph" w:styleId="Tekstpodstawowywcity3">
    <w:name w:val="Body Text Indent 3"/>
    <w:basedOn w:val="Normalny"/>
    <w:link w:val="Tekstpodstawowywcity3Znak"/>
    <w:rsid w:val="00E70AF6"/>
    <w:pPr>
      <w:tabs>
        <w:tab w:val="center" w:pos="4536"/>
        <w:tab w:val="right" w:pos="9072"/>
      </w:tabs>
      <w:ind w:firstLine="425"/>
      <w:jc w:val="center"/>
    </w:pPr>
    <w:rPr>
      <w:rFonts w:eastAsia="Times New Roman" w:cs="Times New Roman"/>
      <w:bCs/>
      <w:color w:val="000000"/>
      <w:lang w:val="x-none" w:eastAsia="x-none"/>
    </w:rPr>
  </w:style>
  <w:style w:type="character" w:customStyle="1" w:styleId="Tekstpodstawowywcity3Znak">
    <w:name w:val="Tekst podstawowy wcięty 3 Znak"/>
    <w:link w:val="Tekstpodstawowywcity3"/>
    <w:rsid w:val="00E70AF6"/>
    <w:rPr>
      <w:rFonts w:ascii="Times New Roman" w:eastAsia="Times New Roman" w:hAnsi="Times New Roman" w:cs="Times New Roman"/>
      <w:bCs/>
      <w:color w:val="000000"/>
      <w:sz w:val="24"/>
      <w:lang w:val="x-none" w:eastAsia="x-none"/>
    </w:rPr>
  </w:style>
  <w:style w:type="paragraph" w:customStyle="1" w:styleId="Stanprosty">
    <w:name w:val="Stanprosty"/>
    <w:basedOn w:val="Normalny"/>
    <w:rsid w:val="00E70AF6"/>
    <w:pPr>
      <w:tabs>
        <w:tab w:val="left" w:pos="357"/>
      </w:tabs>
      <w:spacing w:line="360" w:lineRule="auto"/>
      <w:jc w:val="both"/>
    </w:pPr>
    <w:rPr>
      <w:rFonts w:eastAsia="Times New Roman" w:cs="Times New Roman"/>
    </w:rPr>
  </w:style>
  <w:style w:type="paragraph" w:customStyle="1" w:styleId="pkt">
    <w:name w:val="pkt"/>
    <w:basedOn w:val="Normalny"/>
    <w:rsid w:val="00E70AF6"/>
    <w:pPr>
      <w:spacing w:after="80"/>
      <w:ind w:left="851" w:hanging="284"/>
      <w:jc w:val="both"/>
    </w:pPr>
    <w:rPr>
      <w:rFonts w:eastAsia="Times New Roman" w:cs="Times New Roman"/>
      <w:szCs w:val="24"/>
    </w:rPr>
  </w:style>
  <w:style w:type="paragraph" w:customStyle="1" w:styleId="ust">
    <w:name w:val="ust"/>
    <w:basedOn w:val="Normalny"/>
    <w:rsid w:val="00E70AF6"/>
    <w:pPr>
      <w:spacing w:after="80"/>
      <w:ind w:left="431" w:hanging="255"/>
      <w:jc w:val="both"/>
    </w:pPr>
    <w:rPr>
      <w:rFonts w:eastAsia="Times New Roman" w:cs="Times New Roman"/>
      <w:szCs w:val="24"/>
    </w:rPr>
  </w:style>
  <w:style w:type="paragraph" w:customStyle="1" w:styleId="lit">
    <w:name w:val="lit"/>
    <w:basedOn w:val="Normalny"/>
    <w:rsid w:val="00E70AF6"/>
    <w:pPr>
      <w:spacing w:after="80"/>
      <w:ind w:left="1247" w:hanging="255"/>
      <w:jc w:val="both"/>
    </w:pPr>
    <w:rPr>
      <w:rFonts w:eastAsia="Times New Roman" w:cs="Times New Roman"/>
      <w:szCs w:val="24"/>
    </w:rPr>
  </w:style>
  <w:style w:type="character" w:customStyle="1" w:styleId="stylwiadomociemail15">
    <w:name w:val="stylwiadomociemail15"/>
    <w:basedOn w:val="Domylnaczcionkaakapitu"/>
    <w:rsid w:val="00E70AF6"/>
  </w:style>
  <w:style w:type="paragraph" w:customStyle="1" w:styleId="Tekstprzypisu">
    <w:name w:val="Tekst przypisu"/>
    <w:basedOn w:val="Default"/>
    <w:next w:val="Default"/>
    <w:rsid w:val="00E70AF6"/>
    <w:pPr>
      <w:spacing w:before="60" w:after="60"/>
    </w:pPr>
    <w:rPr>
      <w:rFonts w:eastAsia="Times New Roman"/>
      <w:color w:val="auto"/>
    </w:rPr>
  </w:style>
  <w:style w:type="paragraph" w:customStyle="1" w:styleId="Tekstpostawowy">
    <w:name w:val="Tekst postawowy"/>
    <w:basedOn w:val="Normalny"/>
    <w:rsid w:val="00E70AF6"/>
    <w:pPr>
      <w:autoSpaceDE w:val="0"/>
      <w:autoSpaceDN w:val="0"/>
      <w:adjustRightInd w:val="0"/>
      <w:ind w:left="1080"/>
      <w:jc w:val="both"/>
    </w:pPr>
    <w:rPr>
      <w:rFonts w:eastAsia="Times New Roman" w:cs="Times New Roman"/>
      <w:color w:val="000000"/>
      <w:szCs w:val="24"/>
    </w:rPr>
  </w:style>
  <w:style w:type="character" w:customStyle="1" w:styleId="TekstpostawowyZnak">
    <w:name w:val="Tekst postawowy Znak"/>
    <w:rsid w:val="00E70AF6"/>
    <w:rPr>
      <w:noProof w:val="0"/>
      <w:color w:val="000000"/>
      <w:sz w:val="24"/>
      <w:szCs w:val="24"/>
      <w:lang w:val="pl-PL" w:eastAsia="pl-PL" w:bidi="ar-SA"/>
    </w:rPr>
  </w:style>
  <w:style w:type="paragraph" w:customStyle="1" w:styleId="Wylicza">
    <w:name w:val="Wylicz a"/>
    <w:basedOn w:val="Normalny"/>
    <w:autoRedefine/>
    <w:rsid w:val="00E70AF6"/>
    <w:pPr>
      <w:autoSpaceDE w:val="0"/>
      <w:autoSpaceDN w:val="0"/>
      <w:adjustRightInd w:val="0"/>
      <w:ind w:left="1474"/>
    </w:pPr>
    <w:rPr>
      <w:rFonts w:eastAsia="Times New Roman" w:cs="Times New Roman"/>
      <w:color w:val="000000"/>
      <w:szCs w:val="24"/>
    </w:rPr>
  </w:style>
  <w:style w:type="paragraph" w:customStyle="1" w:styleId="StylAutomatycznyPierwszywiersz0cm">
    <w:name w:val="Styl Automatyczny Pierwszy wiersz:  0 cm"/>
    <w:basedOn w:val="Normalny"/>
    <w:autoRedefine/>
    <w:rsid w:val="00E70AF6"/>
    <w:pPr>
      <w:tabs>
        <w:tab w:val="center" w:pos="4536"/>
        <w:tab w:val="right" w:pos="9072"/>
      </w:tabs>
      <w:spacing w:before="60"/>
      <w:jc w:val="both"/>
    </w:pPr>
    <w:rPr>
      <w:rFonts w:eastAsia="Times New Roman" w:cs="Times New Roman"/>
    </w:rPr>
  </w:style>
  <w:style w:type="paragraph" w:customStyle="1" w:styleId="NormalnyAutomatyczny">
    <w:name w:val="Normalny + Automatyczny"/>
    <w:basedOn w:val="Nagwek2"/>
    <w:rsid w:val="00E70AF6"/>
    <w:pPr>
      <w:keepNext w:val="0"/>
      <w:numPr>
        <w:ilvl w:val="1"/>
      </w:numPr>
      <w:tabs>
        <w:tab w:val="num" w:pos="227"/>
        <w:tab w:val="center" w:pos="4536"/>
        <w:tab w:val="right" w:pos="9072"/>
      </w:tabs>
      <w:spacing w:before="120" w:after="0"/>
      <w:ind w:left="227" w:hanging="227"/>
      <w:jc w:val="both"/>
    </w:pPr>
    <w:rPr>
      <w:b w:val="0"/>
      <w:bCs w:val="0"/>
      <w:iCs w:val="0"/>
      <w:szCs w:val="24"/>
      <w:lang w:val="x-none"/>
    </w:rPr>
  </w:style>
  <w:style w:type="paragraph" w:customStyle="1" w:styleId="Znak">
    <w:name w:val="Znak"/>
    <w:basedOn w:val="Normalny"/>
    <w:rsid w:val="00E70AF6"/>
    <w:rPr>
      <w:rFonts w:eastAsia="Times New Roman" w:cs="Times New Roman"/>
      <w:szCs w:val="24"/>
    </w:rPr>
  </w:style>
  <w:style w:type="character" w:customStyle="1" w:styleId="TekstprzypisudolnegoZnak">
    <w:name w:val="Tekst przypisu dolnego Znak"/>
    <w:link w:val="Tekstprzypisudolnego"/>
    <w:semiHidden/>
    <w:rsid w:val="00E70AF6"/>
    <w:rPr>
      <w:rFonts w:eastAsia="Times New Roman"/>
      <w:color w:val="000000"/>
    </w:rPr>
  </w:style>
  <w:style w:type="paragraph" w:styleId="Tekstprzypisudolnego">
    <w:name w:val="footnote text"/>
    <w:basedOn w:val="Normalny"/>
    <w:link w:val="TekstprzypisudolnegoZnak"/>
    <w:semiHidden/>
    <w:rsid w:val="00E70AF6"/>
    <w:pPr>
      <w:tabs>
        <w:tab w:val="center" w:pos="4536"/>
        <w:tab w:val="right" w:pos="9072"/>
      </w:tabs>
      <w:spacing w:before="120"/>
      <w:ind w:firstLine="425"/>
      <w:jc w:val="both"/>
    </w:pPr>
    <w:rPr>
      <w:rFonts w:ascii="Calibri" w:eastAsia="Times New Roman" w:hAnsi="Calibri"/>
      <w:color w:val="000000"/>
      <w:sz w:val="20"/>
    </w:rPr>
  </w:style>
  <w:style w:type="character" w:customStyle="1" w:styleId="TekstprzypisudolnegoZnak1">
    <w:name w:val="Tekst przypisu dolnego Znak1"/>
    <w:uiPriority w:val="99"/>
    <w:semiHidden/>
    <w:rsid w:val="00E70AF6"/>
    <w:rPr>
      <w:rFonts w:ascii="Times New Roman" w:hAnsi="Times New Roman"/>
    </w:rPr>
  </w:style>
  <w:style w:type="character" w:customStyle="1" w:styleId="treZnak1">
    <w:name w:val="treść Znak1"/>
    <w:rsid w:val="00E70AF6"/>
    <w:rPr>
      <w:noProof w:val="0"/>
      <w:sz w:val="24"/>
      <w:szCs w:val="24"/>
      <w:lang w:val="pl-PL" w:eastAsia="pl-PL" w:bidi="ar-SA"/>
    </w:rPr>
  </w:style>
  <w:style w:type="paragraph" w:customStyle="1" w:styleId="PunktowanieFB">
    <w:name w:val="Punktowanie(FB)"/>
    <w:basedOn w:val="Normalny"/>
    <w:rsid w:val="00E70AF6"/>
    <w:pPr>
      <w:keepNext/>
      <w:widowControl w:val="0"/>
      <w:numPr>
        <w:numId w:val="159"/>
      </w:numPr>
      <w:tabs>
        <w:tab w:val="left" w:pos="340"/>
        <w:tab w:val="center" w:pos="4536"/>
        <w:tab w:val="right" w:pos="9072"/>
      </w:tabs>
      <w:spacing w:before="120"/>
      <w:jc w:val="both"/>
    </w:pPr>
    <w:rPr>
      <w:rFonts w:eastAsia="Times New Roman" w:cs="Times New Roman"/>
      <w:szCs w:val="24"/>
    </w:rPr>
  </w:style>
  <w:style w:type="paragraph" w:customStyle="1" w:styleId="Stylstyl0Przed6pt">
    <w:name w:val="Styl styl0 + Przed:  6 pt"/>
    <w:basedOn w:val="styl0"/>
    <w:rsid w:val="00E70AF6"/>
    <w:pPr>
      <w:spacing w:before="120"/>
    </w:pPr>
  </w:style>
  <w:style w:type="character" w:customStyle="1" w:styleId="st1">
    <w:name w:val="st1"/>
    <w:rsid w:val="00E70AF6"/>
  </w:style>
  <w:style w:type="character" w:styleId="Odwoanieprzypisudolnego">
    <w:name w:val="footnote reference"/>
    <w:semiHidden/>
    <w:rsid w:val="00E70AF6"/>
    <w:rPr>
      <w:vertAlign w:val="superscript"/>
    </w:rPr>
  </w:style>
  <w:style w:type="character" w:styleId="UyteHipercze">
    <w:name w:val="FollowedHyperlink"/>
    <w:uiPriority w:val="99"/>
    <w:unhideWhenUsed/>
    <w:rsid w:val="00E70AF6"/>
    <w:rPr>
      <w:color w:val="800080"/>
      <w:u w:val="single"/>
    </w:rPr>
  </w:style>
  <w:style w:type="paragraph" w:customStyle="1" w:styleId="xl63">
    <w:name w:val="xl63"/>
    <w:basedOn w:val="Normalny"/>
    <w:rsid w:val="00E70AF6"/>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eastAsia="Times New Roman" w:cs="Times New Roman"/>
      <w:szCs w:val="24"/>
    </w:rPr>
  </w:style>
  <w:style w:type="paragraph" w:customStyle="1" w:styleId="xl64">
    <w:name w:val="xl64"/>
    <w:basedOn w:val="Normalny"/>
    <w:rsid w:val="00E70AF6"/>
    <w:pPr>
      <w:pBdr>
        <w:top w:val="single" w:sz="8" w:space="0" w:color="auto"/>
      </w:pBdr>
      <w:shd w:val="clear" w:color="000000" w:fill="C0C0C0"/>
      <w:spacing w:before="100" w:beforeAutospacing="1" w:after="100" w:afterAutospacing="1"/>
      <w:jc w:val="center"/>
    </w:pPr>
    <w:rPr>
      <w:rFonts w:eastAsia="Times New Roman" w:cs="Times New Roman"/>
      <w:szCs w:val="24"/>
    </w:rPr>
  </w:style>
  <w:style w:type="paragraph" w:customStyle="1" w:styleId="xl65">
    <w:name w:val="xl65"/>
    <w:basedOn w:val="Normalny"/>
    <w:rsid w:val="00E70AF6"/>
    <w:pPr>
      <w:pBdr>
        <w:top w:val="single" w:sz="8" w:space="0" w:color="auto"/>
        <w:left w:val="single" w:sz="8" w:space="0" w:color="auto"/>
      </w:pBdr>
      <w:shd w:val="clear" w:color="000000" w:fill="C0C0C0"/>
      <w:spacing w:before="100" w:beforeAutospacing="1" w:after="100" w:afterAutospacing="1"/>
      <w:jc w:val="center"/>
    </w:pPr>
    <w:rPr>
      <w:rFonts w:eastAsia="Times New Roman" w:cs="Times New Roman"/>
      <w:szCs w:val="24"/>
    </w:rPr>
  </w:style>
  <w:style w:type="paragraph" w:customStyle="1" w:styleId="xl66">
    <w:name w:val="xl66"/>
    <w:basedOn w:val="Normalny"/>
    <w:rsid w:val="00E70AF6"/>
    <w:pPr>
      <w:pBdr>
        <w:top w:val="single" w:sz="8" w:space="0" w:color="auto"/>
        <w:right w:val="single" w:sz="8" w:space="0" w:color="auto"/>
      </w:pBdr>
      <w:shd w:val="clear" w:color="000000" w:fill="C0C0C0"/>
      <w:spacing w:before="100" w:beforeAutospacing="1" w:after="100" w:afterAutospacing="1"/>
      <w:jc w:val="center"/>
    </w:pPr>
    <w:rPr>
      <w:rFonts w:eastAsia="Times New Roman" w:cs="Times New Roman"/>
      <w:szCs w:val="24"/>
    </w:rPr>
  </w:style>
  <w:style w:type="paragraph" w:customStyle="1" w:styleId="xl67">
    <w:name w:val="xl67"/>
    <w:basedOn w:val="Normalny"/>
    <w:rsid w:val="00E70AF6"/>
    <w:pPr>
      <w:pBdr>
        <w:left w:val="single" w:sz="8" w:space="0" w:color="auto"/>
        <w:bottom w:val="single" w:sz="8" w:space="0" w:color="auto"/>
        <w:right w:val="single" w:sz="8" w:space="0" w:color="auto"/>
      </w:pBdr>
      <w:shd w:val="clear" w:color="000000" w:fill="C0C0C0"/>
      <w:spacing w:before="100" w:beforeAutospacing="1" w:after="100" w:afterAutospacing="1"/>
    </w:pPr>
    <w:rPr>
      <w:rFonts w:eastAsia="Times New Roman" w:cs="Times New Roman"/>
      <w:szCs w:val="24"/>
    </w:rPr>
  </w:style>
  <w:style w:type="paragraph" w:customStyle="1" w:styleId="xl68">
    <w:name w:val="xl68"/>
    <w:basedOn w:val="Normalny"/>
    <w:rsid w:val="00E70AF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eastAsia="Times New Roman" w:cs="Times New Roman"/>
      <w:szCs w:val="24"/>
    </w:rPr>
  </w:style>
  <w:style w:type="paragraph" w:customStyle="1" w:styleId="xl69">
    <w:name w:val="xl69"/>
    <w:basedOn w:val="Normalny"/>
    <w:rsid w:val="00E70AF6"/>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eastAsia="Times New Roman" w:cs="Times New Roman"/>
      <w:szCs w:val="24"/>
    </w:rPr>
  </w:style>
  <w:style w:type="paragraph" w:customStyle="1" w:styleId="xl70">
    <w:name w:val="xl70"/>
    <w:basedOn w:val="Normalny"/>
    <w:rsid w:val="00E70AF6"/>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eastAsia="Times New Roman" w:cs="Times New Roman"/>
      <w:szCs w:val="24"/>
    </w:rPr>
  </w:style>
  <w:style w:type="paragraph" w:customStyle="1" w:styleId="xl71">
    <w:name w:val="xl71"/>
    <w:basedOn w:val="Normalny"/>
    <w:rsid w:val="00E70AF6"/>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72">
    <w:name w:val="xl72"/>
    <w:basedOn w:val="Normalny"/>
    <w:rsid w:val="00E70AF6"/>
    <w:pPr>
      <w:pBdr>
        <w:top w:val="single" w:sz="8" w:space="0" w:color="auto"/>
        <w:left w:val="single" w:sz="4" w:space="0" w:color="auto"/>
        <w:bottom w:val="single" w:sz="4" w:space="0" w:color="auto"/>
        <w:right w:val="single" w:sz="8" w:space="0" w:color="auto"/>
      </w:pBdr>
      <w:spacing w:before="100" w:beforeAutospacing="1" w:after="100" w:afterAutospacing="1"/>
    </w:pPr>
    <w:rPr>
      <w:rFonts w:eastAsia="Times New Roman" w:cs="Times New Roman"/>
      <w:szCs w:val="24"/>
    </w:rPr>
  </w:style>
  <w:style w:type="paragraph" w:customStyle="1" w:styleId="xl73">
    <w:name w:val="xl73"/>
    <w:basedOn w:val="Normalny"/>
    <w:rsid w:val="00E70AF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74">
    <w:name w:val="xl74"/>
    <w:basedOn w:val="Normalny"/>
    <w:rsid w:val="00E70AF6"/>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s="Times New Roman"/>
      <w:szCs w:val="24"/>
    </w:rPr>
  </w:style>
  <w:style w:type="paragraph" w:customStyle="1" w:styleId="xl75">
    <w:name w:val="xl75"/>
    <w:basedOn w:val="Normalny"/>
    <w:rsid w:val="00E70AF6"/>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Times New Roman"/>
      <w:szCs w:val="24"/>
    </w:rPr>
  </w:style>
  <w:style w:type="paragraph" w:customStyle="1" w:styleId="xl76">
    <w:name w:val="xl76"/>
    <w:basedOn w:val="Normalny"/>
    <w:rsid w:val="00E70AF6"/>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Times New Roman" w:cs="Times New Roman"/>
      <w:szCs w:val="24"/>
    </w:rPr>
  </w:style>
  <w:style w:type="paragraph" w:customStyle="1" w:styleId="xl77">
    <w:name w:val="xl77"/>
    <w:basedOn w:val="Normalny"/>
    <w:rsid w:val="00E70AF6"/>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78">
    <w:name w:val="xl78"/>
    <w:basedOn w:val="Normalny"/>
    <w:rsid w:val="00E70AF6"/>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79">
    <w:name w:val="xl79"/>
    <w:basedOn w:val="Normalny"/>
    <w:rsid w:val="00E70AF6"/>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Times New Roman" w:cs="Times New Roman"/>
      <w:szCs w:val="24"/>
    </w:rPr>
  </w:style>
  <w:style w:type="paragraph" w:customStyle="1" w:styleId="xl80">
    <w:name w:val="xl80"/>
    <w:basedOn w:val="Normalny"/>
    <w:rsid w:val="00E70AF6"/>
    <w:pPr>
      <w:pBdr>
        <w:top w:val="single" w:sz="8" w:space="0" w:color="auto"/>
        <w:left w:val="single" w:sz="8" w:space="0" w:color="auto"/>
        <w:bottom w:val="single" w:sz="4" w:space="0" w:color="auto"/>
        <w:right w:val="single" w:sz="8" w:space="0" w:color="auto"/>
      </w:pBdr>
      <w:spacing w:before="100" w:beforeAutospacing="1" w:after="100" w:afterAutospacing="1"/>
    </w:pPr>
    <w:rPr>
      <w:rFonts w:eastAsia="Times New Roman" w:cs="Times New Roman"/>
      <w:szCs w:val="24"/>
    </w:rPr>
  </w:style>
  <w:style w:type="paragraph" w:customStyle="1" w:styleId="xl81">
    <w:name w:val="xl81"/>
    <w:basedOn w:val="Normalny"/>
    <w:rsid w:val="00E70AF6"/>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Times New Roman" w:cs="Times New Roman"/>
      <w:szCs w:val="24"/>
    </w:rPr>
  </w:style>
  <w:style w:type="paragraph" w:customStyle="1" w:styleId="xl82">
    <w:name w:val="xl82"/>
    <w:basedOn w:val="Normalny"/>
    <w:rsid w:val="00E70AF6"/>
    <w:pPr>
      <w:pBdr>
        <w:top w:val="single" w:sz="4" w:space="0" w:color="auto"/>
        <w:left w:val="single" w:sz="8" w:space="0" w:color="auto"/>
        <w:bottom w:val="single" w:sz="8" w:space="0" w:color="auto"/>
        <w:right w:val="single" w:sz="8" w:space="0" w:color="auto"/>
      </w:pBdr>
      <w:spacing w:before="100" w:beforeAutospacing="1" w:after="100" w:afterAutospacing="1"/>
    </w:pPr>
    <w:rPr>
      <w:rFonts w:eastAsia="Times New Roman" w:cs="Times New Roman"/>
      <w:szCs w:val="24"/>
    </w:rPr>
  </w:style>
  <w:style w:type="paragraph" w:styleId="Bezodstpw">
    <w:name w:val="No Spacing"/>
    <w:uiPriority w:val="1"/>
    <w:qFormat/>
    <w:rsid w:val="00E70AF6"/>
    <w:pPr>
      <w:tabs>
        <w:tab w:val="center" w:pos="4536"/>
        <w:tab w:val="right" w:pos="9072"/>
      </w:tabs>
      <w:ind w:firstLine="425"/>
      <w:jc w:val="both"/>
    </w:pPr>
    <w:rPr>
      <w:rFonts w:ascii="Times New Roman" w:eastAsia="Times New Roman" w:hAnsi="Times New Roman" w:cs="Times New Roman"/>
      <w:color w:val="000000"/>
      <w:sz w:val="24"/>
    </w:rPr>
  </w:style>
  <w:style w:type="paragraph" w:customStyle="1" w:styleId="xl83">
    <w:name w:val="xl83"/>
    <w:basedOn w:val="Normalny"/>
    <w:rsid w:val="00E70AF6"/>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Times New Roman" w:cs="Times New Roman"/>
      <w:szCs w:val="24"/>
    </w:rPr>
  </w:style>
  <w:style w:type="paragraph" w:customStyle="1" w:styleId="xl84">
    <w:name w:val="xl84"/>
    <w:basedOn w:val="Normalny"/>
    <w:rsid w:val="00E70AF6"/>
    <w:pPr>
      <w:pBdr>
        <w:top w:val="single" w:sz="4" w:space="0" w:color="auto"/>
        <w:left w:val="single" w:sz="8" w:space="0" w:color="auto"/>
        <w:bottom w:val="single" w:sz="8" w:space="0" w:color="auto"/>
        <w:right w:val="single" w:sz="8" w:space="0" w:color="auto"/>
      </w:pBdr>
      <w:spacing w:before="100" w:beforeAutospacing="1" w:after="100" w:afterAutospacing="1"/>
    </w:pPr>
    <w:rPr>
      <w:rFonts w:eastAsia="Times New Roman" w:cs="Times New Roman"/>
      <w:szCs w:val="24"/>
    </w:rPr>
  </w:style>
  <w:style w:type="paragraph" w:customStyle="1" w:styleId="CM24">
    <w:name w:val="CM24"/>
    <w:basedOn w:val="Default"/>
    <w:next w:val="Default"/>
    <w:rsid w:val="00E70AF6"/>
    <w:pPr>
      <w:widowControl w:val="0"/>
      <w:spacing w:after="208"/>
    </w:pPr>
    <w:rPr>
      <w:rFonts w:ascii="Times" w:eastAsia="Times New Roman" w:hAnsi="Times" w:cs="Times"/>
      <w:color w:val="auto"/>
    </w:rPr>
  </w:style>
  <w:style w:type="paragraph" w:customStyle="1" w:styleId="CM23">
    <w:name w:val="CM23"/>
    <w:basedOn w:val="Default"/>
    <w:next w:val="Default"/>
    <w:rsid w:val="00E70AF6"/>
    <w:pPr>
      <w:widowControl w:val="0"/>
      <w:spacing w:after="98"/>
    </w:pPr>
    <w:rPr>
      <w:rFonts w:ascii="Times" w:eastAsia="Times New Roman" w:hAnsi="Times" w:cs="Times"/>
      <w:color w:val="auto"/>
    </w:rPr>
  </w:style>
  <w:style w:type="paragraph" w:customStyle="1" w:styleId="CM4">
    <w:name w:val="CM4"/>
    <w:basedOn w:val="Default"/>
    <w:next w:val="Default"/>
    <w:rsid w:val="00E70AF6"/>
    <w:pPr>
      <w:widowControl w:val="0"/>
      <w:spacing w:line="200" w:lineRule="atLeast"/>
    </w:pPr>
    <w:rPr>
      <w:rFonts w:ascii="Times" w:eastAsia="Times New Roman" w:hAnsi="Times" w:cs="Times"/>
      <w:color w:val="auto"/>
    </w:rPr>
  </w:style>
  <w:style w:type="paragraph" w:customStyle="1" w:styleId="CM6">
    <w:name w:val="CM6"/>
    <w:basedOn w:val="Default"/>
    <w:next w:val="Default"/>
    <w:rsid w:val="00E70AF6"/>
    <w:pPr>
      <w:widowControl w:val="0"/>
      <w:spacing w:line="200" w:lineRule="atLeast"/>
    </w:pPr>
    <w:rPr>
      <w:rFonts w:ascii="Times" w:eastAsia="Times New Roman" w:hAnsi="Times" w:cs="Times"/>
      <w:color w:val="auto"/>
    </w:rPr>
  </w:style>
  <w:style w:type="paragraph" w:customStyle="1" w:styleId="CM25">
    <w:name w:val="CM25"/>
    <w:basedOn w:val="Default"/>
    <w:next w:val="Default"/>
    <w:rsid w:val="00E70AF6"/>
    <w:pPr>
      <w:widowControl w:val="0"/>
      <w:spacing w:after="120"/>
    </w:pPr>
    <w:rPr>
      <w:rFonts w:ascii="Times" w:eastAsia="Times New Roman" w:hAnsi="Times" w:cs="Times"/>
      <w:color w:val="auto"/>
    </w:rPr>
  </w:style>
  <w:style w:type="paragraph" w:styleId="Legenda">
    <w:name w:val="caption"/>
    <w:basedOn w:val="Normalny"/>
    <w:next w:val="Normalny"/>
    <w:qFormat/>
    <w:rsid w:val="00E70AF6"/>
    <w:pPr>
      <w:spacing w:after="60"/>
    </w:pPr>
    <w:rPr>
      <w:rFonts w:ascii="Arial" w:eastAsia="Times New Roman" w:hAnsi="Arial" w:cs="Times New Roman"/>
      <w:b/>
      <w:i/>
      <w:sz w:val="16"/>
      <w:szCs w:val="24"/>
    </w:rPr>
  </w:style>
  <w:style w:type="character" w:customStyle="1" w:styleId="Teksttreci">
    <w:name w:val="Tekst treści_"/>
    <w:link w:val="Teksttreci0"/>
    <w:rsid w:val="00E70AF6"/>
    <w:rPr>
      <w:rFonts w:eastAsia="Times New Roman"/>
      <w:sz w:val="23"/>
      <w:szCs w:val="23"/>
      <w:shd w:val="clear" w:color="auto" w:fill="FFFFFF"/>
    </w:rPr>
  </w:style>
  <w:style w:type="paragraph" w:customStyle="1" w:styleId="Teksttreci0">
    <w:name w:val="Tekst treści"/>
    <w:basedOn w:val="Normalny"/>
    <w:link w:val="Teksttreci"/>
    <w:rsid w:val="00E70AF6"/>
    <w:pPr>
      <w:widowControl w:val="0"/>
      <w:shd w:val="clear" w:color="auto" w:fill="FFFFFF"/>
      <w:spacing w:before="540" w:after="540" w:line="0" w:lineRule="atLeast"/>
      <w:ind w:hanging="1460"/>
      <w:jc w:val="both"/>
    </w:pPr>
    <w:rPr>
      <w:rFonts w:ascii="Calibri" w:eastAsia="Times New Roman" w:hAnsi="Calibri"/>
      <w:sz w:val="23"/>
      <w:szCs w:val="23"/>
    </w:rPr>
  </w:style>
  <w:style w:type="character" w:customStyle="1" w:styleId="Teksttreci105pt">
    <w:name w:val="Tekst treści + 10;5 pt"/>
    <w:rsid w:val="00E70AF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pl-PL"/>
    </w:rPr>
  </w:style>
  <w:style w:type="character" w:customStyle="1" w:styleId="TeksttreciKursywa">
    <w:name w:val="Tekst treści + Kursywa"/>
    <w:rsid w:val="00E70AF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pl-PL"/>
    </w:rPr>
  </w:style>
  <w:style w:type="table" w:customStyle="1" w:styleId="Styl20">
    <w:name w:val="Styl2"/>
    <w:basedOn w:val="Standardowy"/>
    <w:rsid w:val="00E70AF6"/>
    <w:rPr>
      <w:rFonts w:ascii="Times New Roman" w:eastAsia="SimSun" w:hAnsi="Times New Roman" w:cs="Times New Roman"/>
    </w:rPr>
    <w:tblPr/>
  </w:style>
  <w:style w:type="character" w:styleId="Uwydatnienie">
    <w:name w:val="Emphasis"/>
    <w:uiPriority w:val="20"/>
    <w:qFormat/>
    <w:rsid w:val="00E70AF6"/>
    <w:rPr>
      <w:i/>
      <w:iCs/>
    </w:rPr>
  </w:style>
  <w:style w:type="character" w:styleId="Pogrubienie">
    <w:name w:val="Strong"/>
    <w:uiPriority w:val="22"/>
    <w:qFormat/>
    <w:rsid w:val="00E70AF6"/>
    <w:rPr>
      <w:b/>
      <w:bCs/>
    </w:rPr>
  </w:style>
  <w:style w:type="paragraph" w:customStyle="1" w:styleId="TableParagraph">
    <w:name w:val="Table Paragraph"/>
    <w:basedOn w:val="Normalny"/>
    <w:uiPriority w:val="1"/>
    <w:qFormat/>
    <w:rsid w:val="00E70AF6"/>
    <w:pPr>
      <w:widowControl w:val="0"/>
      <w:autoSpaceDE w:val="0"/>
      <w:autoSpaceDN w:val="0"/>
      <w:ind w:left="136"/>
      <w:jc w:val="both"/>
    </w:pPr>
    <w:rPr>
      <w:rFonts w:eastAsia="Times New Roman" w:cs="Times New Roman"/>
      <w:sz w:val="22"/>
      <w:szCs w:val="22"/>
      <w:lang w:bidi="pl-PL"/>
    </w:rPr>
  </w:style>
  <w:style w:type="paragraph" w:styleId="Lista">
    <w:name w:val="List"/>
    <w:basedOn w:val="Normalny"/>
    <w:uiPriority w:val="99"/>
    <w:unhideWhenUsed/>
    <w:rsid w:val="00E70AF6"/>
    <w:pPr>
      <w:ind w:left="283" w:hanging="283"/>
      <w:contextualSpacing/>
    </w:pPr>
    <w:rPr>
      <w:rFonts w:eastAsia="SimSun" w:cs="Times New Roman"/>
      <w:szCs w:val="24"/>
      <w:lang w:eastAsia="zh-CN"/>
    </w:rPr>
  </w:style>
  <w:style w:type="character" w:styleId="Nierozpoznanawzmianka">
    <w:name w:val="Unresolved Mention"/>
    <w:basedOn w:val="Domylnaczcionkaakapitu"/>
    <w:uiPriority w:val="99"/>
    <w:semiHidden/>
    <w:unhideWhenUsed/>
    <w:rsid w:val="009E49B3"/>
    <w:rPr>
      <w:color w:val="605E5C"/>
      <w:shd w:val="clear" w:color="auto" w:fill="E1DFDD"/>
    </w:rPr>
  </w:style>
  <w:style w:type="character" w:styleId="Tekstzastpczy">
    <w:name w:val="Placeholder Text"/>
    <w:basedOn w:val="Domylnaczcionkaakapitu"/>
    <w:uiPriority w:val="99"/>
    <w:semiHidden/>
    <w:rsid w:val="006D5F0D"/>
    <w:rPr>
      <w:color w:val="808080"/>
    </w:rPr>
  </w:style>
  <w:style w:type="character" w:customStyle="1" w:styleId="ZnakZnak20">
    <w:name w:val="Znak Znak2"/>
    <w:rsid w:val="007B5823"/>
    <w:rPr>
      <w:rFonts w:ascii="Arial" w:hAnsi="Arial" w:cs="Arial"/>
      <w:b/>
      <w:bCs/>
      <w:i/>
      <w:iCs/>
      <w:noProof w:val="0"/>
      <w:sz w:val="28"/>
      <w:szCs w:val="28"/>
      <w:lang w:val="pl-PL" w:eastAsia="pl-PL" w:bidi="ar-SA"/>
    </w:rPr>
  </w:style>
  <w:style w:type="character" w:customStyle="1" w:styleId="ZnakZnak10">
    <w:name w:val="Znak Znak1"/>
    <w:rsid w:val="007B5823"/>
    <w:rPr>
      <w:noProof w:val="0"/>
      <w:sz w:val="24"/>
      <w:szCs w:val="24"/>
      <w:lang w:val="pl-PL" w:eastAsia="pl-PL" w:bidi="ar-SA"/>
    </w:rPr>
  </w:style>
  <w:style w:type="character" w:customStyle="1" w:styleId="ZnakZnak21">
    <w:name w:val="Znak Znak2"/>
    <w:rsid w:val="00A72E84"/>
    <w:rPr>
      <w:rFonts w:ascii="Arial" w:hAnsi="Arial" w:cs="Arial"/>
      <w:b/>
      <w:bCs/>
      <w:i/>
      <w:iCs/>
      <w:noProof w:val="0"/>
      <w:sz w:val="28"/>
      <w:szCs w:val="28"/>
      <w:lang w:val="pl-PL" w:eastAsia="pl-PL" w:bidi="ar-SA"/>
    </w:rPr>
  </w:style>
  <w:style w:type="character" w:customStyle="1" w:styleId="ZnakZnak11">
    <w:name w:val="Znak Znak1"/>
    <w:rsid w:val="00A72E84"/>
    <w:rPr>
      <w:noProof w:val="0"/>
      <w:sz w:val="24"/>
      <w:szCs w:val="24"/>
      <w:lang w:val="pl-PL" w:eastAsia="pl-PL" w:bidi="ar-SA"/>
    </w:rPr>
  </w:style>
  <w:style w:type="character" w:customStyle="1" w:styleId="ZnakZnak22">
    <w:name w:val="Znak Znak2"/>
    <w:rsid w:val="00051FAD"/>
    <w:rPr>
      <w:rFonts w:ascii="Arial" w:hAnsi="Arial" w:cs="Arial"/>
      <w:b/>
      <w:bCs/>
      <w:i/>
      <w:iCs/>
      <w:noProof w:val="0"/>
      <w:sz w:val="28"/>
      <w:szCs w:val="28"/>
      <w:lang w:val="pl-PL" w:eastAsia="pl-PL" w:bidi="ar-SA"/>
    </w:rPr>
  </w:style>
  <w:style w:type="character" w:customStyle="1" w:styleId="ZnakZnak12">
    <w:name w:val="Znak Znak1"/>
    <w:rsid w:val="00051FAD"/>
    <w:rPr>
      <w:noProof w:val="0"/>
      <w:sz w:val="24"/>
      <w:szCs w:val="24"/>
      <w:lang w:val="pl-PL" w:eastAsia="pl-PL" w:bidi="ar-SA"/>
    </w:rPr>
  </w:style>
  <w:style w:type="table" w:customStyle="1" w:styleId="TableNormal">
    <w:name w:val="Table Normal"/>
    <w:uiPriority w:val="2"/>
    <w:semiHidden/>
    <w:unhideWhenUsed/>
    <w:qFormat/>
    <w:rsid w:val="00051FA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51FA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51FA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51FA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Lista2">
    <w:name w:val="List 2"/>
    <w:basedOn w:val="Normalny"/>
    <w:uiPriority w:val="99"/>
    <w:unhideWhenUsed/>
    <w:rsid w:val="00051FAD"/>
    <w:pPr>
      <w:ind w:left="566" w:hanging="283"/>
      <w:contextualSpacing/>
    </w:pPr>
    <w:rPr>
      <w:rFonts w:ascii="Calibri" w:hAnsi="Calibri"/>
      <w:sz w:val="20"/>
    </w:rPr>
  </w:style>
  <w:style w:type="paragraph" w:styleId="Lista3">
    <w:name w:val="List 3"/>
    <w:basedOn w:val="Normalny"/>
    <w:uiPriority w:val="99"/>
    <w:unhideWhenUsed/>
    <w:rsid w:val="00051FAD"/>
    <w:pPr>
      <w:ind w:left="849" w:hanging="283"/>
      <w:contextualSpacing/>
    </w:pPr>
    <w:rPr>
      <w:rFonts w:ascii="Calibri" w:hAnsi="Calibri"/>
      <w:sz w:val="20"/>
    </w:rPr>
  </w:style>
  <w:style w:type="paragraph" w:styleId="Lista4">
    <w:name w:val="List 4"/>
    <w:basedOn w:val="Normalny"/>
    <w:uiPriority w:val="99"/>
    <w:unhideWhenUsed/>
    <w:rsid w:val="00051FAD"/>
    <w:pPr>
      <w:ind w:left="1132" w:hanging="283"/>
      <w:contextualSpacing/>
    </w:pPr>
    <w:rPr>
      <w:rFonts w:ascii="Calibri" w:hAnsi="Calibri"/>
      <w:sz w:val="20"/>
    </w:rPr>
  </w:style>
  <w:style w:type="paragraph" w:styleId="Lista5">
    <w:name w:val="List 5"/>
    <w:basedOn w:val="Normalny"/>
    <w:uiPriority w:val="99"/>
    <w:unhideWhenUsed/>
    <w:rsid w:val="00051FAD"/>
    <w:pPr>
      <w:ind w:left="1415" w:hanging="283"/>
      <w:contextualSpacing/>
    </w:pPr>
    <w:rPr>
      <w:rFonts w:ascii="Calibri" w:hAnsi="Calibri"/>
      <w:sz w:val="20"/>
    </w:rPr>
  </w:style>
  <w:style w:type="paragraph" w:styleId="Listapunktowana3">
    <w:name w:val="List Bullet 3"/>
    <w:basedOn w:val="Normalny"/>
    <w:uiPriority w:val="99"/>
    <w:unhideWhenUsed/>
    <w:rsid w:val="00051FAD"/>
    <w:pPr>
      <w:numPr>
        <w:numId w:val="325"/>
      </w:numPr>
      <w:contextualSpacing/>
    </w:pPr>
    <w:rPr>
      <w:rFonts w:ascii="Calibri" w:hAnsi="Calibri"/>
      <w:sz w:val="20"/>
    </w:rPr>
  </w:style>
  <w:style w:type="paragraph" w:styleId="Listapunktowana5">
    <w:name w:val="List Bullet 5"/>
    <w:basedOn w:val="Normalny"/>
    <w:uiPriority w:val="99"/>
    <w:unhideWhenUsed/>
    <w:rsid w:val="00051FAD"/>
    <w:pPr>
      <w:numPr>
        <w:numId w:val="326"/>
      </w:numPr>
      <w:contextualSpacing/>
    </w:pPr>
    <w:rPr>
      <w:rFonts w:ascii="Calibri" w:hAnsi="Calibri"/>
      <w:sz w:val="20"/>
    </w:rPr>
  </w:style>
  <w:style w:type="paragraph" w:styleId="Lista-kontynuacja">
    <w:name w:val="List Continue"/>
    <w:basedOn w:val="Normalny"/>
    <w:uiPriority w:val="99"/>
    <w:unhideWhenUsed/>
    <w:rsid w:val="00051FAD"/>
    <w:pPr>
      <w:spacing w:after="120"/>
      <w:ind w:left="283"/>
      <w:contextualSpacing/>
    </w:pPr>
    <w:rPr>
      <w:rFonts w:ascii="Calibri" w:hAnsi="Calibri"/>
      <w:sz w:val="20"/>
    </w:rPr>
  </w:style>
  <w:style w:type="paragraph" w:styleId="Lista-kontynuacja2">
    <w:name w:val="List Continue 2"/>
    <w:basedOn w:val="Normalny"/>
    <w:uiPriority w:val="99"/>
    <w:unhideWhenUsed/>
    <w:rsid w:val="00051FAD"/>
    <w:pPr>
      <w:spacing w:after="120"/>
      <w:ind w:left="566"/>
      <w:contextualSpacing/>
    </w:pPr>
    <w:rPr>
      <w:rFonts w:ascii="Calibri" w:hAnsi="Calibri"/>
      <w:sz w:val="20"/>
    </w:rPr>
  </w:style>
  <w:style w:type="paragraph" w:styleId="Lista-kontynuacja3">
    <w:name w:val="List Continue 3"/>
    <w:basedOn w:val="Normalny"/>
    <w:uiPriority w:val="99"/>
    <w:unhideWhenUsed/>
    <w:rsid w:val="00051FAD"/>
    <w:pPr>
      <w:spacing w:after="120"/>
      <w:ind w:left="849"/>
      <w:contextualSpacing/>
    </w:pPr>
    <w:rPr>
      <w:rFonts w:ascii="Calibri" w:hAnsi="Calibri"/>
      <w:sz w:val="20"/>
    </w:rPr>
  </w:style>
  <w:style w:type="paragraph" w:styleId="Lista-kontynuacja4">
    <w:name w:val="List Continue 4"/>
    <w:basedOn w:val="Normalny"/>
    <w:uiPriority w:val="99"/>
    <w:unhideWhenUsed/>
    <w:rsid w:val="00051FAD"/>
    <w:pPr>
      <w:spacing w:after="120"/>
      <w:ind w:left="1132"/>
      <w:contextualSpacing/>
    </w:pPr>
    <w:rPr>
      <w:rFonts w:ascii="Calibri" w:hAnsi="Calibri"/>
      <w:sz w:val="20"/>
    </w:rPr>
  </w:style>
  <w:style w:type="paragraph" w:styleId="Podtytu">
    <w:name w:val="Subtitle"/>
    <w:basedOn w:val="Normalny"/>
    <w:next w:val="Normalny"/>
    <w:link w:val="PodtytuZnak"/>
    <w:uiPriority w:val="11"/>
    <w:qFormat/>
    <w:rsid w:val="00051FAD"/>
    <w:pPr>
      <w:spacing w:after="60"/>
      <w:jc w:val="center"/>
      <w:outlineLvl w:val="1"/>
    </w:pPr>
    <w:rPr>
      <w:rFonts w:ascii="Calibri Light" w:eastAsia="Times New Roman" w:hAnsi="Calibri Light" w:cs="Times New Roman"/>
      <w:szCs w:val="24"/>
    </w:rPr>
  </w:style>
  <w:style w:type="character" w:customStyle="1" w:styleId="PodtytuZnak">
    <w:name w:val="Podtytuł Znak"/>
    <w:basedOn w:val="Domylnaczcionkaakapitu"/>
    <w:link w:val="Podtytu"/>
    <w:uiPriority w:val="11"/>
    <w:rsid w:val="00051FAD"/>
    <w:rPr>
      <w:rFonts w:ascii="Calibri Light" w:eastAsia="Times New Roman" w:hAnsi="Calibri Light" w:cs="Times New Roman"/>
      <w:sz w:val="24"/>
      <w:szCs w:val="24"/>
    </w:rPr>
  </w:style>
  <w:style w:type="paragraph" w:styleId="Tekstpodstawowyzwciciem2">
    <w:name w:val="Body Text First Indent 2"/>
    <w:basedOn w:val="Tekstpodstawowywcity"/>
    <w:link w:val="Tekstpodstawowyzwciciem2Znak"/>
    <w:uiPriority w:val="99"/>
    <w:unhideWhenUsed/>
    <w:rsid w:val="00051FAD"/>
    <w:pPr>
      <w:tabs>
        <w:tab w:val="clear" w:pos="1370"/>
      </w:tabs>
      <w:spacing w:before="0" w:after="120"/>
      <w:ind w:left="283" w:firstLine="210"/>
      <w:jc w:val="left"/>
    </w:pPr>
    <w:rPr>
      <w:rFonts w:ascii="Calibri" w:eastAsia="Calibri" w:hAnsi="Calibri" w:cs="Arial"/>
      <w:color w:val="auto"/>
      <w:sz w:val="20"/>
      <w:lang w:val="pl-PL" w:eastAsia="pl-PL"/>
    </w:rPr>
  </w:style>
  <w:style w:type="character" w:customStyle="1" w:styleId="Tekstpodstawowyzwciciem2Znak">
    <w:name w:val="Tekst podstawowy z wcięciem 2 Znak"/>
    <w:basedOn w:val="TekstpodstawowywcityZnak"/>
    <w:link w:val="Tekstpodstawowyzwciciem2"/>
    <w:uiPriority w:val="99"/>
    <w:rsid w:val="00051FAD"/>
    <w:rPr>
      <w:rFonts w:ascii="Times New Roman" w:eastAsia="Times New Roman" w:hAnsi="Times New Roman" w:cs="Times New Roman"/>
      <w:color w:val="FF0000"/>
      <w:sz w:val="24"/>
      <w:lang w:val="x-none" w:eastAsia="x-none"/>
    </w:rPr>
  </w:style>
  <w:style w:type="paragraph" w:styleId="Nagweknotatki">
    <w:name w:val="Note Heading"/>
    <w:basedOn w:val="Normalny"/>
    <w:next w:val="Normalny"/>
    <w:link w:val="NagweknotatkiZnak"/>
    <w:uiPriority w:val="99"/>
    <w:unhideWhenUsed/>
    <w:rsid w:val="00051FAD"/>
    <w:rPr>
      <w:rFonts w:ascii="Calibri" w:hAnsi="Calibri"/>
      <w:sz w:val="20"/>
    </w:rPr>
  </w:style>
  <w:style w:type="character" w:customStyle="1" w:styleId="NagweknotatkiZnak">
    <w:name w:val="Nagłówek notatki Znak"/>
    <w:basedOn w:val="Domylnaczcionkaakapitu"/>
    <w:link w:val="Nagweknotatki"/>
    <w:uiPriority w:val="99"/>
    <w:rsid w:val="00051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499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w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g.com.pl"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erg.com.pl"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60F82-80A6-45E3-A7C1-AF51D575F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2229</TotalTime>
  <Pages>1</Pages>
  <Words>74877</Words>
  <Characters>449262</Characters>
  <Application>Microsoft Office Word</Application>
  <DocSecurity>0</DocSecurity>
  <Lines>3743</Lines>
  <Paragraphs>1046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523093</CharactersWithSpaces>
  <SharedDoc>false</SharedDoc>
  <HLinks>
    <vt:vector size="444" baseType="variant">
      <vt:variant>
        <vt:i4>131141</vt:i4>
      </vt:variant>
      <vt:variant>
        <vt:i4>438</vt:i4>
      </vt:variant>
      <vt:variant>
        <vt:i4>0</vt:i4>
      </vt:variant>
      <vt:variant>
        <vt:i4>5</vt:i4>
      </vt:variant>
      <vt:variant>
        <vt:lpwstr>https://www.boryszew.com.pl/</vt:lpwstr>
      </vt:variant>
      <vt:variant>
        <vt:lpwstr/>
      </vt:variant>
      <vt:variant>
        <vt:i4>131141</vt:i4>
      </vt:variant>
      <vt:variant>
        <vt:i4>435</vt:i4>
      </vt:variant>
      <vt:variant>
        <vt:i4>0</vt:i4>
      </vt:variant>
      <vt:variant>
        <vt:i4>5</vt:i4>
      </vt:variant>
      <vt:variant>
        <vt:lpwstr>https://www.boryszew.com.pl/</vt:lpwstr>
      </vt:variant>
      <vt:variant>
        <vt:lpwstr/>
      </vt:variant>
      <vt:variant>
        <vt:i4>1507381</vt:i4>
      </vt:variant>
      <vt:variant>
        <vt:i4>428</vt:i4>
      </vt:variant>
      <vt:variant>
        <vt:i4>0</vt:i4>
      </vt:variant>
      <vt:variant>
        <vt:i4>5</vt:i4>
      </vt:variant>
      <vt:variant>
        <vt:lpwstr/>
      </vt:variant>
      <vt:variant>
        <vt:lpwstr>_Toc59450448</vt:lpwstr>
      </vt:variant>
      <vt:variant>
        <vt:i4>1572917</vt:i4>
      </vt:variant>
      <vt:variant>
        <vt:i4>422</vt:i4>
      </vt:variant>
      <vt:variant>
        <vt:i4>0</vt:i4>
      </vt:variant>
      <vt:variant>
        <vt:i4>5</vt:i4>
      </vt:variant>
      <vt:variant>
        <vt:lpwstr/>
      </vt:variant>
      <vt:variant>
        <vt:lpwstr>_Toc59450447</vt:lpwstr>
      </vt:variant>
      <vt:variant>
        <vt:i4>1638453</vt:i4>
      </vt:variant>
      <vt:variant>
        <vt:i4>416</vt:i4>
      </vt:variant>
      <vt:variant>
        <vt:i4>0</vt:i4>
      </vt:variant>
      <vt:variant>
        <vt:i4>5</vt:i4>
      </vt:variant>
      <vt:variant>
        <vt:lpwstr/>
      </vt:variant>
      <vt:variant>
        <vt:lpwstr>_Toc59450446</vt:lpwstr>
      </vt:variant>
      <vt:variant>
        <vt:i4>1703989</vt:i4>
      </vt:variant>
      <vt:variant>
        <vt:i4>410</vt:i4>
      </vt:variant>
      <vt:variant>
        <vt:i4>0</vt:i4>
      </vt:variant>
      <vt:variant>
        <vt:i4>5</vt:i4>
      </vt:variant>
      <vt:variant>
        <vt:lpwstr/>
      </vt:variant>
      <vt:variant>
        <vt:lpwstr>_Toc59450445</vt:lpwstr>
      </vt:variant>
      <vt:variant>
        <vt:i4>1769525</vt:i4>
      </vt:variant>
      <vt:variant>
        <vt:i4>404</vt:i4>
      </vt:variant>
      <vt:variant>
        <vt:i4>0</vt:i4>
      </vt:variant>
      <vt:variant>
        <vt:i4>5</vt:i4>
      </vt:variant>
      <vt:variant>
        <vt:lpwstr/>
      </vt:variant>
      <vt:variant>
        <vt:lpwstr>_Toc59450444</vt:lpwstr>
      </vt:variant>
      <vt:variant>
        <vt:i4>1835061</vt:i4>
      </vt:variant>
      <vt:variant>
        <vt:i4>398</vt:i4>
      </vt:variant>
      <vt:variant>
        <vt:i4>0</vt:i4>
      </vt:variant>
      <vt:variant>
        <vt:i4>5</vt:i4>
      </vt:variant>
      <vt:variant>
        <vt:lpwstr/>
      </vt:variant>
      <vt:variant>
        <vt:lpwstr>_Toc59450443</vt:lpwstr>
      </vt:variant>
      <vt:variant>
        <vt:i4>1900597</vt:i4>
      </vt:variant>
      <vt:variant>
        <vt:i4>392</vt:i4>
      </vt:variant>
      <vt:variant>
        <vt:i4>0</vt:i4>
      </vt:variant>
      <vt:variant>
        <vt:i4>5</vt:i4>
      </vt:variant>
      <vt:variant>
        <vt:lpwstr/>
      </vt:variant>
      <vt:variant>
        <vt:lpwstr>_Toc59450442</vt:lpwstr>
      </vt:variant>
      <vt:variant>
        <vt:i4>1966133</vt:i4>
      </vt:variant>
      <vt:variant>
        <vt:i4>386</vt:i4>
      </vt:variant>
      <vt:variant>
        <vt:i4>0</vt:i4>
      </vt:variant>
      <vt:variant>
        <vt:i4>5</vt:i4>
      </vt:variant>
      <vt:variant>
        <vt:lpwstr/>
      </vt:variant>
      <vt:variant>
        <vt:lpwstr>_Toc59450441</vt:lpwstr>
      </vt:variant>
      <vt:variant>
        <vt:i4>2031669</vt:i4>
      </vt:variant>
      <vt:variant>
        <vt:i4>380</vt:i4>
      </vt:variant>
      <vt:variant>
        <vt:i4>0</vt:i4>
      </vt:variant>
      <vt:variant>
        <vt:i4>5</vt:i4>
      </vt:variant>
      <vt:variant>
        <vt:lpwstr/>
      </vt:variant>
      <vt:variant>
        <vt:lpwstr>_Toc59450440</vt:lpwstr>
      </vt:variant>
      <vt:variant>
        <vt:i4>1441842</vt:i4>
      </vt:variant>
      <vt:variant>
        <vt:i4>374</vt:i4>
      </vt:variant>
      <vt:variant>
        <vt:i4>0</vt:i4>
      </vt:variant>
      <vt:variant>
        <vt:i4>5</vt:i4>
      </vt:variant>
      <vt:variant>
        <vt:lpwstr/>
      </vt:variant>
      <vt:variant>
        <vt:lpwstr>_Toc59450439</vt:lpwstr>
      </vt:variant>
      <vt:variant>
        <vt:i4>1507378</vt:i4>
      </vt:variant>
      <vt:variant>
        <vt:i4>368</vt:i4>
      </vt:variant>
      <vt:variant>
        <vt:i4>0</vt:i4>
      </vt:variant>
      <vt:variant>
        <vt:i4>5</vt:i4>
      </vt:variant>
      <vt:variant>
        <vt:lpwstr/>
      </vt:variant>
      <vt:variant>
        <vt:lpwstr>_Toc59450438</vt:lpwstr>
      </vt:variant>
      <vt:variant>
        <vt:i4>1572914</vt:i4>
      </vt:variant>
      <vt:variant>
        <vt:i4>362</vt:i4>
      </vt:variant>
      <vt:variant>
        <vt:i4>0</vt:i4>
      </vt:variant>
      <vt:variant>
        <vt:i4>5</vt:i4>
      </vt:variant>
      <vt:variant>
        <vt:lpwstr/>
      </vt:variant>
      <vt:variant>
        <vt:lpwstr>_Toc59450437</vt:lpwstr>
      </vt:variant>
      <vt:variant>
        <vt:i4>1638450</vt:i4>
      </vt:variant>
      <vt:variant>
        <vt:i4>356</vt:i4>
      </vt:variant>
      <vt:variant>
        <vt:i4>0</vt:i4>
      </vt:variant>
      <vt:variant>
        <vt:i4>5</vt:i4>
      </vt:variant>
      <vt:variant>
        <vt:lpwstr/>
      </vt:variant>
      <vt:variant>
        <vt:lpwstr>_Toc59450436</vt:lpwstr>
      </vt:variant>
      <vt:variant>
        <vt:i4>1703986</vt:i4>
      </vt:variant>
      <vt:variant>
        <vt:i4>350</vt:i4>
      </vt:variant>
      <vt:variant>
        <vt:i4>0</vt:i4>
      </vt:variant>
      <vt:variant>
        <vt:i4>5</vt:i4>
      </vt:variant>
      <vt:variant>
        <vt:lpwstr/>
      </vt:variant>
      <vt:variant>
        <vt:lpwstr>_Toc59450435</vt:lpwstr>
      </vt:variant>
      <vt:variant>
        <vt:i4>1769522</vt:i4>
      </vt:variant>
      <vt:variant>
        <vt:i4>344</vt:i4>
      </vt:variant>
      <vt:variant>
        <vt:i4>0</vt:i4>
      </vt:variant>
      <vt:variant>
        <vt:i4>5</vt:i4>
      </vt:variant>
      <vt:variant>
        <vt:lpwstr/>
      </vt:variant>
      <vt:variant>
        <vt:lpwstr>_Toc59450434</vt:lpwstr>
      </vt:variant>
      <vt:variant>
        <vt:i4>1835058</vt:i4>
      </vt:variant>
      <vt:variant>
        <vt:i4>338</vt:i4>
      </vt:variant>
      <vt:variant>
        <vt:i4>0</vt:i4>
      </vt:variant>
      <vt:variant>
        <vt:i4>5</vt:i4>
      </vt:variant>
      <vt:variant>
        <vt:lpwstr/>
      </vt:variant>
      <vt:variant>
        <vt:lpwstr>_Toc59450433</vt:lpwstr>
      </vt:variant>
      <vt:variant>
        <vt:i4>1900594</vt:i4>
      </vt:variant>
      <vt:variant>
        <vt:i4>332</vt:i4>
      </vt:variant>
      <vt:variant>
        <vt:i4>0</vt:i4>
      </vt:variant>
      <vt:variant>
        <vt:i4>5</vt:i4>
      </vt:variant>
      <vt:variant>
        <vt:lpwstr/>
      </vt:variant>
      <vt:variant>
        <vt:lpwstr>_Toc59450432</vt:lpwstr>
      </vt:variant>
      <vt:variant>
        <vt:i4>1966130</vt:i4>
      </vt:variant>
      <vt:variant>
        <vt:i4>326</vt:i4>
      </vt:variant>
      <vt:variant>
        <vt:i4>0</vt:i4>
      </vt:variant>
      <vt:variant>
        <vt:i4>5</vt:i4>
      </vt:variant>
      <vt:variant>
        <vt:lpwstr/>
      </vt:variant>
      <vt:variant>
        <vt:lpwstr>_Toc59450431</vt:lpwstr>
      </vt:variant>
      <vt:variant>
        <vt:i4>2031666</vt:i4>
      </vt:variant>
      <vt:variant>
        <vt:i4>320</vt:i4>
      </vt:variant>
      <vt:variant>
        <vt:i4>0</vt:i4>
      </vt:variant>
      <vt:variant>
        <vt:i4>5</vt:i4>
      </vt:variant>
      <vt:variant>
        <vt:lpwstr/>
      </vt:variant>
      <vt:variant>
        <vt:lpwstr>_Toc59450430</vt:lpwstr>
      </vt:variant>
      <vt:variant>
        <vt:i4>1441843</vt:i4>
      </vt:variant>
      <vt:variant>
        <vt:i4>314</vt:i4>
      </vt:variant>
      <vt:variant>
        <vt:i4>0</vt:i4>
      </vt:variant>
      <vt:variant>
        <vt:i4>5</vt:i4>
      </vt:variant>
      <vt:variant>
        <vt:lpwstr/>
      </vt:variant>
      <vt:variant>
        <vt:lpwstr>_Toc59450429</vt:lpwstr>
      </vt:variant>
      <vt:variant>
        <vt:i4>1507379</vt:i4>
      </vt:variant>
      <vt:variant>
        <vt:i4>308</vt:i4>
      </vt:variant>
      <vt:variant>
        <vt:i4>0</vt:i4>
      </vt:variant>
      <vt:variant>
        <vt:i4>5</vt:i4>
      </vt:variant>
      <vt:variant>
        <vt:lpwstr/>
      </vt:variant>
      <vt:variant>
        <vt:lpwstr>_Toc59450428</vt:lpwstr>
      </vt:variant>
      <vt:variant>
        <vt:i4>1572915</vt:i4>
      </vt:variant>
      <vt:variant>
        <vt:i4>302</vt:i4>
      </vt:variant>
      <vt:variant>
        <vt:i4>0</vt:i4>
      </vt:variant>
      <vt:variant>
        <vt:i4>5</vt:i4>
      </vt:variant>
      <vt:variant>
        <vt:lpwstr/>
      </vt:variant>
      <vt:variant>
        <vt:lpwstr>_Toc59450427</vt:lpwstr>
      </vt:variant>
      <vt:variant>
        <vt:i4>1638451</vt:i4>
      </vt:variant>
      <vt:variant>
        <vt:i4>296</vt:i4>
      </vt:variant>
      <vt:variant>
        <vt:i4>0</vt:i4>
      </vt:variant>
      <vt:variant>
        <vt:i4>5</vt:i4>
      </vt:variant>
      <vt:variant>
        <vt:lpwstr/>
      </vt:variant>
      <vt:variant>
        <vt:lpwstr>_Toc59450426</vt:lpwstr>
      </vt:variant>
      <vt:variant>
        <vt:i4>1703987</vt:i4>
      </vt:variant>
      <vt:variant>
        <vt:i4>290</vt:i4>
      </vt:variant>
      <vt:variant>
        <vt:i4>0</vt:i4>
      </vt:variant>
      <vt:variant>
        <vt:i4>5</vt:i4>
      </vt:variant>
      <vt:variant>
        <vt:lpwstr/>
      </vt:variant>
      <vt:variant>
        <vt:lpwstr>_Toc59450425</vt:lpwstr>
      </vt:variant>
      <vt:variant>
        <vt:i4>1769523</vt:i4>
      </vt:variant>
      <vt:variant>
        <vt:i4>284</vt:i4>
      </vt:variant>
      <vt:variant>
        <vt:i4>0</vt:i4>
      </vt:variant>
      <vt:variant>
        <vt:i4>5</vt:i4>
      </vt:variant>
      <vt:variant>
        <vt:lpwstr/>
      </vt:variant>
      <vt:variant>
        <vt:lpwstr>_Toc59450424</vt:lpwstr>
      </vt:variant>
      <vt:variant>
        <vt:i4>1835059</vt:i4>
      </vt:variant>
      <vt:variant>
        <vt:i4>278</vt:i4>
      </vt:variant>
      <vt:variant>
        <vt:i4>0</vt:i4>
      </vt:variant>
      <vt:variant>
        <vt:i4>5</vt:i4>
      </vt:variant>
      <vt:variant>
        <vt:lpwstr/>
      </vt:variant>
      <vt:variant>
        <vt:lpwstr>_Toc59450423</vt:lpwstr>
      </vt:variant>
      <vt:variant>
        <vt:i4>1900595</vt:i4>
      </vt:variant>
      <vt:variant>
        <vt:i4>272</vt:i4>
      </vt:variant>
      <vt:variant>
        <vt:i4>0</vt:i4>
      </vt:variant>
      <vt:variant>
        <vt:i4>5</vt:i4>
      </vt:variant>
      <vt:variant>
        <vt:lpwstr/>
      </vt:variant>
      <vt:variant>
        <vt:lpwstr>_Toc59450422</vt:lpwstr>
      </vt:variant>
      <vt:variant>
        <vt:i4>1966131</vt:i4>
      </vt:variant>
      <vt:variant>
        <vt:i4>266</vt:i4>
      </vt:variant>
      <vt:variant>
        <vt:i4>0</vt:i4>
      </vt:variant>
      <vt:variant>
        <vt:i4>5</vt:i4>
      </vt:variant>
      <vt:variant>
        <vt:lpwstr/>
      </vt:variant>
      <vt:variant>
        <vt:lpwstr>_Toc59450421</vt:lpwstr>
      </vt:variant>
      <vt:variant>
        <vt:i4>2031667</vt:i4>
      </vt:variant>
      <vt:variant>
        <vt:i4>260</vt:i4>
      </vt:variant>
      <vt:variant>
        <vt:i4>0</vt:i4>
      </vt:variant>
      <vt:variant>
        <vt:i4>5</vt:i4>
      </vt:variant>
      <vt:variant>
        <vt:lpwstr/>
      </vt:variant>
      <vt:variant>
        <vt:lpwstr>_Toc59450420</vt:lpwstr>
      </vt:variant>
      <vt:variant>
        <vt:i4>1441840</vt:i4>
      </vt:variant>
      <vt:variant>
        <vt:i4>254</vt:i4>
      </vt:variant>
      <vt:variant>
        <vt:i4>0</vt:i4>
      </vt:variant>
      <vt:variant>
        <vt:i4>5</vt:i4>
      </vt:variant>
      <vt:variant>
        <vt:lpwstr/>
      </vt:variant>
      <vt:variant>
        <vt:lpwstr>_Toc59450419</vt:lpwstr>
      </vt:variant>
      <vt:variant>
        <vt:i4>1507376</vt:i4>
      </vt:variant>
      <vt:variant>
        <vt:i4>248</vt:i4>
      </vt:variant>
      <vt:variant>
        <vt:i4>0</vt:i4>
      </vt:variant>
      <vt:variant>
        <vt:i4>5</vt:i4>
      </vt:variant>
      <vt:variant>
        <vt:lpwstr/>
      </vt:variant>
      <vt:variant>
        <vt:lpwstr>_Toc59450418</vt:lpwstr>
      </vt:variant>
      <vt:variant>
        <vt:i4>1572912</vt:i4>
      </vt:variant>
      <vt:variant>
        <vt:i4>242</vt:i4>
      </vt:variant>
      <vt:variant>
        <vt:i4>0</vt:i4>
      </vt:variant>
      <vt:variant>
        <vt:i4>5</vt:i4>
      </vt:variant>
      <vt:variant>
        <vt:lpwstr/>
      </vt:variant>
      <vt:variant>
        <vt:lpwstr>_Toc59450417</vt:lpwstr>
      </vt:variant>
      <vt:variant>
        <vt:i4>1638448</vt:i4>
      </vt:variant>
      <vt:variant>
        <vt:i4>236</vt:i4>
      </vt:variant>
      <vt:variant>
        <vt:i4>0</vt:i4>
      </vt:variant>
      <vt:variant>
        <vt:i4>5</vt:i4>
      </vt:variant>
      <vt:variant>
        <vt:lpwstr/>
      </vt:variant>
      <vt:variant>
        <vt:lpwstr>_Toc59450416</vt:lpwstr>
      </vt:variant>
      <vt:variant>
        <vt:i4>1703984</vt:i4>
      </vt:variant>
      <vt:variant>
        <vt:i4>230</vt:i4>
      </vt:variant>
      <vt:variant>
        <vt:i4>0</vt:i4>
      </vt:variant>
      <vt:variant>
        <vt:i4>5</vt:i4>
      </vt:variant>
      <vt:variant>
        <vt:lpwstr/>
      </vt:variant>
      <vt:variant>
        <vt:lpwstr>_Toc59450415</vt:lpwstr>
      </vt:variant>
      <vt:variant>
        <vt:i4>1769520</vt:i4>
      </vt:variant>
      <vt:variant>
        <vt:i4>224</vt:i4>
      </vt:variant>
      <vt:variant>
        <vt:i4>0</vt:i4>
      </vt:variant>
      <vt:variant>
        <vt:i4>5</vt:i4>
      </vt:variant>
      <vt:variant>
        <vt:lpwstr/>
      </vt:variant>
      <vt:variant>
        <vt:lpwstr>_Toc59450414</vt:lpwstr>
      </vt:variant>
      <vt:variant>
        <vt:i4>1835056</vt:i4>
      </vt:variant>
      <vt:variant>
        <vt:i4>218</vt:i4>
      </vt:variant>
      <vt:variant>
        <vt:i4>0</vt:i4>
      </vt:variant>
      <vt:variant>
        <vt:i4>5</vt:i4>
      </vt:variant>
      <vt:variant>
        <vt:lpwstr/>
      </vt:variant>
      <vt:variant>
        <vt:lpwstr>_Toc59450413</vt:lpwstr>
      </vt:variant>
      <vt:variant>
        <vt:i4>1900592</vt:i4>
      </vt:variant>
      <vt:variant>
        <vt:i4>212</vt:i4>
      </vt:variant>
      <vt:variant>
        <vt:i4>0</vt:i4>
      </vt:variant>
      <vt:variant>
        <vt:i4>5</vt:i4>
      </vt:variant>
      <vt:variant>
        <vt:lpwstr/>
      </vt:variant>
      <vt:variant>
        <vt:lpwstr>_Toc59450412</vt:lpwstr>
      </vt:variant>
      <vt:variant>
        <vt:i4>1966128</vt:i4>
      </vt:variant>
      <vt:variant>
        <vt:i4>206</vt:i4>
      </vt:variant>
      <vt:variant>
        <vt:i4>0</vt:i4>
      </vt:variant>
      <vt:variant>
        <vt:i4>5</vt:i4>
      </vt:variant>
      <vt:variant>
        <vt:lpwstr/>
      </vt:variant>
      <vt:variant>
        <vt:lpwstr>_Toc59450411</vt:lpwstr>
      </vt:variant>
      <vt:variant>
        <vt:i4>2031664</vt:i4>
      </vt:variant>
      <vt:variant>
        <vt:i4>200</vt:i4>
      </vt:variant>
      <vt:variant>
        <vt:i4>0</vt:i4>
      </vt:variant>
      <vt:variant>
        <vt:i4>5</vt:i4>
      </vt:variant>
      <vt:variant>
        <vt:lpwstr/>
      </vt:variant>
      <vt:variant>
        <vt:lpwstr>_Toc59450410</vt:lpwstr>
      </vt:variant>
      <vt:variant>
        <vt:i4>1441841</vt:i4>
      </vt:variant>
      <vt:variant>
        <vt:i4>194</vt:i4>
      </vt:variant>
      <vt:variant>
        <vt:i4>0</vt:i4>
      </vt:variant>
      <vt:variant>
        <vt:i4>5</vt:i4>
      </vt:variant>
      <vt:variant>
        <vt:lpwstr/>
      </vt:variant>
      <vt:variant>
        <vt:lpwstr>_Toc59450409</vt:lpwstr>
      </vt:variant>
      <vt:variant>
        <vt:i4>1507377</vt:i4>
      </vt:variant>
      <vt:variant>
        <vt:i4>188</vt:i4>
      </vt:variant>
      <vt:variant>
        <vt:i4>0</vt:i4>
      </vt:variant>
      <vt:variant>
        <vt:i4>5</vt:i4>
      </vt:variant>
      <vt:variant>
        <vt:lpwstr/>
      </vt:variant>
      <vt:variant>
        <vt:lpwstr>_Toc59450408</vt:lpwstr>
      </vt:variant>
      <vt:variant>
        <vt:i4>1572913</vt:i4>
      </vt:variant>
      <vt:variant>
        <vt:i4>182</vt:i4>
      </vt:variant>
      <vt:variant>
        <vt:i4>0</vt:i4>
      </vt:variant>
      <vt:variant>
        <vt:i4>5</vt:i4>
      </vt:variant>
      <vt:variant>
        <vt:lpwstr/>
      </vt:variant>
      <vt:variant>
        <vt:lpwstr>_Toc59450407</vt:lpwstr>
      </vt:variant>
      <vt:variant>
        <vt:i4>1638449</vt:i4>
      </vt:variant>
      <vt:variant>
        <vt:i4>176</vt:i4>
      </vt:variant>
      <vt:variant>
        <vt:i4>0</vt:i4>
      </vt:variant>
      <vt:variant>
        <vt:i4>5</vt:i4>
      </vt:variant>
      <vt:variant>
        <vt:lpwstr/>
      </vt:variant>
      <vt:variant>
        <vt:lpwstr>_Toc59450406</vt:lpwstr>
      </vt:variant>
      <vt:variant>
        <vt:i4>1703985</vt:i4>
      </vt:variant>
      <vt:variant>
        <vt:i4>170</vt:i4>
      </vt:variant>
      <vt:variant>
        <vt:i4>0</vt:i4>
      </vt:variant>
      <vt:variant>
        <vt:i4>5</vt:i4>
      </vt:variant>
      <vt:variant>
        <vt:lpwstr/>
      </vt:variant>
      <vt:variant>
        <vt:lpwstr>_Toc59450405</vt:lpwstr>
      </vt:variant>
      <vt:variant>
        <vt:i4>1769521</vt:i4>
      </vt:variant>
      <vt:variant>
        <vt:i4>164</vt:i4>
      </vt:variant>
      <vt:variant>
        <vt:i4>0</vt:i4>
      </vt:variant>
      <vt:variant>
        <vt:i4>5</vt:i4>
      </vt:variant>
      <vt:variant>
        <vt:lpwstr/>
      </vt:variant>
      <vt:variant>
        <vt:lpwstr>_Toc59450404</vt:lpwstr>
      </vt:variant>
      <vt:variant>
        <vt:i4>1835057</vt:i4>
      </vt:variant>
      <vt:variant>
        <vt:i4>158</vt:i4>
      </vt:variant>
      <vt:variant>
        <vt:i4>0</vt:i4>
      </vt:variant>
      <vt:variant>
        <vt:i4>5</vt:i4>
      </vt:variant>
      <vt:variant>
        <vt:lpwstr/>
      </vt:variant>
      <vt:variant>
        <vt:lpwstr>_Toc59450403</vt:lpwstr>
      </vt:variant>
      <vt:variant>
        <vt:i4>1900593</vt:i4>
      </vt:variant>
      <vt:variant>
        <vt:i4>152</vt:i4>
      </vt:variant>
      <vt:variant>
        <vt:i4>0</vt:i4>
      </vt:variant>
      <vt:variant>
        <vt:i4>5</vt:i4>
      </vt:variant>
      <vt:variant>
        <vt:lpwstr/>
      </vt:variant>
      <vt:variant>
        <vt:lpwstr>_Toc59450402</vt:lpwstr>
      </vt:variant>
      <vt:variant>
        <vt:i4>1966129</vt:i4>
      </vt:variant>
      <vt:variant>
        <vt:i4>146</vt:i4>
      </vt:variant>
      <vt:variant>
        <vt:i4>0</vt:i4>
      </vt:variant>
      <vt:variant>
        <vt:i4>5</vt:i4>
      </vt:variant>
      <vt:variant>
        <vt:lpwstr/>
      </vt:variant>
      <vt:variant>
        <vt:lpwstr>_Toc59450401</vt:lpwstr>
      </vt:variant>
      <vt:variant>
        <vt:i4>2031665</vt:i4>
      </vt:variant>
      <vt:variant>
        <vt:i4>140</vt:i4>
      </vt:variant>
      <vt:variant>
        <vt:i4>0</vt:i4>
      </vt:variant>
      <vt:variant>
        <vt:i4>5</vt:i4>
      </vt:variant>
      <vt:variant>
        <vt:lpwstr/>
      </vt:variant>
      <vt:variant>
        <vt:lpwstr>_Toc59450400</vt:lpwstr>
      </vt:variant>
      <vt:variant>
        <vt:i4>1114168</vt:i4>
      </vt:variant>
      <vt:variant>
        <vt:i4>134</vt:i4>
      </vt:variant>
      <vt:variant>
        <vt:i4>0</vt:i4>
      </vt:variant>
      <vt:variant>
        <vt:i4>5</vt:i4>
      </vt:variant>
      <vt:variant>
        <vt:lpwstr/>
      </vt:variant>
      <vt:variant>
        <vt:lpwstr>_Toc59450399</vt:lpwstr>
      </vt:variant>
      <vt:variant>
        <vt:i4>1048632</vt:i4>
      </vt:variant>
      <vt:variant>
        <vt:i4>128</vt:i4>
      </vt:variant>
      <vt:variant>
        <vt:i4>0</vt:i4>
      </vt:variant>
      <vt:variant>
        <vt:i4>5</vt:i4>
      </vt:variant>
      <vt:variant>
        <vt:lpwstr/>
      </vt:variant>
      <vt:variant>
        <vt:lpwstr>_Toc59450398</vt:lpwstr>
      </vt:variant>
      <vt:variant>
        <vt:i4>2031672</vt:i4>
      </vt:variant>
      <vt:variant>
        <vt:i4>122</vt:i4>
      </vt:variant>
      <vt:variant>
        <vt:i4>0</vt:i4>
      </vt:variant>
      <vt:variant>
        <vt:i4>5</vt:i4>
      </vt:variant>
      <vt:variant>
        <vt:lpwstr/>
      </vt:variant>
      <vt:variant>
        <vt:lpwstr>_Toc59450397</vt:lpwstr>
      </vt:variant>
      <vt:variant>
        <vt:i4>1966136</vt:i4>
      </vt:variant>
      <vt:variant>
        <vt:i4>116</vt:i4>
      </vt:variant>
      <vt:variant>
        <vt:i4>0</vt:i4>
      </vt:variant>
      <vt:variant>
        <vt:i4>5</vt:i4>
      </vt:variant>
      <vt:variant>
        <vt:lpwstr/>
      </vt:variant>
      <vt:variant>
        <vt:lpwstr>_Toc59450396</vt:lpwstr>
      </vt:variant>
      <vt:variant>
        <vt:i4>1900600</vt:i4>
      </vt:variant>
      <vt:variant>
        <vt:i4>110</vt:i4>
      </vt:variant>
      <vt:variant>
        <vt:i4>0</vt:i4>
      </vt:variant>
      <vt:variant>
        <vt:i4>5</vt:i4>
      </vt:variant>
      <vt:variant>
        <vt:lpwstr/>
      </vt:variant>
      <vt:variant>
        <vt:lpwstr>_Toc59450395</vt:lpwstr>
      </vt:variant>
      <vt:variant>
        <vt:i4>1835064</vt:i4>
      </vt:variant>
      <vt:variant>
        <vt:i4>104</vt:i4>
      </vt:variant>
      <vt:variant>
        <vt:i4>0</vt:i4>
      </vt:variant>
      <vt:variant>
        <vt:i4>5</vt:i4>
      </vt:variant>
      <vt:variant>
        <vt:lpwstr/>
      </vt:variant>
      <vt:variant>
        <vt:lpwstr>_Toc59450394</vt:lpwstr>
      </vt:variant>
      <vt:variant>
        <vt:i4>1769528</vt:i4>
      </vt:variant>
      <vt:variant>
        <vt:i4>98</vt:i4>
      </vt:variant>
      <vt:variant>
        <vt:i4>0</vt:i4>
      </vt:variant>
      <vt:variant>
        <vt:i4>5</vt:i4>
      </vt:variant>
      <vt:variant>
        <vt:lpwstr/>
      </vt:variant>
      <vt:variant>
        <vt:lpwstr>_Toc59450393</vt:lpwstr>
      </vt:variant>
      <vt:variant>
        <vt:i4>1703992</vt:i4>
      </vt:variant>
      <vt:variant>
        <vt:i4>92</vt:i4>
      </vt:variant>
      <vt:variant>
        <vt:i4>0</vt:i4>
      </vt:variant>
      <vt:variant>
        <vt:i4>5</vt:i4>
      </vt:variant>
      <vt:variant>
        <vt:lpwstr/>
      </vt:variant>
      <vt:variant>
        <vt:lpwstr>_Toc59450392</vt:lpwstr>
      </vt:variant>
      <vt:variant>
        <vt:i4>1638456</vt:i4>
      </vt:variant>
      <vt:variant>
        <vt:i4>86</vt:i4>
      </vt:variant>
      <vt:variant>
        <vt:i4>0</vt:i4>
      </vt:variant>
      <vt:variant>
        <vt:i4>5</vt:i4>
      </vt:variant>
      <vt:variant>
        <vt:lpwstr/>
      </vt:variant>
      <vt:variant>
        <vt:lpwstr>_Toc59450391</vt:lpwstr>
      </vt:variant>
      <vt:variant>
        <vt:i4>1572920</vt:i4>
      </vt:variant>
      <vt:variant>
        <vt:i4>80</vt:i4>
      </vt:variant>
      <vt:variant>
        <vt:i4>0</vt:i4>
      </vt:variant>
      <vt:variant>
        <vt:i4>5</vt:i4>
      </vt:variant>
      <vt:variant>
        <vt:lpwstr/>
      </vt:variant>
      <vt:variant>
        <vt:lpwstr>_Toc59450390</vt:lpwstr>
      </vt:variant>
      <vt:variant>
        <vt:i4>1114169</vt:i4>
      </vt:variant>
      <vt:variant>
        <vt:i4>74</vt:i4>
      </vt:variant>
      <vt:variant>
        <vt:i4>0</vt:i4>
      </vt:variant>
      <vt:variant>
        <vt:i4>5</vt:i4>
      </vt:variant>
      <vt:variant>
        <vt:lpwstr/>
      </vt:variant>
      <vt:variant>
        <vt:lpwstr>_Toc59450389</vt:lpwstr>
      </vt:variant>
      <vt:variant>
        <vt:i4>1048633</vt:i4>
      </vt:variant>
      <vt:variant>
        <vt:i4>68</vt:i4>
      </vt:variant>
      <vt:variant>
        <vt:i4>0</vt:i4>
      </vt:variant>
      <vt:variant>
        <vt:i4>5</vt:i4>
      </vt:variant>
      <vt:variant>
        <vt:lpwstr/>
      </vt:variant>
      <vt:variant>
        <vt:lpwstr>_Toc59450388</vt:lpwstr>
      </vt:variant>
      <vt:variant>
        <vt:i4>2031673</vt:i4>
      </vt:variant>
      <vt:variant>
        <vt:i4>62</vt:i4>
      </vt:variant>
      <vt:variant>
        <vt:i4>0</vt:i4>
      </vt:variant>
      <vt:variant>
        <vt:i4>5</vt:i4>
      </vt:variant>
      <vt:variant>
        <vt:lpwstr/>
      </vt:variant>
      <vt:variant>
        <vt:lpwstr>_Toc59450387</vt:lpwstr>
      </vt:variant>
      <vt:variant>
        <vt:i4>1966137</vt:i4>
      </vt:variant>
      <vt:variant>
        <vt:i4>56</vt:i4>
      </vt:variant>
      <vt:variant>
        <vt:i4>0</vt:i4>
      </vt:variant>
      <vt:variant>
        <vt:i4>5</vt:i4>
      </vt:variant>
      <vt:variant>
        <vt:lpwstr/>
      </vt:variant>
      <vt:variant>
        <vt:lpwstr>_Toc59450386</vt:lpwstr>
      </vt:variant>
      <vt:variant>
        <vt:i4>1900601</vt:i4>
      </vt:variant>
      <vt:variant>
        <vt:i4>50</vt:i4>
      </vt:variant>
      <vt:variant>
        <vt:i4>0</vt:i4>
      </vt:variant>
      <vt:variant>
        <vt:i4>5</vt:i4>
      </vt:variant>
      <vt:variant>
        <vt:lpwstr/>
      </vt:variant>
      <vt:variant>
        <vt:lpwstr>_Toc59450385</vt:lpwstr>
      </vt:variant>
      <vt:variant>
        <vt:i4>1835065</vt:i4>
      </vt:variant>
      <vt:variant>
        <vt:i4>44</vt:i4>
      </vt:variant>
      <vt:variant>
        <vt:i4>0</vt:i4>
      </vt:variant>
      <vt:variant>
        <vt:i4>5</vt:i4>
      </vt:variant>
      <vt:variant>
        <vt:lpwstr/>
      </vt:variant>
      <vt:variant>
        <vt:lpwstr>_Toc59450384</vt:lpwstr>
      </vt:variant>
      <vt:variant>
        <vt:i4>1769529</vt:i4>
      </vt:variant>
      <vt:variant>
        <vt:i4>38</vt:i4>
      </vt:variant>
      <vt:variant>
        <vt:i4>0</vt:i4>
      </vt:variant>
      <vt:variant>
        <vt:i4>5</vt:i4>
      </vt:variant>
      <vt:variant>
        <vt:lpwstr/>
      </vt:variant>
      <vt:variant>
        <vt:lpwstr>_Toc59450383</vt:lpwstr>
      </vt:variant>
      <vt:variant>
        <vt:i4>1703993</vt:i4>
      </vt:variant>
      <vt:variant>
        <vt:i4>32</vt:i4>
      </vt:variant>
      <vt:variant>
        <vt:i4>0</vt:i4>
      </vt:variant>
      <vt:variant>
        <vt:i4>5</vt:i4>
      </vt:variant>
      <vt:variant>
        <vt:lpwstr/>
      </vt:variant>
      <vt:variant>
        <vt:lpwstr>_Toc59450382</vt:lpwstr>
      </vt:variant>
      <vt:variant>
        <vt:i4>1638457</vt:i4>
      </vt:variant>
      <vt:variant>
        <vt:i4>26</vt:i4>
      </vt:variant>
      <vt:variant>
        <vt:i4>0</vt:i4>
      </vt:variant>
      <vt:variant>
        <vt:i4>5</vt:i4>
      </vt:variant>
      <vt:variant>
        <vt:lpwstr/>
      </vt:variant>
      <vt:variant>
        <vt:lpwstr>_Toc59450381</vt:lpwstr>
      </vt:variant>
      <vt:variant>
        <vt:i4>1572921</vt:i4>
      </vt:variant>
      <vt:variant>
        <vt:i4>20</vt:i4>
      </vt:variant>
      <vt:variant>
        <vt:i4>0</vt:i4>
      </vt:variant>
      <vt:variant>
        <vt:i4>5</vt:i4>
      </vt:variant>
      <vt:variant>
        <vt:lpwstr/>
      </vt:variant>
      <vt:variant>
        <vt:lpwstr>_Toc59450380</vt:lpwstr>
      </vt:variant>
      <vt:variant>
        <vt:i4>1114166</vt:i4>
      </vt:variant>
      <vt:variant>
        <vt:i4>14</vt:i4>
      </vt:variant>
      <vt:variant>
        <vt:i4>0</vt:i4>
      </vt:variant>
      <vt:variant>
        <vt:i4>5</vt:i4>
      </vt:variant>
      <vt:variant>
        <vt:lpwstr/>
      </vt:variant>
      <vt:variant>
        <vt:lpwstr>_Toc59450379</vt:lpwstr>
      </vt:variant>
      <vt:variant>
        <vt:i4>1048630</vt:i4>
      </vt:variant>
      <vt:variant>
        <vt:i4>8</vt:i4>
      </vt:variant>
      <vt:variant>
        <vt:i4>0</vt:i4>
      </vt:variant>
      <vt:variant>
        <vt:i4>5</vt:i4>
      </vt:variant>
      <vt:variant>
        <vt:lpwstr/>
      </vt:variant>
      <vt:variant>
        <vt:lpwstr>_Toc59450378</vt:lpwstr>
      </vt:variant>
      <vt:variant>
        <vt:i4>2031670</vt:i4>
      </vt:variant>
      <vt:variant>
        <vt:i4>2</vt:i4>
      </vt:variant>
      <vt:variant>
        <vt:i4>0</vt:i4>
      </vt:variant>
      <vt:variant>
        <vt:i4>5</vt:i4>
      </vt:variant>
      <vt:variant>
        <vt:lpwstr/>
      </vt:variant>
      <vt:variant>
        <vt:lpwstr>_Toc59450377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Grzegorz Zubień</dc:creator>
  <cp:lastModifiedBy>Grzegorz Zubień</cp:lastModifiedBy>
  <cp:revision>1111</cp:revision>
  <cp:lastPrinted>2023-09-05T09:54:00Z</cp:lastPrinted>
  <dcterms:created xsi:type="dcterms:W3CDTF">2021-02-10T10:15:00Z</dcterms:created>
  <dcterms:modified xsi:type="dcterms:W3CDTF">2023-09-05T09:55:00Z</dcterms:modified>
</cp:coreProperties>
</file>